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B63BA33-09CA-40D3-8CFD-881240D51A8C" style="width:450.65pt;height:35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ustanawiającej stanowisko, jakie ma zostać zajęte w imieniu Unii na forum Rady Światowej Organizacji Celnej w związku z zamierzonym przyjęciem zmian w nomenklaturze systemu zharmonizowanego (HS) dotyczących nowatorskich wyrobów tytoniowych</w:t>
      </w:r>
      <w:r>
        <w:rPr>
          <w:rStyle w:val="FootnoteReference"/>
          <w:noProof/>
        </w:rPr>
        <w:footnoteReference w:id="1"/>
      </w:r>
      <w:r>
        <w:rPr>
          <w:noProof/>
        </w:rPr>
        <w:t>.</w:t>
      </w:r>
    </w:p>
    <w:p>
      <w:pPr>
        <w:pStyle w:val="ManualHeading1"/>
        <w:rPr>
          <w:noProof/>
        </w:rPr>
      </w:pPr>
      <w:r>
        <w:t>2.</w:t>
      </w:r>
      <w:r>
        <w:tab/>
      </w:r>
      <w:r>
        <w:rPr>
          <w:noProof/>
        </w:rPr>
        <w:t>Kontekst wniosku</w:t>
      </w:r>
    </w:p>
    <w:p>
      <w:pPr>
        <w:pStyle w:val="ManualHeading2"/>
        <w:rPr>
          <w:noProof/>
        </w:rPr>
      </w:pPr>
      <w:r>
        <w:t>2.1.</w:t>
      </w:r>
      <w:r>
        <w:tab/>
      </w:r>
      <w:r>
        <w:rPr>
          <w:noProof/>
        </w:rPr>
        <w:t>Międzynarodowa konwencja w sprawie zharmonizowanego systemu określania i kodowania towarów</w:t>
      </w:r>
    </w:p>
    <w:p>
      <w:pPr>
        <w:rPr>
          <w:rFonts w:eastAsia="Arial Unicode MS"/>
          <w:noProof/>
        </w:rPr>
      </w:pPr>
      <w:r>
        <w:rPr>
          <w:noProof/>
        </w:rPr>
        <w:t>Międzynarodowa konwencja w sprawie zharmonizowanego systemu określania i kodowania towarów (zwana dalej „umową”) ma na celu ułatwianie handlu międzynarodowego oraz gromadzenie, porównywanie i analizę danych statystycznych, w szczególności tych dotyczących handlu międzynarodowego. Zawiera ona jako załącznik nomenklaturę HS, stanowiącą międzynarodowy zharmonizowany system, który umożliwia uczestniczącym państwom klasyfikowanie towarów będących przedmiotem handlu do celów celnych na wspólnej podstawie. W szczególności nomenklatura HS obejmuje opis towarów pojawiających się w pozycjach i podpozycjach oraz związane z nimi kody numeryczne oparte na systemie 6-cyfrowym. Nomenklatura HS jest poddawana przeglądowi co pięć lat</w:t>
      </w:r>
      <w:r>
        <w:rPr>
          <w:rStyle w:val="FootnoteReference"/>
          <w:noProof/>
        </w:rPr>
        <w:footnoteReference w:id="2"/>
      </w:r>
      <w:r>
        <w:rPr>
          <w:noProof/>
        </w:rPr>
        <w:t xml:space="preserve">. Jest ona stosowana przez ponad 190 administracji na całym świecie; w związku z tym ponad 98 % wszystkich towarów będących przedmiotem obrotu na świecie jest klasyfikowanych według tej nomenklatury. </w:t>
      </w:r>
    </w:p>
    <w:p>
      <w:pPr>
        <w:rPr>
          <w:rFonts w:eastAsia="Arial Unicode MS"/>
          <w:noProof/>
        </w:rPr>
      </w:pPr>
      <w:r>
        <w:rPr>
          <w:noProof/>
        </w:rPr>
        <w:t>Umowa weszła w życie dnia 1 stycznia 1988 r.</w:t>
      </w:r>
    </w:p>
    <w:p>
      <w:pPr>
        <w:rPr>
          <w:rFonts w:eastAsia="Arial Unicode MS"/>
          <w:noProof/>
        </w:rPr>
      </w:pPr>
      <w:r>
        <w:rPr>
          <w:noProof/>
        </w:rPr>
        <w:t>Unia Europejska i wszystkie państwa członkowskie są stronami tej umowy</w:t>
      </w:r>
      <w:r>
        <w:rPr>
          <w:rStyle w:val="FootnoteReference"/>
          <w:noProof/>
        </w:rPr>
        <w:footnoteReference w:id="3"/>
      </w:r>
      <w:r>
        <w:rPr>
          <w:noProof/>
        </w:rPr>
        <w:t>.</w:t>
      </w:r>
    </w:p>
    <w:p>
      <w:pPr>
        <w:pStyle w:val="ManualHeading2"/>
        <w:rPr>
          <w:noProof/>
        </w:rPr>
      </w:pPr>
      <w:r>
        <w:t>2.2.</w:t>
      </w:r>
      <w:r>
        <w:tab/>
      </w:r>
      <w:r>
        <w:rPr>
          <w:noProof/>
        </w:rPr>
        <w:t>Światowa Organizacja Celna (WCO)</w:t>
      </w:r>
    </w:p>
    <w:p>
      <w:pPr>
        <w:rPr>
          <w:rFonts w:eastAsia="Arial Unicode MS"/>
          <w:noProof/>
        </w:rPr>
      </w:pPr>
      <w:r>
        <w:rPr>
          <w:noProof/>
        </w:rPr>
        <w:t>Światowa Organizacja Celna (WCO), utworzona w 1952 r. jako Rada Współpracy Celnej, jest niezależnym organem międzyrządowym, którego zadaniem jest zwiększanie skuteczności i efektywności administracji celnych. WCO oferuje swoim członkom szereg konwencji i innych instrumentów międzynarodowych, jak również pomoc techniczną i usługi szkoleniowe. Obecnie WCO reprezentuje 182 administracji celnych z całego świata.</w:t>
      </w:r>
    </w:p>
    <w:p>
      <w:pPr>
        <w:rPr>
          <w:rFonts w:eastAsia="Arial Unicode MS"/>
          <w:noProof/>
        </w:rPr>
      </w:pPr>
      <w:r>
        <w:rPr>
          <w:noProof/>
        </w:rPr>
        <w:t xml:space="preserve">Organem zarządzającym WCO jest Rada, która przy realizacji swojej misji opiera się na kompetencjach i umiejętnościach sekretariatu oraz szeregu komitetów technicznych i doradczych. </w:t>
      </w:r>
    </w:p>
    <w:p>
      <w:pPr>
        <w:rPr>
          <w:rFonts w:eastAsiaTheme="majorEastAsia"/>
          <w:bCs/>
          <w:noProof/>
          <w:szCs w:val="26"/>
        </w:rPr>
      </w:pPr>
      <w:r>
        <w:rPr>
          <w:noProof/>
        </w:rPr>
        <w:t>Komitetem technicznym WCO odpowiedzialnym za prace przygotowawcze związane z umową jest Komitet ds. HS. Główne zadania Komitetu ds. HS są następujące:</w:t>
      </w:r>
    </w:p>
    <w:p>
      <w:pPr>
        <w:pStyle w:val="Bullet0"/>
        <w:numPr>
          <w:ilvl w:val="0"/>
          <w:numId w:val="18"/>
        </w:numPr>
        <w:rPr>
          <w:noProof/>
        </w:rPr>
      </w:pPr>
      <w:r>
        <w:rPr>
          <w:noProof/>
        </w:rPr>
        <w:lastRenderedPageBreak/>
        <w:t xml:space="preserve">zapewnienie jednolitej interpretacji i jednolitego stosowania tekstów prawnych systemu zharmonizowanego, w tym poprzez rozstrzyganie sporów dotyczących klasyfikacji między umawiającymi się stronami, a tym samym ułatwianie handlu; </w:t>
      </w:r>
    </w:p>
    <w:p>
      <w:pPr>
        <w:pStyle w:val="Bullet0"/>
        <w:rPr>
          <w:noProof/>
        </w:rPr>
      </w:pPr>
      <w:r>
        <w:rPr>
          <w:noProof/>
        </w:rPr>
        <w:t xml:space="preserve">proponowanie zmian i aktualizacji systemu zharmonizowanego w celu odzwierciedlenia rozwoju technologii i zmian w strukturze handlu, jak również innych potrzeb użytkowników systemu zharmonizowanego; </w:t>
      </w:r>
    </w:p>
    <w:p>
      <w:pPr>
        <w:pStyle w:val="Bullet0"/>
        <w:rPr>
          <w:noProof/>
        </w:rPr>
      </w:pPr>
      <w:r>
        <w:rPr>
          <w:noProof/>
        </w:rPr>
        <w:t>promowanie szerokiego stosowania systemu zharmonizowanego oraz analizowanie kwestii ogólnych i zagadnień politycznych z nim związanych.</w:t>
      </w:r>
    </w:p>
    <w:p>
      <w:pPr>
        <w:ind w:left="720"/>
        <w:contextualSpacing/>
        <w:rPr>
          <w:rFonts w:eastAsiaTheme="majorEastAsia"/>
          <w:bCs/>
          <w:noProof/>
          <w:szCs w:val="26"/>
        </w:rPr>
      </w:pPr>
    </w:p>
    <w:p>
      <w:pPr>
        <w:rPr>
          <w:rFonts w:eastAsiaTheme="majorEastAsia"/>
          <w:bCs/>
          <w:noProof/>
          <w:szCs w:val="26"/>
        </w:rPr>
      </w:pPr>
      <w:r>
        <w:rPr>
          <w:noProof/>
        </w:rPr>
        <w:t>Rada WCO rozpatruje wnioski w sprawie zmian do umowy przygotowywane przez Komitet ds. HS i może zalecać te zmiany umawiającym się stronom. Zmiany zalecane przez Radę WCO uznaje się za przyjęte, jeżeli żadna z umawiających się stron nie zgłosi sprzeciwu w terminie sześciu miesięcy od otrzymania powiadomienia.</w:t>
      </w:r>
    </w:p>
    <w:p>
      <w:pPr>
        <w:rPr>
          <w:rFonts w:eastAsiaTheme="majorEastAsia"/>
          <w:bCs/>
          <w:noProof/>
          <w:szCs w:val="26"/>
        </w:rPr>
      </w:pPr>
      <w:r>
        <w:rPr>
          <w:noProof/>
        </w:rPr>
        <w:t>Stanowiska, jakie ma zająć Unia w WCO w odniesieniu do HS, są koordynowane z państwami członkowskimi. Unia i jej państwa członkowskie mają w Radzie WCO wspólnie tylko jeden głos.</w:t>
      </w:r>
    </w:p>
    <w:p>
      <w:pPr>
        <w:pStyle w:val="ManualHeading2"/>
        <w:rPr>
          <w:noProof/>
        </w:rPr>
      </w:pPr>
      <w:r>
        <w:t>2.3.</w:t>
      </w:r>
      <w:r>
        <w:tab/>
      </w:r>
      <w:r>
        <w:rPr>
          <w:noProof/>
        </w:rPr>
        <w:t>Planowany akt Rady WCO</w:t>
      </w:r>
    </w:p>
    <w:p>
      <w:pPr>
        <w:rPr>
          <w:rFonts w:eastAsia="Arial Unicode MS"/>
          <w:noProof/>
        </w:rPr>
      </w:pPr>
      <w:r>
        <w:rPr>
          <w:noProof/>
        </w:rPr>
        <w:t xml:space="preserve">W dniach 27–29 czerwca 2019 r. Rada WCO ma przyjąć zalecenie dotyczące zmian w nomenklaturze systemu zharmonizowanego zgodnie z art. 16 konwencji HS. Będzie ono obejmowało między innymi zmianę dotyczącą niektórych nowatorskich wyrobów tytoniowych („planowany akt”). </w:t>
      </w:r>
    </w:p>
    <w:p>
      <w:pPr>
        <w:rPr>
          <w:rFonts w:eastAsia="Arial Unicode MS"/>
          <w:noProof/>
        </w:rPr>
      </w:pPr>
      <w:r>
        <w:rPr>
          <w:noProof/>
        </w:rPr>
        <w:t>Na potrzeby przygotowania zalecenia w dniach 19–29 marca 2019 r. na swojej sześćdziesiątej trzeciej sesji Komitet ds. HS przygotuje projekt wniosku w sprawie zmiany nomenklatury HS dotyczącej tych produktów. Zmiana ta ma zostać włączona do projektu zalecenia dla Rady WCO, który obejmie wszystkie proponowane zmiany załącznika do umowy (te przyjęte na posiedzeniu w marcu oraz te przyjęte podczas poprzednich posiedzeń Komitetu ds. HS), o których Rada WCO zadecyduje na swoim posiedzeniu w czerwcu. Zmieniona nomenklatura HS wejdzie w życie w 2022 r.</w:t>
      </w:r>
    </w:p>
    <w:p>
      <w:pPr>
        <w:rPr>
          <w:rFonts w:eastAsia="Arial Unicode MS"/>
          <w:noProof/>
        </w:rPr>
      </w:pPr>
      <w:r>
        <w:rPr>
          <w:noProof/>
        </w:rPr>
        <w:t>Projekt przedmiotowej zmiany jest wynikiem prac przeprowadzonych przez Podkomitet ds. Przeglądu Systemu Zharmonizowanego WCO. Podkomitet ten omówił tę propozycję na swojej 55. sesji, która odbyła się w listopadzie 2018 r. UE nie była wówczas w stanie przedstawić swojego stanowiska. Wynik prac podkomitetu jest kierowany do Komitetu ds. HS w celu sfinalizowania projektu proponowanej zmiany w odniesieniu do części, które pozostają otwarte do dyskusji.</w:t>
      </w:r>
    </w:p>
    <w:p>
      <w:pPr>
        <w:rPr>
          <w:rFonts w:eastAsia="Arial Unicode MS"/>
          <w:noProof/>
        </w:rPr>
      </w:pPr>
      <w:r>
        <w:rPr>
          <w:noProof/>
        </w:rPr>
        <w:t>Celem planowanego aktu jest zmiana struktury nomenklatury HS polegająca na klasyfikowaniu nowatorskich wyrobów tytoniowych przeznaczonych do wdychania poprzez podgrzanie lub w inny sposób do nowej pozycji 24.04 „Produkty zawierające tytoń, tytoń odtworzony, nikotynę lub namiastki tytoniu lub nikotyny, przeznaczone do wdychania bez spalania; pozostałe wyroby zawierające nikotynę przeznaczone do wprowadzania nikotyny do ciała ludzkiego”.</w:t>
      </w:r>
    </w:p>
    <w:p>
      <w:pPr>
        <w:pStyle w:val="ManualHeading1"/>
        <w:rPr>
          <w:rFonts w:eastAsia="Arial Unicode MS"/>
          <w:noProof/>
        </w:rPr>
      </w:pPr>
      <w:r>
        <w:t>3.</w:t>
      </w:r>
      <w:r>
        <w:tab/>
      </w:r>
      <w:r>
        <w:rPr>
          <w:noProof/>
        </w:rPr>
        <w:t>Stanowisko, jakie ma zostać zajęte w imieniu Unii</w:t>
      </w:r>
    </w:p>
    <w:p>
      <w:pPr>
        <w:rPr>
          <w:noProof/>
        </w:rPr>
      </w:pPr>
      <w:r>
        <w:rPr>
          <w:noProof/>
        </w:rPr>
        <w:t xml:space="preserve">Proponowane stanowisko ma na celu wyrażenie poparcia dla projektu zmiany nomenklatury HS w odniesieniu do nowatorskich wyrobów tytoniowych. Ma ono również na celu wyrażenie preferencji w odniesieniu do niektórych sformułowań, które należy umieścić w uwagach </w:t>
      </w:r>
      <w:r>
        <w:rPr>
          <w:noProof/>
        </w:rPr>
        <w:lastRenderedPageBreak/>
        <w:t>dodatkowych do nomenklatury HS, a które obecnie znajdują się w nawiasach w projekcie zmiany, gdyż decyzja nie została jeszcze podjęta.</w:t>
      </w:r>
    </w:p>
    <w:p>
      <w:pPr>
        <w:rPr>
          <w:noProof/>
        </w:rPr>
      </w:pPr>
      <w:r>
        <w:rPr>
          <w:noProof/>
        </w:rPr>
        <w:t>W obecnej nomenklaturze HS większość umawiających się stron, w tym Unia Europejska, preferuje klasyfikowanie niektórych nowatorskich wyrobów tytoniowych do podpozycji HS 2403.99 jako „pozostały przetworzony tytoń” . W tej chwili brak jest ostatecznej decyzji WCO w sprawie klasyfikacji tych produktów.</w:t>
      </w:r>
    </w:p>
    <w:p>
      <w:pPr>
        <w:rPr>
          <w:noProof/>
        </w:rPr>
      </w:pPr>
      <w:r>
        <w:rPr>
          <w:noProof/>
        </w:rPr>
        <w:t>Dla UE ważne jest, by w zmienionej nomenklaturze HS, która wejdzie w życie w 2022 r., takie nowatorskie wyroby tytoniowe były określone w osobnej pozycji, tak by ułatwić ich klasyfikację. Ważne jest również wyrażenie pewnych preferencji co do wyboru sformułowań, które miałyby się znaleźć w nowych uwagach do działu 24, w celu wyjaśnienia linii podziału między poszczególnymi pozycjami tego działu. Przyjęto do wiadomości uwagi i sugestie Sekretariatu WCO zamieszczone w dokumencie NC2591E1a (HSC/63).</w:t>
      </w:r>
    </w:p>
    <w:p>
      <w:pPr>
        <w:rPr>
          <w:noProof/>
        </w:rPr>
      </w:pPr>
      <w:r>
        <w:rPr>
          <w:noProof/>
        </w:rPr>
        <w:t>Proponowane stanowisko jest zatem następujące:</w:t>
      </w:r>
    </w:p>
    <w:p>
      <w:pPr>
        <w:pStyle w:val="Tiret0"/>
        <w:numPr>
          <w:ilvl w:val="0"/>
          <w:numId w:val="19"/>
        </w:numPr>
        <w:rPr>
          <w:noProof/>
        </w:rPr>
      </w:pPr>
      <w:r>
        <w:rPr>
          <w:noProof/>
        </w:rPr>
        <w:t>Jeśli chodzi o klasyfikację nowych wyrobów tytoniowych, Unia powinna przywołać swoje pierwotne stanowisko wyrażone we wrześniu 2018 r. popierające propozycję WHO/WCO, zgodnie z którą nowatorskie podgrzewane wyroby tytoniowe powinny być zgrupowane wraz z innymi wyrobami tytoniowymi w pozycji 24.03 i zdefiniowane obiektywnie poprzez sposób ich konsumpcji polegający na podgrzewaniu; byłby to wariant preferowany w stosunku do odniesienia do braku procesu spalania, które jest kontrowersyjne. Jednak w duchu współpracy i po wnikliwym rozpatrzeniu Unia może obecnie zaakceptować wariant będący wynikiem głosowania większościowego w Komitecie ds. HS WCO i dalszych prac we wspomnianym wyżej Podkomitecie WCO, a polegający na klasyfikowaniu tych produktów do nowej pozycji 24.04, ale z zastrzeżeniem przeprowadzenia oceny właściwości i emisji tych produktów po decyzji w sprawie nowatorskich i nowo powstających wyrobów tytoniowych przyjętej przy poparciu Unii na 8. konferencji stron Ramowej konwencji Światowej Organizacji Zdrowia o ograniczeniu użycia tytoniu (FCTC)</w:t>
      </w:r>
      <w:r>
        <w:rPr>
          <w:rStyle w:val="FootnoteReference"/>
          <w:noProof/>
        </w:rPr>
        <w:footnoteReference w:id="4"/>
      </w:r>
      <w:r>
        <w:rPr>
          <w:noProof/>
        </w:rPr>
        <w:t>.</w:t>
      </w:r>
    </w:p>
    <w:p>
      <w:pPr>
        <w:pStyle w:val="Tiret0"/>
        <w:rPr>
          <w:noProof/>
        </w:rPr>
      </w:pPr>
      <w:r>
        <w:rPr>
          <w:noProof/>
        </w:rPr>
        <w:t>Odnośnie do nowej uwagi 2 do działu 24: Unia powinna poprzeć pierwszy wariant w brzmieniu „2.- Pozycja 24.04 nie obejmuje produktów wymienionych w pozycjach 24.02 i 24.03</w:t>
      </w:r>
      <w:r>
        <w:rPr>
          <w:rStyle w:val="FootnoteReference"/>
          <w:noProof/>
        </w:rPr>
        <w:footnoteReference w:id="5"/>
      </w:r>
      <w:r>
        <w:rPr>
          <w:noProof/>
        </w:rPr>
        <w:t>”. W przeciwieństwie do stanowiska Sekretariatu WCO, wyrażonego we wspomnianym wyżej dokumencie, Unia nie powinna opowiadać się za priorytetowym traktowaniem pozycji 24.04 w odniesieniu do klasyfikacji niektórych nowatorskich wyrobów tytoniowych. O wiele bardziej wskazane jest ograniczenie zakresu tej pozycji do produktów, które są do niej klasyfikowane jednoznacznie, tak by wyroby tytoniowe, które mogą być klasyfikowane do tej pozycji, ale również do innych pozycji działu 24 (24.02 lub 24.03), były przekierowywane do tych innych pozycji.</w:t>
      </w:r>
    </w:p>
    <w:p>
      <w:pPr>
        <w:pStyle w:val="Tiret0"/>
        <w:rPr>
          <w:noProof/>
        </w:rPr>
      </w:pPr>
      <w:r>
        <w:rPr>
          <w:noProof/>
        </w:rPr>
        <w:t xml:space="preserve">Odnośnie do nowej uwagi 3 do działu 24: Unia nie powinna popierać umieszczania tekstu w nawiasach „nawet gdy wytwarzany jest dym”. Odniesienie do dymu może prowadzić do nieporozumień, jeśli chodzi o rozróżnienie między produktami objętymi pozycją 24.02 (i 24.03), a objętymi pozycją 24.04, ponieważ pierwotnym celem utworzenia nowej pozycji 24.04 jest objęcie nią produktów, które nie są spalane w tradycyjny sposób. Właściwości i emisje tych produktów są jednak </w:t>
      </w:r>
      <w:r>
        <w:rPr>
          <w:noProof/>
        </w:rPr>
        <w:lastRenderedPageBreak/>
        <w:t>obecnie przedmiotem oceny w związku z decyzją w sprawie nowatorskich i nowo powstających wyrobów tytoniowych, przyjętą podczas 8. konferencji stron Ramowej konwencji Światowej Organizacji Zdrowia o ograniczeniu użycia tytoniu. Wskazane jest zatem, by raczej poczekać na wyniki tej oceny i powrócić do tej kwestii, jeżeli pojawią się nowe fakty mające znaczenie dla klasyfikacji celnej.</w:t>
      </w:r>
    </w:p>
    <w:p>
      <w:pPr>
        <w:rPr>
          <w:noProof/>
        </w:rPr>
      </w:pPr>
      <w:r>
        <w:rPr>
          <w:noProof/>
        </w:rPr>
        <w:t xml:space="preserve">Proponowane stanowisko UE jest zgodne z utrwaloną polityką celną i orzecznictwem Trybunału Sprawiedliwości Unii Europejskiej, zgodnie z którymi klasyfikowanie towarów przy przywozie odbywa się zgodnie z ich obiektywnymi cechami i właściwościami. </w:t>
      </w:r>
    </w:p>
    <w:p>
      <w:pPr>
        <w:rPr>
          <w:noProof/>
        </w:rPr>
      </w:pPr>
      <w:r>
        <w:rPr>
          <w:noProof/>
        </w:rPr>
        <w:t xml:space="preserve">Proponowane stanowisko jest konieczne, aby UE mogła zająć stanowisko podczas najbliższego posiedzenia Rady WCO. To samo stanowisko zostanie wyrażone w trakcie prac przygotowawczych, a w szczególności na posiedzeniu Komitetu ds. HS, przy czym UE poprze na posiedzeniu Komitetu ds. Systemu Zharmonizowanego projekt wniosku komitetu, jeżeli będzie on odpowiadał opinii większości umawiających się stron. </w:t>
      </w:r>
    </w:p>
    <w:p>
      <w:pPr>
        <w:pStyle w:val="ManualHeading1"/>
        <w:rPr>
          <w:noProof/>
        </w:rPr>
      </w:pPr>
      <w:r>
        <w:t>4.</w:t>
      </w:r>
      <w:r>
        <w:tab/>
      </w:r>
      <w:r>
        <w:rPr>
          <w:noProof/>
        </w:rPr>
        <w:t>Podstawa prawna</w:t>
      </w:r>
    </w:p>
    <w:p>
      <w:pPr>
        <w:pStyle w:val="ManualHeading3"/>
        <w:rPr>
          <w:noProof/>
        </w:rPr>
      </w:pPr>
      <w:r>
        <w:t>4.1.1.</w:t>
      </w:r>
      <w:r>
        <w:tab/>
      </w:r>
      <w:r>
        <w:rPr>
          <w:noProof/>
        </w:rPr>
        <w:t>Zasady</w:t>
      </w:r>
    </w:p>
    <w:p>
      <w:pPr>
        <w:rPr>
          <w:noProof/>
        </w:rPr>
      </w:pPr>
      <w:r>
        <w:rPr>
          <w:noProof/>
        </w:rPr>
        <w:t>Art. 218 ust. 9 Traktatu o Funkcjonowaniu Unii Europejskiej (TFUE) określa tryb przyjmowania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6"/>
      </w:r>
      <w:r>
        <w:rPr>
          <w:noProof/>
        </w:rPr>
        <w:t>.</w:t>
      </w:r>
    </w:p>
    <w:p>
      <w:pPr>
        <w:rPr>
          <w:noProof/>
        </w:rPr>
      </w:pPr>
      <w:r>
        <w:rPr>
          <w:noProof/>
        </w:rPr>
        <w:t>W związku z tym proceduralną podstawą prawną proponowanej decyzji określającej stanowisko, jakie ma zostać zajęte w imieniu Unii w odniesieniu do planowanego aktu, jest art. 218 ust. 9 TFUE.</w:t>
      </w:r>
    </w:p>
    <w:p>
      <w:pPr>
        <w:pStyle w:val="ManualHeading3"/>
        <w:rPr>
          <w:noProof/>
        </w:rPr>
      </w:pPr>
      <w:r>
        <w:t>4.1.2.</w:t>
      </w:r>
      <w:r>
        <w:tab/>
      </w:r>
      <w:r>
        <w:rPr>
          <w:noProof/>
        </w:rPr>
        <w:t>Zastosowanie w niniejszej sprawie</w:t>
      </w:r>
    </w:p>
    <w:p>
      <w:pPr>
        <w:rPr>
          <w:noProof/>
        </w:rPr>
      </w:pPr>
      <w:r>
        <w:rPr>
          <w:noProof/>
        </w:rPr>
        <w:t>Rada WCO jest organem utworzonym na mocy umowy, a mianowicie Konwencji o utworzeniu Rady Współpracy Celnej z dnia 15 grudnia 1950 r. Jest to organ mający za zadanie – na podstawie Międzynarodowej konwencji w sprawie zharmonizowanego systemu oznaczania i kodowania towarów – wydawanie zaleceń dla umawiających się stron w sprawie zmian tej konwencji.</w:t>
      </w:r>
    </w:p>
    <w:p>
      <w:pPr>
        <w:rPr>
          <w:noProof/>
        </w:rPr>
      </w:pPr>
      <w:r>
        <w:rPr>
          <w:noProof/>
        </w:rPr>
        <w:t>Oczekuje się, że Rada WCO na swoim posiedzeniu w czerwcu zaleci umawiającym się stronom systemu zharmonizowanego dokonanie zmiany załącznika do wspomnianej konwencji (do nomenklatury HS), która to zmiana zostanie uznana za przyjętą w ciągu sześciu miesięcy, chyba że któraś umawiająca się strona wyrazi swój sprzeciw. Po przyjęciu zalecenie to zostanie włączone do prawodawstwa UE, a mianowicie do załącznika 1 do rozporządzenia Rady (EWG) nr 2658/87 w sprawie nomenklatury taryfowej i statystycznej oraz w sprawie Wspólnej Taryfy Celnej. Wynika to z tego, że art. 1 ust. 2 lit. a) wspomnianego rozporządzenia stanowi, iż</w:t>
      </w:r>
      <w:r>
        <w:rPr>
          <w:i/>
          <w:noProof/>
        </w:rPr>
        <w:t> </w:t>
      </w:r>
      <w:r>
        <w:rPr>
          <w:noProof/>
        </w:rPr>
        <w:t>„2. Nomenklatura Scalona obejmuje:</w:t>
      </w:r>
      <w:r>
        <w:rPr>
          <w:i/>
          <w:noProof/>
        </w:rPr>
        <w:t xml:space="preserve"> </w:t>
      </w:r>
      <w:r>
        <w:rPr>
          <w:noProof/>
        </w:rPr>
        <w:t xml:space="preserve">a) nomenklaturę Systemu Zharmonizowanego”. </w:t>
      </w:r>
    </w:p>
    <w:p>
      <w:pPr>
        <w:rPr>
          <w:noProof/>
        </w:rPr>
      </w:pPr>
      <w:r>
        <w:rPr>
          <w:noProof/>
        </w:rPr>
        <w:lastRenderedPageBreak/>
        <w:t>Planowany akt nie uzupełnia ani nie zmienia ram instytucjonalnych umowy.</w:t>
      </w:r>
    </w:p>
    <w:p>
      <w:pPr>
        <w:rPr>
          <w:noProof/>
        </w:rPr>
      </w:pPr>
      <w:r>
        <w:rPr>
          <w:noProof/>
        </w:rPr>
        <w:t>W związku z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Ponieważ główny cel i przedmiot planowanego aktu dotyczą unii celnej, materialną podstawą prawną proponowanej decyzji jest art. 28 ust. 1 TFUE.</w:t>
      </w:r>
    </w:p>
    <w:p>
      <w:pPr>
        <w:rPr>
          <w:noProof/>
        </w:rPr>
      </w:pPr>
      <w:r>
        <w:rPr>
          <w:noProof/>
        </w:rPr>
        <w:t>4.3. Wniosek</w:t>
      </w:r>
    </w:p>
    <w:p>
      <w:pPr>
        <w:rPr>
          <w:noProof/>
        </w:rPr>
      </w:pPr>
      <w:r>
        <w:rPr>
          <w:noProof/>
        </w:rPr>
        <w:t>Podstawą prawną proponowanej decyzji powinien być art. 28 ust. 1 TFUE w związku z art. 218 ust. 9 TFUE.</w:t>
      </w:r>
    </w:p>
    <w:p>
      <w:pPr>
        <w:rPr>
          <w:noProof/>
        </w:rPr>
      </w:pPr>
    </w:p>
    <w:p>
      <w:pPr>
        <w:pStyle w:val="ManualHeading1"/>
        <w:rPr>
          <w:noProof/>
        </w:rPr>
      </w:pPr>
      <w:r>
        <w:t>5.</w:t>
      </w:r>
      <w:r>
        <w:tab/>
      </w:r>
      <w:r>
        <w:rPr>
          <w:noProof/>
        </w:rPr>
        <w:t xml:space="preserve">Wpływ na budżet </w:t>
      </w:r>
    </w:p>
    <w:p>
      <w:pPr>
        <w:rPr>
          <w:noProof/>
        </w:rPr>
      </w:pPr>
      <w:r>
        <w:rPr>
          <w:noProof/>
        </w:rPr>
        <w:t xml:space="preserve">Wniosek nie ma wpływu finansowego na budżet Unii Europejskiej. </w:t>
      </w:r>
    </w:p>
    <w:p>
      <w:pPr>
        <w:pStyle w:val="ManualHeading1"/>
        <w:rPr>
          <w:noProof/>
        </w:rPr>
      </w:pPr>
      <w:r>
        <w:t>6.</w:t>
      </w:r>
      <w:r>
        <w:tab/>
      </w:r>
      <w:r>
        <w:rPr>
          <w:noProof/>
        </w:rPr>
        <w:t>Publikacja planowanego aktu</w:t>
      </w:r>
    </w:p>
    <w:p>
      <w:pPr>
        <w:rPr>
          <w:noProof/>
        </w:rPr>
      </w:pPr>
      <w:r>
        <w:rPr>
          <w:noProof/>
        </w:rPr>
        <w:t>Brak.</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2019/0069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ma zostać zajęte w imieniu Unii Europejskiej na forum Światowej Organizacji Celnej w odniesieniu do systemu zharmonizowanego</w:t>
      </w:r>
    </w:p>
    <w:p>
      <w:pPr>
        <w:pStyle w:val="Institutionquiagit"/>
        <w:rPr>
          <w:b/>
          <w:noProof/>
        </w:rPr>
      </w:pPr>
      <w:r>
        <w:rPr>
          <w:b/>
          <w:noProof/>
        </w:rPr>
        <w:t>RADA UNII EUROPEJSKIEJ,</w:t>
      </w:r>
    </w:p>
    <w:p>
      <w:pPr>
        <w:rPr>
          <w:noProof/>
        </w:rPr>
      </w:pPr>
      <w:r>
        <w:rPr>
          <w:noProof/>
        </w:rPr>
        <w:t>uwzględniając Traktat o funkcjonowaniu Unii Europejskiej, w szczególności jego art. 28 ust. 1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Międzynarodowa konwencja w sprawie zharmonizowanego systemu oznaczania i kodowania towarów („umowa”) została zawarta przez Unię na mocy decyzji Rady 87/369 z dnia 7 kwietnia 1987 r.</w:t>
      </w:r>
      <w:r>
        <w:rPr>
          <w:rStyle w:val="FootnoteReference"/>
          <w:noProof/>
        </w:rPr>
        <w:footnoteReference w:id="7"/>
      </w:r>
      <w:r>
        <w:rPr>
          <w:noProof/>
        </w:rPr>
        <w:t xml:space="preserve"> i weszła w życie w dniu 1 stycznia 1988 r. </w:t>
      </w:r>
    </w:p>
    <w:p>
      <w:pPr>
        <w:pStyle w:val="ManualConsidrant"/>
        <w:rPr>
          <w:noProof/>
        </w:rPr>
      </w:pPr>
      <w:r>
        <w:t>(2)</w:t>
      </w:r>
      <w:r>
        <w:tab/>
      </w:r>
      <w:r>
        <w:rPr>
          <w:noProof/>
        </w:rPr>
        <w:t>Zgodnie z art. 7 umowy Komitet ds. Systemu Zharmonizowanego może przygotowywać Radzie WCO propozycje zmian do nomenklatury HS. Zgodnie z art. 16 umowy Rada WCO może zalecić umawiającym się stronom wprowadzenie takich zmian.</w:t>
      </w:r>
    </w:p>
    <w:p>
      <w:pPr>
        <w:pStyle w:val="ManualConsidrant"/>
        <w:rPr>
          <w:noProof/>
        </w:rPr>
      </w:pPr>
      <w:r>
        <w:t>(3)</w:t>
      </w:r>
      <w:r>
        <w:tab/>
      </w:r>
      <w:r>
        <w:rPr>
          <w:noProof/>
        </w:rPr>
        <w:t xml:space="preserve">Oczekuje się, że Rada WCO podejmie decyzję w sprawie zalecenia dla umawiających się stron dotyczącego zmiany działu 24 nomenklatury HS na swojej sesji czerwcowej. Takie zalecenie zostanie przyjęte na podstawie wniosku dotyczącego zmiany przygotowanego przez Komitet ds. Systemu Zharmonizowanego, który to wniosek powinien zostać sfinalizowany na 63. sesji/posiedzeniu Komitetu w dniach 19–29 marca 2019 r. </w:t>
      </w:r>
    </w:p>
    <w:p>
      <w:pPr>
        <w:pStyle w:val="ManualConsidrant"/>
        <w:rPr>
          <w:noProof/>
        </w:rPr>
      </w:pPr>
      <w:r>
        <w:t>(4)</w:t>
      </w:r>
      <w:r>
        <w:tab/>
      </w:r>
      <w:r>
        <w:rPr>
          <w:noProof/>
        </w:rPr>
        <w:t>Na 8. konferencji stron Ramowej konwencji Światowej Organizacji Zdrowia o ograniczeniu użycia tytoniu (FCTC) przyjęto decyzję FCTC/COP8(22) w sprawie nowatorskich i nowo powstających wyrobów tytoniowych, by pozyskać dalsze dane naukowe na temat tych wyrobów, a w szczególności dokładniej wyjaśnić ich właściwości i emisje.</w:t>
      </w:r>
    </w:p>
    <w:p>
      <w:pPr>
        <w:pStyle w:val="ManualConsidrant"/>
        <w:rPr>
          <w:noProof/>
        </w:rPr>
      </w:pPr>
      <w:r>
        <w:t>(5)</w:t>
      </w:r>
      <w:r>
        <w:tab/>
      </w:r>
      <w:r>
        <w:rPr>
          <w:noProof/>
        </w:rPr>
        <w:t>Należy przypomnieć, że zgodnie z utrwalonym orzecznictwem Trybunału Sprawiedliwości Unii Europejskiej, w interesie pewności prawnej i ułatwienia weryfikacji, decydującym kryterium przy klasyfikacji towarów do celów celnych są zasadniczo obiektywne cechy i właściwości towarów, określone w treści odpowiedniej pozycji w nomenklaturze celnej oraz w uwagach do sekcji i działów.</w:t>
      </w:r>
    </w:p>
    <w:p>
      <w:pPr>
        <w:pStyle w:val="ManualConsidrant"/>
        <w:rPr>
          <w:noProof/>
        </w:rPr>
      </w:pPr>
      <w:r>
        <w:t>(6)</w:t>
      </w:r>
      <w:r>
        <w:tab/>
      </w:r>
      <w:r>
        <w:rPr>
          <w:noProof/>
        </w:rPr>
        <w:t xml:space="preserve">Biorąc pod uwagę zalecenie w sprawie zmiany nomenklatury HS, która to zmiana ma zostać przyjęta przez Radę WCO, należy ustalić stanowisko, jakie ma zostać zajęte w imieniu Unii, ponieważ zalecenie to – po jego przyjęciu na mocy art. 16 umowy – będzie mogło mieć decydujący wpływ na treść prawa unijnego, a mianowicie na załącznik 1 do rozporządzenia Rady (EWG) nr 2658/87 w sprawie nomenklatury taryfowej i statystycznej oraz w sprawie Wspólnej Taryfy Celnej. Stanowisko to </w:t>
      </w:r>
      <w:r>
        <w:rPr>
          <w:noProof/>
        </w:rPr>
        <w:lastRenderedPageBreak/>
        <w:t>zostanie wyrażone na etapach przygotowawczych na forum Rady WCO, w tym Komitetu ds. Systemu Zharmonizowanego.</w:t>
      </w:r>
    </w:p>
    <w:p>
      <w:pPr>
        <w:pStyle w:val="ManualConsidrant"/>
        <w:rPr>
          <w:noProof/>
        </w:rPr>
      </w:pPr>
      <w:r>
        <w:t>(7)</w:t>
      </w:r>
      <w:r>
        <w:tab/>
      </w:r>
      <w:r>
        <w:rPr>
          <w:noProof/>
        </w:rPr>
        <w:t xml:space="preserve">Należy poprzeć projekt zmiany nomenklatury HS dotyczącej działu 24 oraz wyrazić stanowisko i preferencje Unii w odniesieniu do tekstów, co do których decyzja zostanie dopiero podjęta, przy czym w czasie posiedzenia Komitetu ds. Systemu Zharmonizowanego UE poprze projekt wniosku opracowany przez Komitet, jeżeli będzie on zgodny ze stanowiskiem większości umawiających się stron, </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Stanowisko, jakie ma zostać zajęte w imieniu Unii w Radzie WCO, określone jest w załączniku.</w:t>
      </w:r>
    </w:p>
    <w:p>
      <w:pPr>
        <w:pStyle w:val="Titrearticle"/>
        <w:rPr>
          <w:noProof/>
        </w:rPr>
      </w:pPr>
      <w:r>
        <w:rPr>
          <w:noProof/>
        </w:rPr>
        <w:t>Artykuł 2</w:t>
      </w:r>
    </w:p>
    <w:p>
      <w:pPr>
        <w:rPr>
          <w:noProof/>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 xml:space="preserve">Przewodniczący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„Nowatorskie” wyroby tytoniowe w kontekście dyskusji dotyczącej HS niekoniecznie są identyczne z wyrobami objętymi definicją „nowatorskich wyrobów tytoniowych” zawartą w art. 2 pkt 14 dyrektywy Parlamentu Europejskiego i Rady 2014/40/UE z dnia 3 kwietnia 2014 r. w sprawie zbliżenia przepisów ustawowych, wykonawczych i administracyjnych państw członkowskich w sprawie produkcji, prezentowania i sprzedaży wyrobów tytoniowych i powiązanych wyrobów oraz uchylającej dyrektywę 2001/37/WE (Dz.U. L 127 z 29.4.2014, s. 1). </w:t>
      </w:r>
    </w:p>
  </w:footnote>
  <w:footnote w:id="2">
    <w:p>
      <w:pPr>
        <w:pStyle w:val="FootnoteText"/>
      </w:pPr>
      <w:r>
        <w:rPr>
          <w:rStyle w:val="FootnoteReference"/>
        </w:rPr>
        <w:footnoteRef/>
      </w:r>
      <w:r>
        <w:tab/>
        <w:t>Od chwili jej wprowadzenia w 1988 r. nomenklatura HS była zmieniana pięciokrotnie. Zmiany te weszły w życie w latach 1996, 2002, 2007, 2012 i 2017.</w:t>
      </w:r>
    </w:p>
  </w:footnote>
  <w:footnote w:id="3">
    <w:p>
      <w:pPr>
        <w:pStyle w:val="FootnoteText"/>
      </w:pPr>
      <w:r>
        <w:rPr>
          <w:rStyle w:val="FootnoteReference"/>
        </w:rPr>
        <w:footnoteRef/>
      </w:r>
      <w:r>
        <w:tab/>
        <w:t>Decyzja Rady 87/369 z dnia 7 kwietnia 1987 r. dotycząca zawarcia Międzynarodowej konwencji w sprawie</w:t>
      </w:r>
      <w:r>
        <w:rPr>
          <w:color w:val="0000FF"/>
          <w:sz w:val="24"/>
        </w:rPr>
        <w:t xml:space="preserve"> </w:t>
      </w:r>
      <w:r>
        <w:t>zharmonizowanego systemu oznaczania i kodowania towarów oraz protokołu zmian do tej konwencji (Dz.U. L 198 z 20.7.1987, s. 1).</w:t>
      </w:r>
    </w:p>
  </w:footnote>
  <w:footnote w:id="4">
    <w:p>
      <w:pPr>
        <w:pStyle w:val="FootnoteText"/>
      </w:pPr>
      <w:r>
        <w:rPr>
          <w:rStyle w:val="FootnoteReference"/>
        </w:rPr>
        <w:footnoteRef/>
      </w:r>
      <w:r>
        <w:tab/>
        <w:t>Decyzja FCTC/COP8(22).</w:t>
      </w:r>
    </w:p>
  </w:footnote>
  <w:footnote w:id="5">
    <w:p>
      <w:pPr>
        <w:pStyle w:val="FootnoteText"/>
        <w:ind w:left="709" w:hanging="709"/>
      </w:pPr>
      <w:r>
        <w:rPr>
          <w:rStyle w:val="FootnoteReference"/>
        </w:rPr>
        <w:footnoteRef/>
      </w:r>
      <w:r>
        <w:tab/>
        <w:t>Pozycja 24.02 obejmuje: „Cygara, nawet z obciętymi końcami, cygaretki i papierosy, z tytoniu lub namiastek tytoniu”. Pozycja 24.03 obejmuje „Pozostały przetworzony tytoń i przetworzone namiastki tytoniu; tytoń »homogenizowany« lub »odtworzony«; ekstrakty i esencje, z tytoniu”.</w:t>
      </w:r>
    </w:p>
  </w:footnote>
  <w:footnote w:id="6">
    <w:p>
      <w:pPr>
        <w:pStyle w:val="FootnoteText"/>
      </w:pPr>
      <w:r>
        <w:rPr>
          <w:rStyle w:val="FootnoteReference"/>
        </w:rPr>
        <w:footnoteRef/>
      </w:r>
      <w:r>
        <w:tab/>
        <w:t xml:space="preserve">Wyrok Trybunału Sprawiedliwości z dnia 7 października 2014 r., Niemcy przeciwko Radzie, sprawa C-399/12, ECLI:EU:C:2014:2258, pkt 61–64. </w:t>
      </w:r>
    </w:p>
  </w:footnote>
  <w:footnote w:id="7">
    <w:p>
      <w:pPr>
        <w:pStyle w:val="FootnoteText"/>
      </w:pPr>
      <w:r>
        <w:rPr>
          <w:rStyle w:val="FootnoteReference"/>
        </w:rPr>
        <w:footnoteRef/>
      </w:r>
      <w:r>
        <w:tab/>
        <w:t>Dz.U. L 198 z 20.7.1987,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4: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B63BA33-09CA-40D3-8CFD-881240D51A8C"/>
    <w:docVar w:name="LW_COVERPAGE_TYPE" w:val="1"/>
    <w:docVar w:name="LW_CROSSREFERENCE" w:val="&lt;UNUSED&gt;"/>
    <w:docVar w:name="LW_DocType" w:val="COM"/>
    <w:docVar w:name="LW_EMISSION" w:val="1.3.2019"/>
    <w:docVar w:name="LW_EMISSION_ISODATE" w:val="2019-03-01"/>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69"/>
    <w:docVar w:name="LW_REF.II.NEW.CP_YEAR" w:val="2019"/>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stanowiska, jakie ma zosta\u263? zaj\u281?te w imieniu Unii Europejskiej na forum \u346?wiatowej Organizacji Celnej w odniesieniu do systemu zharmonizowanego"/>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l-PL" w:eastAsia="pl-P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pl-PL"/>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pl-PL" w:eastAsia="pl-PL"/>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pl-P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pl-PL"/>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pl-PL" w:eastAsia="pl-PL"/>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l-PL" w:eastAsia="pl-P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pl-PL"/>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pl-PL" w:eastAsia="pl-PL"/>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pl-P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pl-PL"/>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pl-PL" w:eastAsia="pl-PL"/>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186">
      <w:bodyDiv w:val="1"/>
      <w:marLeft w:val="0"/>
      <w:marRight w:val="0"/>
      <w:marTop w:val="0"/>
      <w:marBottom w:val="0"/>
      <w:divBdr>
        <w:top w:val="none" w:sz="0" w:space="0" w:color="auto"/>
        <w:left w:val="none" w:sz="0" w:space="0" w:color="auto"/>
        <w:bottom w:val="none" w:sz="0" w:space="0" w:color="auto"/>
        <w:right w:val="none" w:sz="0" w:space="0" w:color="auto"/>
      </w:divBdr>
      <w:divsChild>
        <w:div w:id="928659607">
          <w:marLeft w:val="0"/>
          <w:marRight w:val="0"/>
          <w:marTop w:val="0"/>
          <w:marBottom w:val="0"/>
          <w:divBdr>
            <w:top w:val="none" w:sz="0" w:space="0" w:color="auto"/>
            <w:left w:val="none" w:sz="0" w:space="0" w:color="auto"/>
            <w:bottom w:val="none" w:sz="0" w:space="0" w:color="auto"/>
            <w:right w:val="none" w:sz="0" w:space="0" w:color="auto"/>
          </w:divBdr>
          <w:divsChild>
            <w:div w:id="580330350">
              <w:marLeft w:val="1350"/>
              <w:marRight w:val="0"/>
              <w:marTop w:val="375"/>
              <w:marBottom w:val="600"/>
              <w:divBdr>
                <w:top w:val="none" w:sz="0" w:space="0" w:color="auto"/>
                <w:left w:val="none" w:sz="0" w:space="0" w:color="auto"/>
                <w:bottom w:val="none" w:sz="0" w:space="0" w:color="auto"/>
                <w:right w:val="none" w:sz="0" w:space="0" w:color="auto"/>
              </w:divBdr>
              <w:divsChild>
                <w:div w:id="1185754947">
                  <w:marLeft w:val="0"/>
                  <w:marRight w:val="0"/>
                  <w:marTop w:val="0"/>
                  <w:marBottom w:val="0"/>
                  <w:divBdr>
                    <w:top w:val="none" w:sz="0" w:space="0" w:color="auto"/>
                    <w:left w:val="none" w:sz="0" w:space="0" w:color="auto"/>
                    <w:bottom w:val="none" w:sz="0" w:space="0" w:color="auto"/>
                    <w:right w:val="none" w:sz="0" w:space="0" w:color="auto"/>
                  </w:divBdr>
                  <w:divsChild>
                    <w:div w:id="370570500">
                      <w:marLeft w:val="0"/>
                      <w:marRight w:val="0"/>
                      <w:marTop w:val="0"/>
                      <w:marBottom w:val="0"/>
                      <w:divBdr>
                        <w:top w:val="none" w:sz="0" w:space="0" w:color="auto"/>
                        <w:left w:val="none" w:sz="0" w:space="0" w:color="auto"/>
                        <w:bottom w:val="none" w:sz="0" w:space="0" w:color="auto"/>
                        <w:right w:val="none" w:sz="0" w:space="0" w:color="auto"/>
                      </w:divBdr>
                      <w:divsChild>
                        <w:div w:id="360327064">
                          <w:marLeft w:val="0"/>
                          <w:marRight w:val="0"/>
                          <w:marTop w:val="0"/>
                          <w:marBottom w:val="0"/>
                          <w:divBdr>
                            <w:top w:val="none" w:sz="0" w:space="0" w:color="auto"/>
                            <w:left w:val="none" w:sz="0" w:space="0" w:color="auto"/>
                            <w:bottom w:val="none" w:sz="0" w:space="0" w:color="auto"/>
                            <w:right w:val="none" w:sz="0" w:space="0" w:color="auto"/>
                          </w:divBdr>
                          <w:divsChild>
                            <w:div w:id="866144496">
                              <w:marLeft w:val="0"/>
                              <w:marRight w:val="0"/>
                              <w:marTop w:val="0"/>
                              <w:marBottom w:val="0"/>
                              <w:divBdr>
                                <w:top w:val="none" w:sz="0" w:space="0" w:color="auto"/>
                                <w:left w:val="none" w:sz="0" w:space="0" w:color="auto"/>
                                <w:bottom w:val="none" w:sz="0" w:space="0" w:color="auto"/>
                                <w:right w:val="none" w:sz="0" w:space="0" w:color="auto"/>
                              </w:divBdr>
                              <w:divsChild>
                                <w:div w:id="841965663">
                                  <w:marLeft w:val="0"/>
                                  <w:marRight w:val="0"/>
                                  <w:marTop w:val="0"/>
                                  <w:marBottom w:val="0"/>
                                  <w:divBdr>
                                    <w:top w:val="none" w:sz="0" w:space="0" w:color="auto"/>
                                    <w:left w:val="none" w:sz="0" w:space="0" w:color="auto"/>
                                    <w:bottom w:val="none" w:sz="0" w:space="0" w:color="auto"/>
                                    <w:right w:val="none" w:sz="0" w:space="0" w:color="auto"/>
                                  </w:divBdr>
                                  <w:divsChild>
                                    <w:div w:id="182477068">
                                      <w:marLeft w:val="150"/>
                                      <w:marRight w:val="150"/>
                                      <w:marTop w:val="150"/>
                                      <w:marBottom w:val="150"/>
                                      <w:divBdr>
                                        <w:top w:val="single" w:sz="36" w:space="8" w:color="E6E9EB"/>
                                        <w:left w:val="single" w:sz="36" w:space="8" w:color="E6E9EB"/>
                                        <w:bottom w:val="single" w:sz="36" w:space="8" w:color="E6E9EB"/>
                                        <w:right w:val="single" w:sz="36" w:space="8" w:color="E6E9EB"/>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E9DC-0268-4C54-A221-6FC7B9D6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Pages>
  <Words>2232</Words>
  <Characters>13774</Characters>
  <Application>Microsoft Office Word</Application>
  <DocSecurity>0</DocSecurity>
  <Lines>250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2019-02-22T15:36:00Z</cp:lastPrinted>
  <dcterms:created xsi:type="dcterms:W3CDTF">2019-03-08T10:33:00Z</dcterms:created>
  <dcterms:modified xsi:type="dcterms:W3CDTF">2019-03-11T09:14:00Z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