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C26B9C-5DE0-4076-8D80-56E829B9811E" style="width:450.65pt;height:35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rFonts w:eastAsia="Arial Unicode MS"/>
          <w:noProof/>
        </w:rPr>
      </w:pPr>
      <w:r>
        <w:t>1.</w:t>
      </w:r>
      <w:r>
        <w:tab/>
      </w:r>
      <w:r>
        <w:rPr>
          <w:noProof/>
        </w:rPr>
        <w:t>A javaslat tárgya</w:t>
      </w:r>
    </w:p>
    <w:p>
      <w:pPr>
        <w:rPr>
          <w:rFonts w:eastAsia="Arial Unicode MS"/>
          <w:noProof/>
        </w:rPr>
      </w:pPr>
      <w:r>
        <w:rPr>
          <w:noProof/>
        </w:rPr>
        <w:t>E javaslat tárgya az Unió által a Vámigazgatások Világszervezetének Tanácsában a harmonizált rendszer nómenklatúrájának új dohánytermék-kategóriák</w:t>
      </w:r>
      <w:r>
        <w:rPr>
          <w:rStyle w:val="FootnoteReference"/>
          <w:noProof/>
        </w:rPr>
        <w:footnoteReference w:id="1"/>
      </w:r>
      <w:r>
        <w:rPr>
          <w:noProof/>
        </w:rPr>
        <w:t xml:space="preserve"> tekintetében történő módosításának tervezett elfogadásával kapcsolatban képviselendő álláspont meghatározásáról szóló határozat.</w:t>
      </w:r>
    </w:p>
    <w:p>
      <w:pPr>
        <w:pStyle w:val="ManualHeading1"/>
        <w:rPr>
          <w:noProof/>
        </w:rPr>
      </w:pPr>
      <w:r>
        <w:t>2.</w:t>
      </w:r>
      <w:r>
        <w:tab/>
      </w:r>
      <w:r>
        <w:rPr>
          <w:noProof/>
        </w:rPr>
        <w:t>A JAVASLAT HÁTTERE</w:t>
      </w:r>
    </w:p>
    <w:p>
      <w:pPr>
        <w:pStyle w:val="ManualHeading2"/>
        <w:rPr>
          <w:noProof/>
        </w:rPr>
      </w:pPr>
      <w:r>
        <w:t>2.1.</w:t>
      </w:r>
      <w:r>
        <w:tab/>
      </w:r>
      <w:r>
        <w:rPr>
          <w:noProof/>
        </w:rPr>
        <w:t>Nemzetközi egyezmény a Harmonizált Áruleíró és Kódrendszerről</w:t>
      </w:r>
    </w:p>
    <w:p>
      <w:pPr>
        <w:rPr>
          <w:rFonts w:eastAsia="Arial Unicode MS"/>
          <w:noProof/>
        </w:rPr>
      </w:pPr>
      <w:r>
        <w:rPr>
          <w:noProof/>
        </w:rPr>
        <w:t>A Harmonizált Áruleíró és Kódrendszerről szóló nemzetközi egyezmény (a továbbiakban: HR-egyezmény) célja a nemzetközi kereskedelmi eljárások egyszerűsítése, valamint elsősorban a nemzetközi kereskedelemre vonatkozó statisztikák gyűjtése, összehasonlítása és elemzése. A HR-egyezmény mellékletként magában foglalja a harmonizált rendszer szerinti nómenklatúrát, amely nemzetközi szinten harmonizált rendszerként lehetővé teszi a részt vevő országok számára, hogy vámügyi célokból közös alapokon osztályozzák a kereskedelemben részt vevő árukat. A HR-nómenklatúra tartalmazza az áruk megnevezését vámtarifaszámok és vámtarifaalszámok szerint, valamint az ezekhez tartozó, hatjegyű kódrendszeren alapuló számkódot. A HR-nómenklatúrát ötévenként felülvizsgálják</w:t>
      </w:r>
      <w:r>
        <w:rPr>
          <w:rStyle w:val="FootnoteReference"/>
          <w:noProof/>
        </w:rPr>
        <w:footnoteReference w:id="2"/>
      </w:r>
      <w:r>
        <w:rPr>
          <w:noProof/>
        </w:rPr>
        <w:t>. Világszerte több mint 190 közigazgatás alkalmazza; következésképpen a világon kereskedelmi forgalomban lévő áruk több mint 98 %-át eszerint osztályozzák.</w:t>
      </w:r>
    </w:p>
    <w:p>
      <w:pPr>
        <w:rPr>
          <w:rFonts w:eastAsia="Arial Unicode MS"/>
          <w:noProof/>
        </w:rPr>
      </w:pPr>
      <w:r>
        <w:rPr>
          <w:noProof/>
        </w:rPr>
        <w:t>A HR-egyezmény 1988. január 1-jén hatályba lépett.</w:t>
      </w:r>
    </w:p>
    <w:p>
      <w:pPr>
        <w:rPr>
          <w:rFonts w:eastAsia="Arial Unicode MS"/>
          <w:noProof/>
        </w:rPr>
      </w:pPr>
      <w:r>
        <w:rPr>
          <w:noProof/>
        </w:rPr>
        <w:t>Az Európai Unió és valamennyi tagállama a HR-egyezmény részes fele</w:t>
      </w:r>
      <w:r>
        <w:rPr>
          <w:rStyle w:val="FootnoteReference"/>
          <w:noProof/>
        </w:rPr>
        <w:footnoteReference w:id="3"/>
      </w:r>
      <w:r>
        <w:rPr>
          <w:noProof/>
        </w:rPr>
        <w:t>.</w:t>
      </w:r>
    </w:p>
    <w:p>
      <w:pPr>
        <w:pStyle w:val="ManualHeading2"/>
        <w:rPr>
          <w:noProof/>
        </w:rPr>
      </w:pPr>
      <w:r>
        <w:t>2.2.</w:t>
      </w:r>
      <w:r>
        <w:tab/>
      </w:r>
      <w:r>
        <w:rPr>
          <w:noProof/>
        </w:rPr>
        <w:t>A Vámigazgatások Világszervezete</w:t>
      </w:r>
    </w:p>
    <w:p>
      <w:pPr>
        <w:rPr>
          <w:rFonts w:eastAsia="Arial Unicode MS"/>
          <w:noProof/>
        </w:rPr>
      </w:pPr>
      <w:r>
        <w:rPr>
          <w:noProof/>
        </w:rPr>
        <w:t>A Vámigazgatások Világszervezete 1952-ben alakult meg Vámegyüttműködési Tanács néven. E független kormányközi szerv célja a vámigazgatási szervek hatékonyságának és eredményességének javítása. A Vámigazgatások Világszervezete számos egyezményt és egyéb nemzetközi jogi eszközt, valamint technikai segítségnyújtást és képzési szolgáltatásokat kínál tagjai számára. A Vámigazgatások Világszervezete jelenleg 182 vámigazgatást képvisel a világ minden részéről.</w:t>
      </w:r>
    </w:p>
    <w:p>
      <w:pPr>
        <w:rPr>
          <w:rFonts w:eastAsia="Arial Unicode MS"/>
          <w:noProof/>
        </w:rPr>
      </w:pPr>
      <w:r>
        <w:rPr>
          <w:noProof/>
        </w:rPr>
        <w:t>A Vámigazgatások Világszervezetének irányító szerve a Tanács, melynek munkáját céljainak elérése érdekében a titkárság, továbbá számos technikai és tanácsadó bizottság segíti szaktudásával.</w:t>
      </w:r>
    </w:p>
    <w:p>
      <w:pPr>
        <w:rPr>
          <w:rFonts w:eastAsiaTheme="majorEastAsia"/>
          <w:bCs/>
          <w:noProof/>
          <w:szCs w:val="26"/>
        </w:rPr>
      </w:pPr>
      <w:r>
        <w:rPr>
          <w:noProof/>
        </w:rPr>
        <w:t>A Vámigazgatások Világszervezetén belül a HR-egyezménnyel kapcsolatos előkészítő munka elvégzésével megbízott technikai bizottság a HR Bizottság. A HR Bizottság legfontosabb feladatai a következők:</w:t>
      </w:r>
    </w:p>
    <w:p>
      <w:pPr>
        <w:pStyle w:val="Bullet0"/>
        <w:numPr>
          <w:ilvl w:val="0"/>
          <w:numId w:val="18"/>
        </w:numPr>
        <w:rPr>
          <w:noProof/>
        </w:rPr>
      </w:pPr>
      <w:r>
        <w:rPr>
          <w:noProof/>
        </w:rPr>
        <w:t>biztosítja a harmonizált rendszer jogi szövegeinek egységes értelmezését és alkalmazását, ideértve a Szerződő Felek között az osztályozással kapcsolatban felmerült viták rendezését is, ezzel is egyszerűsítve a kereskedelmi eljárásokat;</w:t>
      </w:r>
    </w:p>
    <w:p>
      <w:pPr>
        <w:pStyle w:val="Bullet0"/>
        <w:rPr>
          <w:noProof/>
        </w:rPr>
      </w:pPr>
      <w:r>
        <w:rPr>
          <w:noProof/>
        </w:rPr>
        <w:t>javaslatot tesz a harmonizált rendszer módosítására és frissítésére annak érdekében, hogy az figyelembe vegye a technológiai fejleményeket és a kereskedelem szerkezetében bekövetkezett változásokat, valamint a harmonizált rendszer felhasználóinak egyéb igényeit;</w:t>
      </w:r>
    </w:p>
    <w:p>
      <w:pPr>
        <w:pStyle w:val="Bullet0"/>
        <w:rPr>
          <w:noProof/>
        </w:rPr>
      </w:pPr>
      <w:r>
        <w:rPr>
          <w:noProof/>
        </w:rPr>
        <w:t>ösztönzi a harmonizált rendszer széles körű alkalmazását, valamint megvizsgálja a harmonizált rendszerrel kapcsolatos általános és szakpolitikai kérdéseket.</w:t>
      </w:r>
    </w:p>
    <w:p>
      <w:pPr>
        <w:ind w:left="720"/>
        <w:contextualSpacing/>
        <w:rPr>
          <w:rFonts w:eastAsiaTheme="majorEastAsia"/>
          <w:bCs/>
          <w:noProof/>
          <w:szCs w:val="26"/>
        </w:rPr>
      </w:pPr>
    </w:p>
    <w:p>
      <w:pPr>
        <w:rPr>
          <w:rFonts w:eastAsiaTheme="majorEastAsia"/>
          <w:bCs/>
          <w:noProof/>
          <w:szCs w:val="26"/>
        </w:rPr>
      </w:pPr>
      <w:r>
        <w:rPr>
          <w:noProof/>
        </w:rPr>
        <w:t>A Vámigazgatások Világszervezetének Tanácsa megvizsgálja a HR-egyezmény módosítására vonatkozó, a HR Bizottság által elkészített javaslatokat, és ajánlásokat tehet ezekről a Szerződő Felek számára. A Vámigazgatások Világszervezetének Tanácsa által ajánlott módosítások akkor tekintendők elfogadottnak, ha az azok bejelentésétől számított hat hónapon belül egyik Szerződő Fél sem él kifogással.</w:t>
      </w:r>
    </w:p>
    <w:p>
      <w:pPr>
        <w:rPr>
          <w:rFonts w:eastAsiaTheme="majorEastAsia"/>
          <w:bCs/>
          <w:noProof/>
          <w:szCs w:val="26"/>
        </w:rPr>
      </w:pPr>
      <w:r>
        <w:rPr>
          <w:noProof/>
        </w:rPr>
        <w:t>Az Unió által a Vámigazgatások Világszervezetében a harmonizált rendszerrel kapcsolatban képviselendő álláspontról egyeztetnek a tagállamokkal. Az Unió és a tagállamok együttesen egyetlen szavazattal rendelkeznek a Vámigazgatások Világszervezetének Tanácsában.</w:t>
      </w:r>
    </w:p>
    <w:p>
      <w:pPr>
        <w:pStyle w:val="ManualHeading2"/>
        <w:rPr>
          <w:noProof/>
        </w:rPr>
      </w:pPr>
      <w:r>
        <w:t>2.3.</w:t>
      </w:r>
      <w:r>
        <w:tab/>
      </w:r>
      <w:r>
        <w:rPr>
          <w:noProof/>
        </w:rPr>
        <w:t>A Vámigazgatások Világszervezete Tanácsának tervezett jogi aktusa</w:t>
      </w:r>
    </w:p>
    <w:p>
      <w:pPr>
        <w:rPr>
          <w:rFonts w:eastAsia="Arial Unicode MS"/>
          <w:noProof/>
        </w:rPr>
      </w:pPr>
      <w:r>
        <w:rPr>
          <w:noProof/>
        </w:rPr>
        <w:t>2019. június 27–29-én a Vámigazgatások Világszervezetének Tanácsa a HR-egyezmény 16. cikke szerinti ajánlást tervez elfogadni a HR-nómenklatúra módosításairól. Ez magában foglalna többek között bizonyos új dohánytermék-kategóriákra vonatkozó módosításokat is (a továbbiakban: a tervezett jogi aktus).</w:t>
      </w:r>
    </w:p>
    <w:p>
      <w:pPr>
        <w:rPr>
          <w:rFonts w:eastAsia="Arial Unicode MS"/>
          <w:noProof/>
        </w:rPr>
      </w:pPr>
      <w:r>
        <w:rPr>
          <w:noProof/>
        </w:rPr>
        <w:t>Az ajánlás előkészítése érdekében a HR Bizottság 2019. március 19–29-i hatvanharmadik ülésén elkészíti a HR-nómenklatúrának az említett termékek tekintetében történő módosításáról szóló javaslattervezetet. Ezt a módosítást be fogják építeni a Vámigazgatások Világszervezetének Tanácsához címzett ajánlás tervezetébe, amely összesíti a HR-egyezmény mellékletének valamennyi javasolt módosítását (a márciusi ülésen elfogadottakat és a HR Bizottság korábbi ülésein elfogadottakat), amelyekről a Vámigazgatások Világszervezetének Tanácsa júniusi ülésén fog határozni. A felülvizsgált HR-nómenklatúra 2022-ben fog hatályba lépni.</w:t>
      </w:r>
    </w:p>
    <w:p>
      <w:pPr>
        <w:rPr>
          <w:rFonts w:eastAsia="Arial Unicode MS"/>
          <w:noProof/>
        </w:rPr>
      </w:pPr>
      <w:r>
        <w:rPr>
          <w:noProof/>
        </w:rPr>
        <w:t>A szóban forgó módosítástervezet a Vámigazgatások Világszervezetének a harmonizált rendszer felülvizsgálatával foglalkozó albizottsága által elvégzett munka eredménye. Az említett albizottság a 2018. novemberi 55. ülésén vitatta meg a javaslatot. Ekkor az EU még nem tudta megfogalmazni álláspontját. Az albizottság bemutatja munkája eredményét a HR Bizottságnak, hogy az véglegesítse a módosításjavaslat tervezetének azon részeit, amelyek még vita tárgyát képezik.</w:t>
      </w:r>
    </w:p>
    <w:p>
      <w:pPr>
        <w:rPr>
          <w:rFonts w:eastAsia="Arial Unicode MS"/>
          <w:noProof/>
        </w:rPr>
      </w:pPr>
      <w:r>
        <w:rPr>
          <w:noProof/>
        </w:rPr>
        <w:t>A tervezett jogi aktus célja, hogy módosítsa a HR-nómenklatúra szerkezetét azzal a céllal, hogy a „Dohányt, visszanyert dohányt, nikotint, illetve dohány- vagy nikotin-helyettesítőket tartalmazó, égés nélküli belégzésre szánt termékek; emberi szervezetbe való nikotinbevitelre szánt más nikotintartalmú termékek” megnevezésű új 24.04 vámtarifaszám alá sorolja be a hevített hordozóeszközön vagy máson keresztül történő belégzésre szánt új dohánytermék-kategóriákat.</w:t>
      </w:r>
    </w:p>
    <w:p>
      <w:pPr>
        <w:pStyle w:val="ManualHeading1"/>
        <w:rPr>
          <w:rFonts w:eastAsia="Arial Unicode MS"/>
          <w:noProof/>
        </w:rPr>
      </w:pPr>
      <w:r>
        <w:t>3.</w:t>
      </w:r>
      <w:r>
        <w:tab/>
      </w:r>
      <w:r>
        <w:rPr>
          <w:noProof/>
        </w:rPr>
        <w:t>Az Unió által képviselendő álláspont</w:t>
      </w:r>
    </w:p>
    <w:p>
      <w:pPr>
        <w:rPr>
          <w:noProof/>
        </w:rPr>
      </w:pPr>
      <w:r>
        <w:rPr>
          <w:noProof/>
        </w:rPr>
        <w:t>Az álláspontjavaslat a HR-nómenklatúra új dohánytermék-kategóriák tekintetében történő módosítástervezete melletti támogatás kifejezését célozza. Az álláspontjavaslat támogatja bizonyos szövegrészek beemelését a HR-nómenklatúra kiegészítő megjegyzései közé, amelyek a jelenlegi módosítástervezetben zárójelben szerepelnek, mivel azokról még nem született határozat.</w:t>
      </w:r>
    </w:p>
    <w:p>
      <w:pPr>
        <w:rPr>
          <w:noProof/>
        </w:rPr>
      </w:pPr>
      <w:r>
        <w:rPr>
          <w:noProof/>
        </w:rPr>
        <w:t>A jelenlegi HR-nómenklatúrában a legtöbb Szerződő Fél, köztük az Európai Unió is, bizonyos új dohánytermék-kategóriákat inkább a 2403.99 HR-vámtarifaalszám alatt „más feldolgozott dohány”-ként sorolna be. Jelenleg a Vámigazgatások Világszervezete nem hozott még végleges osztályozási határozatot az említett termékek vonatkozásában.</w:t>
      </w:r>
    </w:p>
    <w:p>
      <w:pPr>
        <w:rPr>
          <w:noProof/>
        </w:rPr>
      </w:pPr>
      <w:r>
        <w:rPr>
          <w:noProof/>
        </w:rPr>
        <w:t>Az EU számára fontos, hogy az ilyen új dohánytermék-kategóriákat külön vámtarifaszám alá sorolják be a felülvizsgált, 2022-ben hatályba lépő HR-nómenklatúrában, hogy egyszerűbbé váljon azok osztályozása. Fontos jelezni bizonyos preferenciákat a 24. árucsoporthoz fűzött új megjegyzések szövegezésének megválasztását illetően is, hogy egyértelművé váljon a határvonal az említett árucsoport különböző vámtarifaszámai között. Figyelembe kell venni a Vámigazgatások Világszervezete titkárságának az NC2591E1a (HSC/63) számú dokumentumban szereplő megjegyzéseit és javaslatait is.</w:t>
      </w:r>
    </w:p>
    <w:p>
      <w:pPr>
        <w:rPr>
          <w:noProof/>
        </w:rPr>
      </w:pPr>
      <w:r>
        <w:rPr>
          <w:noProof/>
        </w:rPr>
        <w:t>A javasolt álláspont ezért a következő:</w:t>
      </w:r>
    </w:p>
    <w:p>
      <w:pPr>
        <w:pStyle w:val="Tiret0"/>
        <w:numPr>
          <w:ilvl w:val="0"/>
          <w:numId w:val="19"/>
        </w:numPr>
        <w:rPr>
          <w:noProof/>
        </w:rPr>
      </w:pPr>
      <w:r>
        <w:rPr>
          <w:noProof/>
        </w:rPr>
        <w:t>Az új dohánytermék-kategóriák osztályba sorolásával kapcsolatosan az Uniónak emlékeztetnie kell a WHO/a Vámigazgatások Világszervezete 2018 szeptemberében kifejezett javaslata melletti eredeti álláspontjára, mely szerint az lenne az előnyben részesített opció, hogy az új hevített dohánytermékeket más dohánytermékekkel együtt a 24.03 vámtarifaszám alá csoportosítanák, és objektíven a fogyasztási módjuk alapján határoznák meg őket, amely fogyasztási módnak a része egy hevítési folyamat, szemben azzal, hogy az égés hiányára utalnának, amely opciót az Unió kifogásolja. Ugyanakkor az együttműködés szellemében és további mérlegelést követően az Unió jelenleg el tudja fogadni a Vámigazgatások Világszervezetének HR Bizottságában lezajlott többségi szavazás, valamint a Vámigazgatások Világszervezetének a HR felülvizsgálatával foglalkozó albizottsága által végzett további munka eredményeképpen kialakult opciót, miszerint az említett termékeket az új 24.04 vámtarifaszám alá kell besorolni. Ez az álláspont még módosulhat az ilyen termékek jellemzői és kibocsátása értékelésének függvényében, mely értékelésre az új és kialakulóban lévő dohánytermékekről szóló határozatnak</w:t>
      </w:r>
      <w:r>
        <w:rPr>
          <w:rStyle w:val="FootnoteReference"/>
          <w:noProof/>
        </w:rPr>
        <w:footnoteReference w:id="4"/>
      </w:r>
      <w:r>
        <w:rPr>
          <w:noProof/>
        </w:rPr>
        <w:t xml:space="preserve"> a WHO dohányzás-visszaszorítási keretegyezménye Részes Feleinek 8. Konferenciáján az Unió támogatásával történt elfogadását követően kerül sor.</w:t>
      </w:r>
    </w:p>
    <w:p>
      <w:pPr>
        <w:pStyle w:val="Tiret0"/>
        <w:rPr>
          <w:noProof/>
        </w:rPr>
      </w:pPr>
      <w:r>
        <w:rPr>
          <w:noProof/>
        </w:rPr>
        <w:t>A 24. árucsoporthoz fűzendő új 2. megjegyzéssel kapcsolatban: az Uniónak támogatnia kell a következő első opciót: „2.– A 24.04 vámtarifaszám nem tartalmazza a 24.02 és a 24.03 vámtarifaszám alatt meghatározott termékeket</w:t>
      </w:r>
      <w:r>
        <w:rPr>
          <w:rStyle w:val="FootnoteReference"/>
          <w:noProof/>
        </w:rPr>
        <w:footnoteReference w:id="5"/>
      </w:r>
      <w:r>
        <w:rPr>
          <w:noProof/>
        </w:rPr>
        <w:t>”. A Vámigazgatások Világszervezete titkárságának a fent említett dokumentumban kifejezett véleményével szemben az Unió nem támogatja, hogy bizonyos új dohánytermék-kategóriák osztályozásakor a 24.04 vámtarifaszámnak biztosítsanak elsőbbséget. Inkább helyénvaló, hogy az említett vámtarifaszám hatályát azokra a termékekre korlátozzák, amelyeket az egyértelműen meghatároz, így az ezen vámtarifaszám alá, de a 24. árucsoport más vámtarifaszámai (24.02 vagy 24.03) alá is besorolható dohánytermékeket átirányítanák inkább ezen másik vámtarifaszámok alá.</w:t>
      </w:r>
    </w:p>
    <w:p>
      <w:pPr>
        <w:pStyle w:val="Tiret0"/>
        <w:rPr>
          <w:noProof/>
        </w:rPr>
      </w:pPr>
      <w:r>
        <w:rPr>
          <w:noProof/>
        </w:rPr>
        <w:t>A 24. árucsoporthoz fűzendő új 3. megjegyzéssel kapcsolatban: az Unió nem támogatja a következő, zárójelben szereplő szövegrésznek a beillesztését: „füst keletkezésével is”. A füstre való utalás zavart okozhat a 24.02 (és 24.03) és a 24.04 vámtarifaszám alá tartozó termékek megkülönböztetése tekintetében, mivel az új 24.04 vámtarifaszám létrehozásának eredeti célja az olyan termékek elkülönítése, amelyeket nem a hagyományos módon szívnak el. Ugyanakkor ezen termékek jellemzőinek és kibocsátásának értékelése jelenleg folyamatban van a WHO dohányzás-visszaszorítási keretegyezménye Feleinek 8. Konferenciáján elfogadott, az új és kialakulóban lévő dohánytermékekről szóló határozat összefüggésében. Ezért inkább helyénvaló lenne megvárni ezen értékelés eredményeit és felülvizsgálni a kérdést, amennyiben a vámügyi osztályba sorolás tekintetében releváns új bizonyíték születik.</w:t>
      </w:r>
    </w:p>
    <w:p>
      <w:pPr>
        <w:rPr>
          <w:noProof/>
        </w:rPr>
      </w:pPr>
      <w:r>
        <w:rPr>
          <w:noProof/>
        </w:rPr>
        <w:t>A javasolt uniós álláspont összhangban áll az áruknak a behozatalkor objektív jellemzőik és tulajdonságaik alapján történő osztályba sorolása vonatkozásában létrejött vámügyi szakpolitikával és az Európai Unió Bíróságának vonatkozó esetjogával.</w:t>
      </w:r>
    </w:p>
    <w:p>
      <w:pPr>
        <w:rPr>
          <w:noProof/>
        </w:rPr>
      </w:pPr>
      <w:r>
        <w:rPr>
          <w:noProof/>
        </w:rPr>
        <w:t>A javasolt álláspont szükséges ahhoz, hogy az EU állást foglalhasson a Vámigazgatások Világszervezete Tanácsának következő ülésén. Az EU ugyanezt az álláspontot fogja képviselni az előkészítő munka során, és különösen a HR Bizottság ülésén, szem előtt tartva azt, hogy a Harmonizált Rendszer Bizottság ülésén az EU akkor fogja támogatni e bizottság javaslatának szövegét, ha az megfelel a Szerződő Felek többsége álláspontjának.</w:t>
      </w:r>
    </w:p>
    <w:p>
      <w:pPr>
        <w:pStyle w:val="ManualHeading1"/>
        <w:rPr>
          <w:noProof/>
        </w:rPr>
      </w:pPr>
      <w:r>
        <w:t>4.</w:t>
      </w:r>
      <w:r>
        <w:tab/>
      </w:r>
      <w:r>
        <w:rPr>
          <w:noProof/>
        </w:rPr>
        <w:t>Jogalap</w:t>
      </w:r>
    </w:p>
    <w:p>
      <w:pPr>
        <w:pStyle w:val="ManualHeading3"/>
        <w:rPr>
          <w:noProof/>
        </w:rPr>
      </w:pPr>
      <w:r>
        <w:t>4.1.1.</w:t>
      </w:r>
      <w:r>
        <w:tab/>
      </w:r>
      <w:r>
        <w:rPr>
          <w:noProof/>
        </w:rPr>
        <w:t>Általános elvek</w:t>
      </w:r>
    </w:p>
    <w:p>
      <w:pPr>
        <w:rPr>
          <w:noProof/>
        </w:rPr>
      </w:pPr>
      <w:r>
        <w:rPr>
          <w:noProof/>
        </w:rPr>
        <w:t>Az Európai Unió működéséről szóló szerződés (a továbbiakban: EUMSZ) 218. cikkének (9) bekezdése határozatok elfogadásáról rendelkezik „</w:t>
      </w:r>
      <w:r>
        <w:rPr>
          <w:i/>
          <w:noProof/>
        </w:rPr>
        <w:t>a megállapodásokkal létrehozott szervekben az Unió által képviselendő álláspontok kialakítására vonatkozóan, amennyiben az ilyen szervnek joghatással bíró jogi aktust kell elfogadnia, kivéve a megállapodás intézményi kereteit kiegészítő vagy módosító jogi aktusokat</w:t>
      </w:r>
      <w:r>
        <w:rPr>
          <w:noProof/>
        </w:rPr>
        <w:t>”.</w:t>
      </w:r>
    </w:p>
    <w:p>
      <w:pPr>
        <w:rPr>
          <w:noProof/>
        </w:rPr>
      </w:pPr>
      <w:r>
        <w:rPr>
          <w:noProof/>
        </w:rPr>
        <w:t>A „</w:t>
      </w:r>
      <w:r>
        <w:rPr>
          <w:i/>
          <w:noProof/>
        </w:rPr>
        <w:t>joghatással bíró jogi aktus</w:t>
      </w:r>
      <w:r>
        <w:rPr>
          <w:noProof/>
        </w:rPr>
        <w:t>” fogalmába beletartoznak a nemzetközi jognak a kérdéses szervet szabályozó szabályai szerint joghatással bíró jogi aktusok. Ezenfelül a fogalom magában foglalja azokat az eszközöket is, melyek a nemzetközi jog szerint nem bírnak kötelező erővel, de „</w:t>
      </w:r>
      <w:r>
        <w:rPr>
          <w:i/>
          <w:noProof/>
        </w:rPr>
        <w:t>meghatározó módon befolyásolják az uniós jogalkotó által [...] elfogadott szabályozás tartalmát</w:t>
      </w:r>
      <w:r>
        <w:rPr>
          <w:noProof/>
        </w:rPr>
        <w:t>”</w:t>
      </w:r>
      <w:r>
        <w:rPr>
          <w:rStyle w:val="FootnoteReference"/>
          <w:noProof/>
        </w:rPr>
        <w:footnoteReference w:id="6"/>
      </w:r>
      <w:r>
        <w:rPr>
          <w:noProof/>
        </w:rPr>
        <w:t>.</w:t>
      </w:r>
    </w:p>
    <w:p>
      <w:pPr>
        <w:rPr>
          <w:noProof/>
        </w:rPr>
      </w:pPr>
      <w:r>
        <w:rPr>
          <w:noProof/>
        </w:rPr>
        <w:t>Ezért az Unió által a tervezett jogi aktussal kapcsolatosan képviselendő álláspontot meghatározó javasolt határozat eljárási jogalapja az EUMSZ 218. cikkének (9) bekezdése.</w:t>
      </w:r>
    </w:p>
    <w:p>
      <w:pPr>
        <w:pStyle w:val="ManualHeading3"/>
        <w:rPr>
          <w:noProof/>
        </w:rPr>
      </w:pPr>
      <w:r>
        <w:t>4.1.2.</w:t>
      </w:r>
      <w:r>
        <w:tab/>
      </w:r>
      <w:r>
        <w:rPr>
          <w:noProof/>
        </w:rPr>
        <w:t>A jelen esetre történő alkalmazás</w:t>
      </w:r>
    </w:p>
    <w:p>
      <w:pPr>
        <w:rPr>
          <w:noProof/>
        </w:rPr>
      </w:pPr>
      <w:r>
        <w:rPr>
          <w:noProof/>
        </w:rPr>
        <w:t>A Vámigazgatások Világszervezetének Tanácsát megállapodás, nevezetesen az 1950. december 15-i a Vámegyüttműködési Tanácsot létrehozó egyezmény hozta létre. A Harmonizált Áruleíró és Kódrendszerről szóló nemzetközi egyezmény szerint e szerv feladata, hogy ajánlásokat fogalmazzon meg a Szerződő Felek számára ezen egyezmény módosításáról.</w:t>
      </w:r>
    </w:p>
    <w:p>
      <w:pPr>
        <w:rPr>
          <w:noProof/>
        </w:rPr>
      </w:pPr>
      <w:r>
        <w:rPr>
          <w:noProof/>
        </w:rPr>
        <w:t xml:space="preserve">A Vámigazgatások Világszervezetének Tanácsa júniusi ülésén várhatóan ajánlást tesz majd a HR-egyezmény Szerződő Felei számára az említett egyezmény mellékletének (a HR-nómenklatúra) módosításáról, amelyet az ajánlás megtételétől számított hat hónapot követően elfogadottnak fognak tekinteni, ha egyik Szerződő Fél sem él kifogással. Elfogadását követően az ajánlást belefoglalják az uniós jogszabályba, nevezetesen a vám- és a statisztikai nómenklatúráról, valamint a Közös Vámtarifáról szóló 2658/87/EGK tanácsi rendelet 1. mellékletébe. Ennek oka, hogy az említett rendelet 1. cikke (2) bekezdésének a) pontja a következőképpen rendelkezik: </w:t>
      </w:r>
      <w:r>
        <w:rPr>
          <w:i/>
          <w:noProof/>
        </w:rPr>
        <w:t>„(2) A Kombinált Nómenklatúra alkotóelemei: a) a Harmonizált Rendszer szerinti nómenklatúra;”.</w:t>
      </w:r>
    </w:p>
    <w:p>
      <w:pPr>
        <w:rPr>
          <w:noProof/>
        </w:rPr>
      </w:pPr>
      <w:r>
        <w:rPr>
          <w:noProof/>
        </w:rPr>
        <w:t>A tervezett jogi aktus nem egészíti ki és nem módosítja a megállapodás intézményi keretét.</w:t>
      </w:r>
    </w:p>
    <w:p>
      <w:pPr>
        <w:rPr>
          <w:noProof/>
        </w:rPr>
      </w:pPr>
      <w:r>
        <w:rPr>
          <w:noProof/>
        </w:rPr>
        <w:t>Ezért a javasolt határozat eljárási jogalapja az EUMSZ 218. cikkének (9) bekezdése.</w:t>
      </w:r>
    </w:p>
    <w:p>
      <w:pPr>
        <w:pStyle w:val="ManualHeading2"/>
        <w:rPr>
          <w:noProof/>
        </w:rPr>
      </w:pPr>
      <w:r>
        <w:t>4.2.</w:t>
      </w:r>
      <w:r>
        <w:tab/>
      </w:r>
      <w:r>
        <w:rPr>
          <w:noProof/>
        </w:rPr>
        <w:t>Anyagi jogalap</w:t>
      </w:r>
    </w:p>
    <w:p>
      <w:pPr>
        <w:pStyle w:val="ManualHeading3"/>
        <w:rPr>
          <w:noProof/>
        </w:rPr>
      </w:pPr>
      <w:r>
        <w:t>4.2.1.</w:t>
      </w:r>
      <w:r>
        <w:tab/>
      </w:r>
      <w:r>
        <w:rPr>
          <w:noProof/>
        </w:rPr>
        <w:t>Általános elvek</w:t>
      </w:r>
    </w:p>
    <w:p>
      <w:pPr>
        <w:rPr>
          <w:noProof/>
        </w:rPr>
      </w:pPr>
      <w:r>
        <w:rPr>
          <w:noProof/>
        </w:rPr>
        <w:t>Az EUMSZ 218. cikkének (9) bekezdése szerinti határozat anyagi jogalapja elsősorban azon tervezett jogi aktus célkitűzésétől és tartalmától függ, amellyel kapcsolatban az Unió által képviselendő álláspont meghatározásra kerül. Amennyiben a tervezett jogi aktus kettős célkitűzést követ, vagy két összetevőből áll, és ezek egyike elsődlegesként vagy döntő jellegűként azonosítható, míg a másik pusztán járulékos jellegű, az EUMSZ 218. cikkének (9) bekezdése szerinti határozatot egyetlen jogalapra, azaz az elsődleges, illetve döntő jellegű célkitűzés vagy összetevő által megkövetelt jogalapra kell alapítani.</w:t>
      </w:r>
    </w:p>
    <w:p>
      <w:pPr>
        <w:pStyle w:val="ManualHeading3"/>
        <w:rPr>
          <w:noProof/>
        </w:rPr>
      </w:pPr>
      <w:r>
        <w:t>4.2.2.</w:t>
      </w:r>
      <w:r>
        <w:tab/>
      </w:r>
      <w:r>
        <w:rPr>
          <w:noProof/>
        </w:rPr>
        <w:t>A jelen esetre történő alkalmazás</w:t>
      </w:r>
    </w:p>
    <w:p>
      <w:pPr>
        <w:rPr>
          <w:noProof/>
        </w:rPr>
      </w:pPr>
      <w:r>
        <w:rPr>
          <w:noProof/>
        </w:rPr>
        <w:t>A tervezett jogi aktus elsődleges célkitűzése és tartalma a vámunióval kapcsolatos, ezért a javasolt határozat anyagi jogalapja az EUMSZ 28. cikkének (1) bekezdése.</w:t>
      </w:r>
    </w:p>
    <w:p>
      <w:pPr>
        <w:rPr>
          <w:noProof/>
        </w:rPr>
      </w:pPr>
      <w:r>
        <w:rPr>
          <w:noProof/>
        </w:rPr>
        <w:t>4.3. Következtetés</w:t>
      </w:r>
    </w:p>
    <w:p>
      <w:pPr>
        <w:rPr>
          <w:noProof/>
        </w:rPr>
      </w:pPr>
      <w:r>
        <w:rPr>
          <w:noProof/>
        </w:rPr>
        <w:t>A javasolt határozat jogalapja ezért az EUMSZ 28. cikkének (1) bekezdése, összefüggésben az EUMSZ 218. cikkének (9) bekezdésével.</w:t>
      </w:r>
    </w:p>
    <w:p>
      <w:pPr>
        <w:rPr>
          <w:noProof/>
        </w:rPr>
      </w:pPr>
    </w:p>
    <w:p>
      <w:pPr>
        <w:pStyle w:val="ManualHeading1"/>
        <w:rPr>
          <w:noProof/>
        </w:rPr>
      </w:pPr>
      <w:r>
        <w:t>5.</w:t>
      </w:r>
      <w:r>
        <w:tab/>
      </w:r>
      <w:r>
        <w:rPr>
          <w:noProof/>
        </w:rPr>
        <w:t>Költségvetési vonzatok</w:t>
      </w:r>
    </w:p>
    <w:p>
      <w:pPr>
        <w:rPr>
          <w:noProof/>
        </w:rPr>
      </w:pPr>
      <w:r>
        <w:rPr>
          <w:noProof/>
        </w:rPr>
        <w:t>A javaslat nincs hatással az uniós költségvetésre.</w:t>
      </w:r>
    </w:p>
    <w:p>
      <w:pPr>
        <w:pStyle w:val="ManualHeading1"/>
        <w:rPr>
          <w:noProof/>
        </w:rPr>
      </w:pPr>
      <w:r>
        <w:t>6.</w:t>
      </w:r>
      <w:r>
        <w:tab/>
      </w:r>
      <w:r>
        <w:rPr>
          <w:noProof/>
        </w:rPr>
        <w:t>A tervezett jogi aktus kihirdetése</w:t>
      </w:r>
    </w:p>
    <w:p>
      <w:pPr>
        <w:rPr>
          <w:noProof/>
        </w:rPr>
      </w:pPr>
      <w:r>
        <w:rPr>
          <w:noProof/>
        </w:rPr>
        <w:t>Nincs.</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2019/0069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Unió által a Vámigazgatások Világszervezetében a harmonizált rendszerrel kapcsolatosan képviselendő álláspontról</w:t>
      </w:r>
    </w:p>
    <w:p>
      <w:pPr>
        <w:pStyle w:val="Institutionquiagit"/>
        <w:rPr>
          <w:b/>
          <w:noProof/>
        </w:rPr>
      </w:pPr>
      <w:r>
        <w:rPr>
          <w:b/>
          <w:noProof/>
        </w:rPr>
        <w:t>AZ EURÓPAI UNIÓ TANÁCSA,</w:t>
      </w:r>
    </w:p>
    <w:p>
      <w:pPr>
        <w:rPr>
          <w:noProof/>
        </w:rPr>
      </w:pPr>
      <w:r>
        <w:rPr>
          <w:noProof/>
        </w:rPr>
        <w:t>tekintettel az Európai Unió működéséről szóló szerződésre és különösen annak 28. cikke (1) bekezdésére, összefüggésben 218. cikke (9) bekezdésével,</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 Harmonizált Áruleíró és Kódrendszerről szóló nemzetközi egyezményt (a továbbiakban: HR-egyezmény) az Unió az 1987. április 7-i 87/369/EGK tanácsi határozat</w:t>
      </w:r>
      <w:r>
        <w:rPr>
          <w:rStyle w:val="FootnoteReference"/>
          <w:noProof/>
        </w:rPr>
        <w:footnoteReference w:id="7"/>
      </w:r>
      <w:r>
        <w:rPr>
          <w:noProof/>
        </w:rPr>
        <w:t xml:space="preserve"> révén megkötötte, és a HR-egyezmény 1988. január 1-jén hatályba lépett.</w:t>
      </w:r>
    </w:p>
    <w:p>
      <w:pPr>
        <w:pStyle w:val="ManualConsidrant"/>
        <w:rPr>
          <w:noProof/>
        </w:rPr>
      </w:pPr>
      <w:r>
        <w:t>(2)</w:t>
      </w:r>
      <w:r>
        <w:tab/>
      </w:r>
      <w:r>
        <w:rPr>
          <w:noProof/>
        </w:rPr>
        <w:t>A HR-egyezmény 7. cikke szerint a Harmonizált Rendszer Bizottság javaslatokat készíthet a Vámigazgatások Világszervezetének Tanácsa számára a HR-nómenklatúra módosításáról. A HR-egyezmény 16. cikke szerint a Vámigazgatások Világszervezetének Tanácsa ajánlást tehet e módosításról a Szerződő Felek számára.</w:t>
      </w:r>
    </w:p>
    <w:p>
      <w:pPr>
        <w:pStyle w:val="ManualConsidrant"/>
        <w:rPr>
          <w:noProof/>
        </w:rPr>
      </w:pPr>
      <w:r>
        <w:t>(3)</w:t>
      </w:r>
      <w:r>
        <w:tab/>
      </w:r>
      <w:r>
        <w:rPr>
          <w:noProof/>
        </w:rPr>
        <w:t>A Vámigazgatások Világszervezetének Tanácsa júniusi ülésén a Szerződő Felek ajánlása alapján a HR-nómenklatúra 24. árucsoportot érintő módosításáról szóló határozatot tervez elfogadni. Az említett ajánlást a Harmonizált Rendszer Bizottság által elkészített módosító javaslat alapján fogják elfogadni, melyet az említett bizottság 2019. március 19–29-i 63. ülésszakán terveznek véglegesíteni.</w:t>
      </w:r>
    </w:p>
    <w:p>
      <w:pPr>
        <w:pStyle w:val="ManualConsidrant"/>
        <w:rPr>
          <w:noProof/>
        </w:rPr>
      </w:pPr>
      <w:r>
        <w:t>(4)</w:t>
      </w:r>
      <w:r>
        <w:tab/>
      </w:r>
      <w:r>
        <w:rPr>
          <w:noProof/>
        </w:rPr>
        <w:t>A WHO dohányzás-visszaszorítási keretegyezménye Részes Feleinek 8. Konferenciája elfogadta az FCTC/COP8(22) számú, az új és kialakulóban lévő dohánytermékekről szóló határozatot, melynek célja, hogy további tudományos adatok álljanak rendelkezésre az ilyen termékekről, és különösen hogy egyértelművé váljanak az ilyen termékek jellemzői és kibocsátásai.</w:t>
      </w:r>
    </w:p>
    <w:p>
      <w:pPr>
        <w:pStyle w:val="ManualConsidrant"/>
        <w:rPr>
          <w:noProof/>
        </w:rPr>
      </w:pPr>
      <w:r>
        <w:t>(5)</w:t>
      </w:r>
      <w:r>
        <w:tab/>
      </w:r>
      <w:r>
        <w:rPr>
          <w:noProof/>
        </w:rPr>
        <w:t>Fontos emlékeztetni arra, hogy az Európai Unió Bíróságának állandó ítélkezési gyakorlata szerint a jogbiztonság és a könnyebb ellenőrzés érdekében az áruk vámügyi célú osztályba sorolásakor általában azokat az objektív jellemzőket és tulajdonságokat kell döntő jelentőségű kritériumnak tekinteni, amelyeket a vámnómenklatúra vonatkozó vámtarifaszámának, valamint a vonatkozó áruosztályokhoz és árucsoportokhoz fűzött megjegyzéseknek a szövege meghatároz.</w:t>
      </w:r>
    </w:p>
    <w:p>
      <w:pPr>
        <w:pStyle w:val="ManualConsidrant"/>
        <w:rPr>
          <w:noProof/>
        </w:rPr>
      </w:pPr>
      <w:r>
        <w:t>(6)</w:t>
      </w:r>
      <w:r>
        <w:tab/>
      </w:r>
      <w:r>
        <w:rPr>
          <w:noProof/>
        </w:rPr>
        <w:t>Tekintettel a HR-nómenklatúra módosítására vonatkozó, a Vámigazgatások Világszervezetének Tanácsa által elfogadandó ajánlásra, helyénvaló meghatározni az Unió által képviselendő álláspontot, mivel a HR-egyezmény 16. cikke szerinti elfogadását követően az ajánlás meghatározó módon befolyásolja majd az uniós szabályozás, nevezetesen a vám- és a statisztikai nómenklatúráról, valamint a Közös Vámtarifáról szóló 2658/87/EGK tanácsi rendelet 1. mellékletének tartalmát. Az álláspontot ismertetni fogják a Vámigazgatások Világszervezetének Tanácsa előkészítő szakaszaiban, többek között a Harmonizált Rendszer Bizottságban is.</w:t>
      </w:r>
    </w:p>
    <w:p>
      <w:pPr>
        <w:pStyle w:val="ManualConsidrant"/>
        <w:rPr>
          <w:noProof/>
        </w:rPr>
      </w:pPr>
      <w:r>
        <w:t>(7)</w:t>
      </w:r>
      <w:r>
        <w:tab/>
      </w:r>
      <w:r>
        <w:rPr>
          <w:noProof/>
        </w:rPr>
        <w:t>Helyénvaló támogatni a HR-nómenklatúra 24. árucsoportját érintő módosítástervezetet, valamint ismertetni az Unió nézeteit és a még el nem döntött szövegrészeket illető preferenciáit, szem előtt tartva azt, hogy a Harmonizált Rendszer Bizottság ülésén az EU akkor fogja támogatni e bizottság javaslatának szövegét, ha az megfelel a Szerződő Felek többsége álláspontjának,</w:t>
      </w:r>
    </w:p>
    <w:p>
      <w:pPr>
        <w:pStyle w:val="Formuledadoption"/>
        <w:rPr>
          <w:noProof/>
        </w:rPr>
      </w:pPr>
      <w:r>
        <w:rPr>
          <w:noProof/>
        </w:rPr>
        <w:t>ELFOGADTA EZT A HATÁROZATOT:</w:t>
      </w:r>
    </w:p>
    <w:p>
      <w:pPr>
        <w:pStyle w:val="Titrearticle"/>
        <w:rPr>
          <w:noProof/>
        </w:rPr>
      </w:pPr>
      <w:r>
        <w:rPr>
          <w:noProof/>
        </w:rPr>
        <w:t>1. cikk</w:t>
      </w:r>
    </w:p>
    <w:p>
      <w:pPr>
        <w:rPr>
          <w:noProof/>
        </w:rPr>
      </w:pPr>
      <w:r>
        <w:rPr>
          <w:noProof/>
        </w:rPr>
        <w:t>A Vámigazgatások Világszervezetének Tanácsában az Unió által képviselendő álláspontot a melléklet tartalmazza.</w:t>
      </w:r>
    </w:p>
    <w:p>
      <w:pPr>
        <w:pStyle w:val="Titrearticle"/>
        <w:rPr>
          <w:noProof/>
        </w:rPr>
      </w:pPr>
      <w:r>
        <w:rPr>
          <w:noProof/>
        </w:rPr>
        <w:t>2. cikk</w:t>
      </w:r>
    </w:p>
    <w:p>
      <w:pPr>
        <w:rPr>
          <w:noProof/>
        </w:rPr>
      </w:pPr>
      <w:r>
        <w:rPr>
          <w:noProof/>
        </w:rPr>
        <w:t>Ennek a határozatnak a Bizottság a címzettje.</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harmonizált rendszerrel kapcsolatos egyeztetések tekintetében az „új” dohánytermékek nem feltétlenül azonosak a tagállamoknak a dohánytermékek és kapcsolódó termékek gyártására, kiszerelésére és értékesítésére vonatkozó törvényi, rendeleti és közigazgatási rendelkezései közelítéséről és a 2001/37/EK irányelv hatályon kívül helyezéséről szóló, 2014. április 3-i 2014/40/EU európai parlamenti és tanácsi irányelv (HL L 127., 2014.4.29., 1. o.) 2. cikkének (14) bekezdésében szereplő „új dohánytermék-kategóriák” fogalommeghatározása alá tartozó termékekkel.</w:t>
      </w:r>
    </w:p>
  </w:footnote>
  <w:footnote w:id="2">
    <w:p>
      <w:pPr>
        <w:pStyle w:val="FootnoteText"/>
      </w:pPr>
      <w:r>
        <w:rPr>
          <w:rStyle w:val="FootnoteReference"/>
        </w:rPr>
        <w:footnoteRef/>
      </w:r>
      <w:r>
        <w:tab/>
        <w:t>1988. évi bevezetése óta a HR-nómenklatúrát öt alkalommal vizsgálták felül. A felülvizsgált változatok 1996-ban, 2002-ben, 2007-ben, 2012-ben és 2017-ben léptek hatályba.</w:t>
      </w:r>
    </w:p>
  </w:footnote>
  <w:footnote w:id="3">
    <w:p>
      <w:pPr>
        <w:pStyle w:val="FootnoteText"/>
      </w:pPr>
      <w:r>
        <w:rPr>
          <w:rStyle w:val="FootnoteReference"/>
        </w:rPr>
        <w:footnoteRef/>
      </w:r>
      <w:r>
        <w:tab/>
        <w:t>A Tanács 87/369/EGK határozata (1987. április 7.) az összehangolt áruleíró és kódrendszerről szóló nemzetközi egyezmény és az azt módosító jegyzőkönyv megkötéséről (HL L 198., 1987.7.20., 1. o.).</w:t>
      </w:r>
    </w:p>
  </w:footnote>
  <w:footnote w:id="4">
    <w:p>
      <w:pPr>
        <w:pStyle w:val="FootnoteText"/>
      </w:pPr>
      <w:r>
        <w:rPr>
          <w:rStyle w:val="FootnoteReference"/>
        </w:rPr>
        <w:footnoteRef/>
      </w:r>
      <w:r>
        <w:tab/>
        <w:t>FCTC/COP8(22). sz. határozat.</w:t>
      </w:r>
    </w:p>
  </w:footnote>
  <w:footnote w:id="5">
    <w:p>
      <w:pPr>
        <w:pStyle w:val="FootnoteText"/>
        <w:ind w:left="709" w:hanging="709"/>
      </w:pPr>
      <w:r>
        <w:rPr>
          <w:rStyle w:val="FootnoteReference"/>
        </w:rPr>
        <w:footnoteRef/>
      </w:r>
      <w:r>
        <w:tab/>
        <w:t>A 24.02 vámtarifaszám alá a következők tartoznak: „Szivar, mindkét végén levágott végű szivar (manillaszivar), kis alakú szivar (cigarillos) és cigaretta dohányból és dohánypótlóból”. A 24.03 vámtarifaszám alá a következők tartoznak: „Más feldolgozott dohány és feldolgozott dohánypótló; „homogenizált” vagy „visszanyert” dohány (dohányfólia); dohánykivonat és -esszencia”.</w:t>
      </w:r>
    </w:p>
  </w:footnote>
  <w:footnote w:id="6">
    <w:p>
      <w:pPr>
        <w:pStyle w:val="FootnoteText"/>
      </w:pPr>
      <w:r>
        <w:rPr>
          <w:rStyle w:val="FootnoteReference"/>
        </w:rPr>
        <w:footnoteRef/>
      </w:r>
      <w:r>
        <w:tab/>
        <w:t>A Bíróság 2014. október 7-i ítélete, Németország kontra Tanács, C-399/12, ECLI:EU:C:2014:2258, 61–64. pont.</w:t>
      </w:r>
    </w:p>
  </w:footnote>
  <w:footnote w:id="7">
    <w:p>
      <w:pPr>
        <w:pStyle w:val="FootnoteText"/>
      </w:pPr>
      <w:r>
        <w:rPr>
          <w:rStyle w:val="FootnoteReference"/>
        </w:rPr>
        <w:footnoteRef/>
      </w:r>
      <w:r>
        <w:tab/>
        <w:t>HL L 198., 1987.7.20., 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13"/>
    <w:lvlOverride w:ilvl="0">
      <w:startOverride w:val="1"/>
    </w:lvlOverride>
  </w:num>
  <w:num w:numId="19">
    <w:abstractNumId w:val="21"/>
    <w:lvlOverride w:ilvl="0">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 w:numId="34">
    <w:abstractNumId w:val="21"/>
  </w:num>
  <w:num w:numId="35">
    <w:abstractNumId w:val="11"/>
  </w:num>
  <w:num w:numId="36">
    <w:abstractNumId w:val="24"/>
  </w:num>
  <w:num w:numId="37">
    <w:abstractNumId w:val="6"/>
  </w:num>
  <w:num w:numId="38">
    <w:abstractNumId w:val="12"/>
  </w:num>
  <w:num w:numId="39">
    <w:abstractNumId w:val="4"/>
  </w:num>
  <w:num w:numId="40">
    <w:abstractNumId w:val="23"/>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0:14: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EC26B9C-5DE0-4076-8D80-56E829B9811E"/>
    <w:docVar w:name="LW_COVERPAGE_TYPE" w:val="1"/>
    <w:docVar w:name="LW_CROSSREFERENCE" w:val="&lt;UNUSED&gt;"/>
    <w:docVar w:name="LW_DocType" w:val="COM"/>
    <w:docVar w:name="LW_EMISSION" w:val="2019.3.1."/>
    <w:docVar w:name="LW_EMISSION_ISODATE" w:val="2019-03-01"/>
    <w:docVar w:name="LW_EMISSION_LOCATION" w:val="BRX"/>
    <w:docVar w:name="LW_EMISSION_PREFIX" w:val="Brüssz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69"/>
    <w:docVar w:name="LW_REF.II.NEW.CP_YEAR" w:val="2019"/>
    <w:docVar w:name="LW_REF.INST.NEW" w:val="COM"/>
    <w:docVar w:name="LW_REF.INST.NEW_ADOPTED" w:val="final"/>
    <w:docVar w:name="LW_REF.INST.NEW_TEXT" w:val="(2019)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Európai Unió által a Vámigazgatások Világszervezetében a harmonizált rendszerrel kapcsolatosan képviselend\u337? álláspont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u-HU" w:eastAsia="hu-HU"/>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hu-HU" w:eastAsia="hu-HU"/>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hu-HU"/>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hu-HU"/>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hu-HU" w:eastAsia="hu-HU"/>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u-HU" w:eastAsia="hu-HU"/>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hu-HU" w:eastAsia="hu-HU"/>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hu-HU"/>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hu-HU"/>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hu-HU" w:eastAsia="hu-HU"/>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186">
      <w:bodyDiv w:val="1"/>
      <w:marLeft w:val="0"/>
      <w:marRight w:val="0"/>
      <w:marTop w:val="0"/>
      <w:marBottom w:val="0"/>
      <w:divBdr>
        <w:top w:val="none" w:sz="0" w:space="0" w:color="auto"/>
        <w:left w:val="none" w:sz="0" w:space="0" w:color="auto"/>
        <w:bottom w:val="none" w:sz="0" w:space="0" w:color="auto"/>
        <w:right w:val="none" w:sz="0" w:space="0" w:color="auto"/>
      </w:divBdr>
      <w:divsChild>
        <w:div w:id="928659607">
          <w:marLeft w:val="0"/>
          <w:marRight w:val="0"/>
          <w:marTop w:val="0"/>
          <w:marBottom w:val="0"/>
          <w:divBdr>
            <w:top w:val="none" w:sz="0" w:space="0" w:color="auto"/>
            <w:left w:val="none" w:sz="0" w:space="0" w:color="auto"/>
            <w:bottom w:val="none" w:sz="0" w:space="0" w:color="auto"/>
            <w:right w:val="none" w:sz="0" w:space="0" w:color="auto"/>
          </w:divBdr>
          <w:divsChild>
            <w:div w:id="580330350">
              <w:marLeft w:val="1350"/>
              <w:marRight w:val="0"/>
              <w:marTop w:val="375"/>
              <w:marBottom w:val="600"/>
              <w:divBdr>
                <w:top w:val="none" w:sz="0" w:space="0" w:color="auto"/>
                <w:left w:val="none" w:sz="0" w:space="0" w:color="auto"/>
                <w:bottom w:val="none" w:sz="0" w:space="0" w:color="auto"/>
                <w:right w:val="none" w:sz="0" w:space="0" w:color="auto"/>
              </w:divBdr>
              <w:divsChild>
                <w:div w:id="1185754947">
                  <w:marLeft w:val="0"/>
                  <w:marRight w:val="0"/>
                  <w:marTop w:val="0"/>
                  <w:marBottom w:val="0"/>
                  <w:divBdr>
                    <w:top w:val="none" w:sz="0" w:space="0" w:color="auto"/>
                    <w:left w:val="none" w:sz="0" w:space="0" w:color="auto"/>
                    <w:bottom w:val="none" w:sz="0" w:space="0" w:color="auto"/>
                    <w:right w:val="none" w:sz="0" w:space="0" w:color="auto"/>
                  </w:divBdr>
                  <w:divsChild>
                    <w:div w:id="370570500">
                      <w:marLeft w:val="0"/>
                      <w:marRight w:val="0"/>
                      <w:marTop w:val="0"/>
                      <w:marBottom w:val="0"/>
                      <w:divBdr>
                        <w:top w:val="none" w:sz="0" w:space="0" w:color="auto"/>
                        <w:left w:val="none" w:sz="0" w:space="0" w:color="auto"/>
                        <w:bottom w:val="none" w:sz="0" w:space="0" w:color="auto"/>
                        <w:right w:val="none" w:sz="0" w:space="0" w:color="auto"/>
                      </w:divBdr>
                      <w:divsChild>
                        <w:div w:id="360327064">
                          <w:marLeft w:val="0"/>
                          <w:marRight w:val="0"/>
                          <w:marTop w:val="0"/>
                          <w:marBottom w:val="0"/>
                          <w:divBdr>
                            <w:top w:val="none" w:sz="0" w:space="0" w:color="auto"/>
                            <w:left w:val="none" w:sz="0" w:space="0" w:color="auto"/>
                            <w:bottom w:val="none" w:sz="0" w:space="0" w:color="auto"/>
                            <w:right w:val="none" w:sz="0" w:space="0" w:color="auto"/>
                          </w:divBdr>
                          <w:divsChild>
                            <w:div w:id="866144496">
                              <w:marLeft w:val="0"/>
                              <w:marRight w:val="0"/>
                              <w:marTop w:val="0"/>
                              <w:marBottom w:val="0"/>
                              <w:divBdr>
                                <w:top w:val="none" w:sz="0" w:space="0" w:color="auto"/>
                                <w:left w:val="none" w:sz="0" w:space="0" w:color="auto"/>
                                <w:bottom w:val="none" w:sz="0" w:space="0" w:color="auto"/>
                                <w:right w:val="none" w:sz="0" w:space="0" w:color="auto"/>
                              </w:divBdr>
                              <w:divsChild>
                                <w:div w:id="841965663">
                                  <w:marLeft w:val="0"/>
                                  <w:marRight w:val="0"/>
                                  <w:marTop w:val="0"/>
                                  <w:marBottom w:val="0"/>
                                  <w:divBdr>
                                    <w:top w:val="none" w:sz="0" w:space="0" w:color="auto"/>
                                    <w:left w:val="none" w:sz="0" w:space="0" w:color="auto"/>
                                    <w:bottom w:val="none" w:sz="0" w:space="0" w:color="auto"/>
                                    <w:right w:val="none" w:sz="0" w:space="0" w:color="auto"/>
                                  </w:divBdr>
                                  <w:divsChild>
                                    <w:div w:id="182477068">
                                      <w:marLeft w:val="150"/>
                                      <w:marRight w:val="150"/>
                                      <w:marTop w:val="150"/>
                                      <w:marBottom w:val="150"/>
                                      <w:divBdr>
                                        <w:top w:val="single" w:sz="36" w:space="8" w:color="E6E9EB"/>
                                        <w:left w:val="single" w:sz="36" w:space="8" w:color="E6E9EB"/>
                                        <w:bottom w:val="single" w:sz="36" w:space="8" w:color="E6E9EB"/>
                                        <w:right w:val="single" w:sz="36" w:space="8" w:color="E6E9EB"/>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CC88-49D1-475C-9D56-26794281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2108</Words>
  <Characters>15290</Characters>
  <Application>Microsoft Office Word</Application>
  <DocSecurity>0</DocSecurity>
  <Lines>254</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2019-02-22T15:36:00Z</cp:lastPrinted>
  <dcterms:created xsi:type="dcterms:W3CDTF">2019-03-08T08:37:00Z</dcterms:created>
  <dcterms:modified xsi:type="dcterms:W3CDTF">2019-03-11T09:14:00Z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