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83B2A3E-5EE9-4063-B577-B3F60913B1BE"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ΠΑΡΑΡΤΗΜΑ </w:t>
      </w:r>
    </w:p>
    <w:p>
      <w:pPr>
        <w:spacing w:before="0" w:after="240"/>
        <w:rPr>
          <w:rFonts w:eastAsia="Times New Roman"/>
          <w:iCs/>
          <w:noProof/>
          <w:szCs w:val="20"/>
        </w:rPr>
      </w:pPr>
      <w:r>
        <w:rPr>
          <w:noProof/>
        </w:rPr>
        <w:t>Η ΕΕ θα πρέπει να επαναδιατυπώσει την αρχική θέση της υπέρ της απορριφθείσας κοινής πρότασης των ΠΟΥ/ΠΟΤ, για την κατάταξη των νέων προϊόντων αεριοποιημένου καπνού μαζί με άλλα προϊόντα καπνού υπό την κλάση 24.03 και τον αντικειμενικό προσδιορισμό τους βάσει του τρόπου κατανάλωσής τους, ο οποίος περιλαμβάνει μια διεργασία θέρμανσης</w:t>
      </w:r>
      <w:r>
        <w:rPr>
          <w:rStyle w:val="FootnoteReference"/>
          <w:noProof/>
        </w:rPr>
        <w:footnoteReference w:id="1"/>
      </w:r>
      <w:r>
        <w:rPr>
          <w:noProof/>
        </w:rPr>
        <w:t>, ως την καλύτερη δυνατή επιλογή.</w:t>
      </w:r>
    </w:p>
    <w:p>
      <w:pPr>
        <w:spacing w:before="0" w:after="240"/>
        <w:rPr>
          <w:rFonts w:eastAsia="Times New Roman"/>
          <w:iCs/>
          <w:noProof/>
          <w:szCs w:val="20"/>
        </w:rPr>
      </w:pPr>
      <w:r>
        <w:rPr>
          <w:noProof/>
        </w:rPr>
        <w:t>Η ΕΕ υπενθυμίζει τη σύμβαση πλαίσιο του ΠΟΥ για τον έλεγχο του καπνού - στην οποία η ΕΕ και όλα τα κράτη μέλη είναι πλήρως συμβαλλόμενα μέρη - και την απόφασή του FCTC/COP8(22) σχετικά με νέα και νεοεμφανιζόμενα προϊόντα καπνού. Η ΕΕ υπενθυμίζει ότι επί του παρόντος διεξάγονται εργασίες στο πλαίσιο της σύμβασης πλαισίου του ΠΟΥ όσον αφορά, μεταξύ άλλων, τη φύση των εκπομπών που παράγονται από τα νέα προϊόντα καπνού, και ότι οι εξελίξεις αυτές ενδέχεται να χρειαστεί να αντιμετωπιστούν σε μεταγενέστερο στάδιο - στο πλαίσιο του κύκλου αναθεώρησης του ΕΣ του 2027 - εάν υπάρξουν νέα στοιχεία σχετικά με την εκτίμηση των αντικειμενικών χαρακτηριστικών και ιδιοτήτων των εν λόγω προϊόντων για τελωνειακούς σκοπούς.</w:t>
      </w:r>
    </w:p>
    <w:p>
      <w:pPr>
        <w:spacing w:before="0" w:after="240"/>
        <w:rPr>
          <w:rFonts w:eastAsia="Times New Roman"/>
          <w:iCs/>
          <w:noProof/>
          <w:szCs w:val="20"/>
        </w:rPr>
      </w:pPr>
      <w:r>
        <w:rPr>
          <w:noProof/>
        </w:rPr>
        <w:t xml:space="preserve">Η ΕΕ, ωστόσο, θα πρέπει να αναγνωρίσει ότι οι εργασίες στο πλαίσιο του κύκλου του ΕΣ του 2022 έχουν προσανατολιστεί προς κατεύθυνση διαφορετική από την πρόταση των ΠΟΤ/ΠΟΥ. Υπό το πρίσμα των ανωτέρω και προκειμένου να μην εμποδιστεί η διαδικασία λήψης αποφάσεων, η ΕΕ: </w:t>
      </w:r>
    </w:p>
    <w:p>
      <w:pPr>
        <w:spacing w:before="0" w:after="240"/>
        <w:ind w:left="720" w:hanging="720"/>
        <w:rPr>
          <w:rFonts w:eastAsia="Times New Roman"/>
          <w:noProof/>
          <w:szCs w:val="20"/>
        </w:rPr>
      </w:pPr>
      <w:r>
        <w:rPr>
          <w:noProof/>
        </w:rPr>
        <w:t>-</w:t>
      </w:r>
      <w:r>
        <w:rPr>
          <w:noProof/>
        </w:rPr>
        <w:tab/>
        <w:t>ακολουθώντας την πλειοψηφία των συμβαλλομένων μερών της σύμβασης του ΕΣ, </w:t>
      </w:r>
      <w:r>
        <w:rPr>
          <w:b/>
          <w:noProof/>
          <w:u w:val="single"/>
        </w:rPr>
        <w:t>μπορεί να δεχθεί το σχέδιο τροποποίησης</w:t>
      </w:r>
      <w:r>
        <w:rPr>
          <w:noProof/>
        </w:rPr>
        <w:t xml:space="preserve"> που προκύπτει από τις εργασίες της υποεπιτροπής αναθεώρησης του ΕΣ του ΠΟΤ, και </w:t>
      </w:r>
    </w:p>
    <w:p>
      <w:pPr>
        <w:spacing w:before="0" w:after="240"/>
        <w:ind w:left="720" w:hanging="720"/>
        <w:rPr>
          <w:rFonts w:eastAsia="Times New Roman"/>
          <w:strike/>
          <w:noProof/>
          <w:szCs w:val="20"/>
        </w:rPr>
      </w:pPr>
      <w:r>
        <w:rPr>
          <w:noProof/>
        </w:rPr>
        <w:t>-</w:t>
      </w:r>
      <w:r>
        <w:rPr>
          <w:noProof/>
        </w:rPr>
        <w:tab/>
        <w:t>θα πρέπει να εκθέσει τη θέση της σχετικά με την επιλογή διατύπωσης σε δύο σημεία εντός παρενθέσεων για τα οποία εκκρεμεί η λήψη απόφασης:</w:t>
      </w:r>
      <w:r>
        <w:rPr>
          <w:strike/>
          <w:noProof/>
        </w:rPr>
        <w:t xml:space="preserve"> </w:t>
      </w:r>
    </w:p>
    <w:p>
      <w:pPr>
        <w:pStyle w:val="Point0number"/>
        <w:numPr>
          <w:ilvl w:val="0"/>
          <w:numId w:val="2"/>
        </w:numPr>
        <w:rPr>
          <w:noProof/>
        </w:rPr>
      </w:pPr>
      <w:r>
        <w:rPr>
          <w:noProof/>
        </w:rPr>
        <w:t xml:space="preserve">Νέα σημείωση 2 του κεφαλαίου 24: </w:t>
      </w:r>
      <w:r>
        <w:rPr>
          <w:b/>
          <w:noProof/>
        </w:rPr>
        <w:t>να υποστηριχθεί η πρώτη επιλογή</w:t>
      </w:r>
      <w:r>
        <w:rPr>
          <w:noProof/>
        </w:rPr>
        <w:t xml:space="preserve"> σύμφωνα με την οποία «2.- Η κλάση 24.04 δεν καλύπτει τα προϊόντα που προσδιορίζονται στις κλάσεις 24.02 και 24.03». Η Ένωση θα πρέπει να μην υποστηρίξει τη διασφάλιση προτεραιότητας για την κλάση 24.04</w:t>
      </w:r>
      <w:r>
        <w:rPr>
          <w:rStyle w:val="FootnoteReference"/>
          <w:noProof/>
        </w:rPr>
        <w:footnoteReference w:id="2"/>
      </w:r>
      <w:r>
        <w:rPr>
          <w:noProof/>
        </w:rPr>
        <w:t xml:space="preserve"> όσον αφορά την κατάταξη νέων προϊόντων καπνού σε αυτήν. Είναι προτιμότερο να περιοριστεί το πεδίο αυτής της κλάσης στα προϊόντα που κατατάσσονται σαφώς σε αυτό, έτσι ώστε τα προϊόντα καπνού που μπορούν να κατατάσσονται σε αυτή την κλάση αλλά και σε άλλη κλάση του κεφαλαίου 24 (24.02</w:t>
      </w:r>
      <w:r>
        <w:rPr>
          <w:rStyle w:val="FootnoteReference"/>
          <w:noProof/>
        </w:rPr>
        <w:footnoteReference w:id="3"/>
      </w:r>
      <w:r>
        <w:rPr>
          <w:noProof/>
        </w:rPr>
        <w:t xml:space="preserve"> ή 24.03</w:t>
      </w:r>
      <w:r>
        <w:rPr>
          <w:rStyle w:val="FootnoteReference"/>
          <w:noProof/>
        </w:rPr>
        <w:footnoteReference w:id="4"/>
      </w:r>
      <w:r>
        <w:rPr>
          <w:noProof/>
        </w:rPr>
        <w:t>) να κατατάσσονται υπό τις εν λόγω άλλες κλάσεις.</w:t>
      </w:r>
    </w:p>
    <w:p>
      <w:pPr>
        <w:pStyle w:val="Point0number"/>
        <w:tabs>
          <w:tab w:val="clear" w:pos="850"/>
          <w:tab w:val="num" w:pos="709"/>
        </w:tabs>
        <w:ind w:left="709" w:hanging="709"/>
        <w:rPr>
          <w:noProof/>
        </w:rPr>
      </w:pPr>
      <w:r>
        <w:rPr>
          <w:noProof/>
        </w:rPr>
        <w:t xml:space="preserve">Νέα σημείωση 3 του κεφαλαίου 24: </w:t>
      </w:r>
      <w:r>
        <w:rPr>
          <w:b/>
          <w:noProof/>
        </w:rPr>
        <w:t>να μην υποστηριχθεί η συμπερίληψη του κειμένου</w:t>
      </w:r>
      <w:r>
        <w:rPr>
          <w:noProof/>
        </w:rPr>
        <w:t xml:space="preserve"> «είτε παράγεται καπνός είτε όχι». Η αναφορά στον καπνό μπορεί να προκαλέσει σύγχυση όσον αφορά τη διάκριση μεταξύ προϊόντων των κλάσεων 24.02 (και 24.03) και 24.04, δεδομένου ότι ο αρχικός στόχος και σκοπός δημιουργίας της νέας κλάσης 24.04 είναι να καλύπτει προϊόντα που δεν καπνίζονται με τον παραδοσιακό τρόπο.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Έγγρ. WCO NC2513B1a (Παράρτημα)</w:t>
      </w:r>
    </w:p>
  </w:footnote>
  <w:footnote w:id="2">
    <w:p>
      <w:pPr>
        <w:pStyle w:val="FootnoteText"/>
      </w:pPr>
      <w:r>
        <w:rPr>
          <w:rStyle w:val="FootnoteReference"/>
        </w:rPr>
        <w:footnoteRef/>
      </w:r>
      <w:r>
        <w:tab/>
        <w:t>Η νέα κλάση 24.04 θα πρέπει να καλύπτει «Προϊόντα που περιέχουν καπνό, ανασχηματισμένο καπνό, νικοτίνη ή υποκατάστατα καπνού ή νικοτίνης που προορίζονται για εισπνοή χωρίς καύση. Άλλα νικοτινούχα προϊόντα που προορίζονται για την πρόσληψη νικοτίνης στο ανθρώπινο σώμα».</w:t>
      </w:r>
    </w:p>
  </w:footnote>
  <w:footnote w:id="3">
    <w:p>
      <w:pPr>
        <w:pStyle w:val="FootnoteText"/>
      </w:pPr>
      <w:r>
        <w:rPr>
          <w:rStyle w:val="FootnoteReference"/>
        </w:rPr>
        <w:footnoteRef/>
      </w:r>
      <w:r>
        <w:tab/>
        <w:t>Η κλάση 24.02 καλύπτει «Πούρα (στα οποία περιλαμβάνονται και εκείνα με κομμένα τα άκρα), πουράκια και τσιγάρα, από καπνό ή υποκατάστατα του καπνού».</w:t>
      </w:r>
    </w:p>
  </w:footnote>
  <w:footnote w:id="4">
    <w:p>
      <w:pPr>
        <w:pStyle w:val="FootnoteText"/>
      </w:pPr>
      <w:r>
        <w:rPr>
          <w:rStyle w:val="FootnoteReference"/>
        </w:rPr>
        <w:footnoteRef/>
      </w:r>
      <w:r>
        <w:tab/>
        <w:t>Η κλάση 24.03 περιλαμβάνει «Άλλα καπνά και υποκατάστατα του καπνού, που έχουν βιομηχανοποιηθεί. Καπνά «ομογενοποιημένα» ή «ανασχηματισμένα». Εκχυλίσματα και βάμματα καπνού».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CA21E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0404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C0E6A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C598F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B9A36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8B6FE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F01ABF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9"/>
  </w:num>
  <w:num w:numId="13">
    <w:abstractNumId w:val="10"/>
  </w:num>
  <w:num w:numId="14">
    <w:abstractNumId w:val="12"/>
  </w:num>
  <w:num w:numId="15">
    <w:abstractNumId w:val="8"/>
  </w:num>
  <w:num w:numId="16">
    <w:abstractNumId w:val="18"/>
  </w:num>
  <w:num w:numId="17">
    <w:abstractNumId w:val="7"/>
  </w:num>
  <w:num w:numId="18">
    <w:abstractNumId w:val="13"/>
  </w:num>
  <w:num w:numId="19">
    <w:abstractNumId w:val="15"/>
  </w:num>
  <w:num w:numId="20">
    <w:abstractNumId w:val="16"/>
  </w:num>
  <w:num w:numId="21">
    <w:abstractNumId w:val="9"/>
  </w:num>
  <w:num w:numId="22">
    <w:abstractNumId w:val="14"/>
  </w:num>
  <w:num w:numId="23">
    <w:abstractNumId w:val="21"/>
  </w:num>
  <w:num w:numId="24">
    <w:abstractNumId w:val="17"/>
  </w:num>
  <w:num w:numId="25">
    <w:abstractNumId w:val="11"/>
  </w:num>
  <w:num w:numId="26">
    <w:abstractNumId w:val="19"/>
  </w:num>
  <w:num w:numId="27">
    <w:abstractNumId w:val="10"/>
  </w:num>
  <w:num w:numId="28">
    <w:abstractNumId w:val="12"/>
  </w:num>
  <w:num w:numId="29">
    <w:abstractNumId w:val="8"/>
  </w:num>
  <w:num w:numId="30">
    <w:abstractNumId w:val="18"/>
  </w:num>
  <w:num w:numId="31">
    <w:abstractNumId w:val="7"/>
  </w:num>
  <w:num w:numId="32">
    <w:abstractNumId w:val="13"/>
  </w:num>
  <w:num w:numId="33">
    <w:abstractNumId w:val="15"/>
  </w:num>
  <w:num w:numId="34">
    <w:abstractNumId w:val="16"/>
  </w:num>
  <w:num w:numId="35">
    <w:abstractNumId w:val="9"/>
  </w:num>
  <w:num w:numId="36">
    <w:abstractNumId w:val="14"/>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2:4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u964?\u951?\u962?"/>
    <w:docVar w:name="LW_ACCOMPAGNANT.CP" w:val="\u964?\u951?\u962?"/>
    <w:docVar w:name="LW_ANNEX_NBR_FIRST" w:val="1"/>
    <w:docVar w:name="LW_ANNEX_NBR_LAST" w:val="1"/>
    <w:docVar w:name="LW_ANNEX_UNIQUE" w:val="1"/>
    <w:docVar w:name="LW_CORRIGENDUM" w:val="&lt;UNUSED&gt;"/>
    <w:docVar w:name="LW_COVERPAGE_EXISTS" w:val="True"/>
    <w:docVar w:name="LW_COVERPAGE_GUID" w:val="783B2A3E-5EE9-4063-B577-B3F60913B1BE"/>
    <w:docVar w:name="LW_COVERPAGE_TYPE" w:val="1"/>
    <w:docVar w:name="LW_CROSSREFERENCE" w:val="&lt;UNUSED&gt;"/>
    <w:docVar w:name="LW_DocType" w:val="ANNEX"/>
    <w:docVar w:name="LW_EMISSION" w:val="1.3.2019"/>
    <w:docVar w:name="LW_EMISSION_ISODATE" w:val="2019-03-01"/>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28?\u945?\u947?\u954?\u972?\u963?\u956?\u953?\u959?\u965? \u927?\u961?\u947?\u945?\u957?\u953?\u963?\u956?\u959?\u973? \u932?\u949?\u955?\u969?\u957?\u949?\u943?\u969?\u957? \u972?\u963?\u959?\u957? \u945?\u966?\u959?\u961?\u940? \u964?\u959? \u949?\u957?\u945?\u961?\u956?\u959?\u957?\u953?\u963?\u956?\u941?\u957?\u959? \u963?\u973?\u963?\u964?\u951?\u956?\u945?_x000b__x000b_"/>
    <w:docVar w:name="LW_OBJETACTEPRINCIPAL.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28?\u945?\u947?\u954?\u972?\u963?\u956?\u953?\u959?\u965? \u927?\u961?\u947?\u945?\u957?\u953?\u963?\u956?\u959?\u973? \u932?\u949?\u955?\u969?\u957?\u949?\u943?\u969?\u957? \u972?\u963?\u959?\u957? \u945?\u966?\u959?\u961?\u940? \u964?\u959? \u949?\u957?\u945?\u961?\u956?\u959?\u957?\u953?\u963?\u956?\u941?\u957?\u959? \u963?\u973?\u963?\u964?\u951?\u956?\u945?_x000b__x000b_"/>
    <w:docVar w:name="LW_PART_NBR" w:val="1"/>
    <w:docVar w:name="LW_PART_NBR_TOTAL" w:val="1"/>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
    <w:docVar w:name="LW_TYPE.DOC.CP" w:val="\u928?\u913?\u929?\u913?\u929?\u932?\u919?\u924?\u913?"/>
    <w:docVar w:name="LW_TYPEACTEPRINCIPAL" w:val="\u928?\u961?\u972?\u964?\u945?\u963?\u951?\u962? \u913?\u960?\u972?\u966?\u945?\u963?\u951?\u962? \u964?\u959?\u965? \u931?\u965?\u956?\u946?\u959?\u965?\u955?\u943?\u959?\u965?"/>
    <w:docVar w:name="LW_TYPEACTEPRINCIPAL.CP" w:val="\u928?\u961?\u972?\u964?\u945?\u963?\u951?\u962? \u913?\u960?\u972?\u966?\u945?\u963?\u951?\u962? \u964?\u959?\u965? \u931?\u965?\u956?\u946?\u959?\u965?\u955?\u943?\u959?\u965?"/>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rPr>
  </w:style>
  <w:style w:type="paragraph" w:customStyle="1" w:styleId="ListNumberLevel2">
    <w:name w:val="List Number (Level 2)"/>
    <w:basedOn w:val="Normal"/>
    <w:pPr>
      <w:numPr>
        <w:ilvl w:val="1"/>
        <w:numId w:val="1"/>
      </w:numPr>
    </w:pPr>
    <w:rPr>
      <w:rFonts w:eastAsia="Times New Roman"/>
    </w:rPr>
  </w:style>
  <w:style w:type="paragraph" w:customStyle="1" w:styleId="ListNumberLevel3">
    <w:name w:val="List Number (Level 3)"/>
    <w:basedOn w:val="Normal"/>
    <w:pPr>
      <w:numPr>
        <w:ilvl w:val="2"/>
        <w:numId w:val="1"/>
      </w:numPr>
    </w:pPr>
    <w:rPr>
      <w:rFonts w:eastAsia="Times New Roman"/>
    </w:rPr>
  </w:style>
  <w:style w:type="paragraph" w:customStyle="1" w:styleId="ListNumberLevel4">
    <w:name w:val="List Number (Level 4)"/>
    <w:basedOn w:val="Normal"/>
    <w:pPr>
      <w:numPr>
        <w:ilvl w:val="3"/>
        <w:numId w:val="1"/>
      </w:numPr>
    </w:pPr>
    <w:rPr>
      <w:rFonts w:eastAsia="Times New Roman"/>
    </w:rPr>
  </w:style>
  <w:style w:type="character" w:styleId="Hyperlink">
    <w:name w:val="Hyperlink"/>
    <w:uiPriority w:val="99"/>
    <w:rPr>
      <w:color w:val="0000FF"/>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l-GR"/>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l-GR" w:eastAsia="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9298-537D-40DA-ABB0-534D58C3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3</Pages>
  <Words>437</Words>
  <Characters>2273</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GATTEGNO Valerie (TAXUD)</dc:creator>
  <cp:lastModifiedBy>WES PDFC Administrator</cp:lastModifiedBy>
  <cp:revision>8</cp:revision>
  <cp:lastPrinted>2019-02-22T15:46:00Z</cp:lastPrinted>
  <dcterms:created xsi:type="dcterms:W3CDTF">2019-03-08T12:34:00Z</dcterms:created>
  <dcterms:modified xsi:type="dcterms:W3CDTF">2019-03-11T09:12:00Z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