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027990F-64A6-4782-85B1-3AEB90BFB7CA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rPr>
          <w:rFonts w:eastAsia="Calibri"/>
          <w:noProof/>
        </w:rPr>
      </w:pPr>
      <w:r>
        <w:rPr>
          <w:noProof/>
        </w:rPr>
        <w:t xml:space="preserve">Na temelju odgovarajućih pregovaračkih smjernica Komisija je pregovarala s Vladom Gambije u cilju sklapanja novog Sporazuma o partnerstvu u održivom ribarstvu između Europske unije i Republike Gambije. Nakon tih pregovora novi Sporazum i Protokol o provedbi parafirani su 19. listopada 2018. Novim se Sporazumom stavlja izvan snage i zamjenjuje postojeći Sporazum; novi Sporazum obuhvaća razdoblje od šest godina od datuma njegove privremene primjene te se automatski produžuje. Novi Protokol obuhvaća razdoblje od šest godina od datuma privremene primjene kako je određeno u članku 13., a riječ je o datumu na koji su ga potpisale obje stranke.  </w:t>
      </w:r>
    </w:p>
    <w:p>
      <w:pPr>
        <w:rPr>
          <w:rFonts w:eastAsia="Calibri"/>
          <w:noProof/>
        </w:rPr>
      </w:pPr>
      <w:r>
        <w:rPr>
          <w:noProof/>
        </w:rPr>
        <w:t>Glavni je cilj novog Sporazuma osigurati ažurirani okvir uzimajući u obzir prioritete reformirane zajedničke ribarstvene politike i njezine vanjske dimenzije, u cilju uspostave strateškog partnerstva u ribarstvu između Europske unije i Republike Gambije.</w:t>
      </w:r>
    </w:p>
    <w:p>
      <w:pPr>
        <w:rPr>
          <w:rFonts w:eastAsia="Calibri"/>
          <w:noProof/>
        </w:rPr>
      </w:pPr>
      <w:r>
        <w:rPr>
          <w:noProof/>
        </w:rPr>
        <w:t>Cilj je Protokola odobriti ribolovne mogućnosti plovilima Europske unije u gambijskim vodama uzimajući u obzir raspoložive znanstvene procjene, u prvom redu procjene Odbora za ribarstvo za srednjoistočni Atlantik (CECAF), poštujući najbolje raspoložive znanstvene savjete i preporuke Međunarodne komisije za očuvanje atlantskih tuna (ICCAT), a u granicama raspoloživog viška. Komisija se među ostalim oslonila na rezultate preliminarnog ocjenjivanja mogućnosti sklapanja novog Sporazuma i Protokola koje su proveli vanjski stručnjaci. Cilj je i poboljšati suradnju između Europske unije i Republike Gambije radi promicanja održive ribarstvene politike i odgovornog iskorištavanja ribolovnih resursa u gambijskoj ribolovnoj zoni u interesu obiju stranaka.</w:t>
      </w:r>
    </w:p>
    <w:p>
      <w:pPr>
        <w:rPr>
          <w:rFonts w:eastAsia="Calibri"/>
          <w:noProof/>
        </w:rPr>
      </w:pPr>
      <w:r>
        <w:rPr>
          <w:noProof/>
        </w:rPr>
        <w:t>Protokolom se predviđaju ribolovne mogućnosti u sljedećim kategorijama:</w:t>
      </w:r>
    </w:p>
    <w:p>
      <w:pPr>
        <w:rPr>
          <w:rFonts w:eastAsia="Calibri"/>
          <w:noProof/>
        </w:rPr>
      </w:pPr>
      <w:r>
        <w:rPr>
          <w:noProof/>
        </w:rPr>
        <w:t>—</w:t>
      </w:r>
      <w:r>
        <w:rPr>
          <w:noProof/>
        </w:rPr>
        <w:tab/>
        <w:t>28 tunolovaca plivaričara,</w:t>
      </w:r>
    </w:p>
    <w:p>
      <w:pPr>
        <w:rPr>
          <w:rFonts w:eastAsia="Calibri"/>
          <w:noProof/>
        </w:rPr>
      </w:pPr>
      <w:r>
        <w:rPr>
          <w:noProof/>
        </w:rPr>
        <w:t>—</w:t>
      </w:r>
      <w:r>
        <w:rPr>
          <w:noProof/>
        </w:rPr>
        <w:tab/>
        <w:t>10 plovila s ribarskim štapovima,</w:t>
      </w:r>
    </w:p>
    <w:p>
      <w:pPr>
        <w:rPr>
          <w:rFonts w:eastAsia="Calibri"/>
          <w:noProof/>
        </w:rPr>
      </w:pPr>
      <w:r>
        <w:rPr>
          <w:noProof/>
        </w:rPr>
        <w:t>—</w:t>
      </w:r>
      <w:r>
        <w:rPr>
          <w:noProof/>
        </w:rPr>
        <w:tab/>
        <w:t>3 koćarice (za lov senegalskog oslića, dubokomorske pridnene vrste).</w:t>
      </w:r>
    </w:p>
    <w:p>
      <w:pPr>
        <w:rPr>
          <w:noProof/>
        </w:rPr>
      </w:pPr>
      <w:r>
        <w:rPr>
          <w:noProof/>
        </w:rPr>
        <w:t xml:space="preserve">Potrebno je raspodijeliti te ribolovne mogućnosti među državama članicama.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Pravna osnova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Odabrana pravna osnova jest Ugovor o funkcioniranju Europske unije, a posebno njegov članak 43. stavak 3., kojim je utvrđeno da Vijeće, na prijedlog Komisije, donosi odluku o raspodjeli ribolovnih mogućnosti.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Supsidijarnost (za neisključivu nadležnost)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Područje djelovanja u isključivoj je nadležnosti.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UTJECAJ NA PRORAČUN</w:t>
      </w:r>
    </w:p>
    <w:p>
      <w:pPr>
        <w:rPr>
          <w:rFonts w:eastAsia="Calibri"/>
          <w:noProof/>
        </w:rPr>
      </w:pPr>
      <w:r>
        <w:rPr>
          <w:noProof/>
        </w:rPr>
        <w:t>Nacrt Uredbe nema utjecaj na proračun EU-a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OSTALI DIJELOVI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Planovi provedbe i mehanizmi praćenja, evaluacije i izvješćivanja</w:t>
      </w:r>
    </w:p>
    <w:p>
      <w:pPr>
        <w:spacing w:before="0" w:after="240"/>
        <w:rPr>
          <w:rFonts w:eastAsia="Calibri"/>
          <w:noProof/>
        </w:rPr>
      </w:pPr>
      <w:r>
        <w:rPr>
          <w:noProof/>
        </w:rPr>
        <w:t>Ovaj se postupak pokreće istodobno s postupcima povezanima s Odlukom Vijeća o potpisivanju, u ime Europske unije, Sporazuma o partnerstvu u održivom ribarstvu između Europske unije i Kraljevine Gambije i s Odlukom Vijeća o njegovu sklapanju. Ova Uredba mora se početi primjenjivati čim ribolovne aktivnosti u okviru Sporazuma budu moguće, to jest na datum početka primjene Protokola o provedbi Sporazuma.</w:t>
      </w:r>
    </w:p>
    <w:p>
      <w:pPr>
        <w:spacing w:before="0" w:after="240"/>
        <w:rPr>
          <w:rFonts w:eastAsia="Calibri"/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2019/0074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UREDBE VIJEĆA</w:t>
      </w:r>
    </w:p>
    <w:p>
      <w:pPr>
        <w:pStyle w:val="Titreobjet"/>
        <w:rPr>
          <w:noProof/>
        </w:rPr>
      </w:pPr>
      <w:r>
        <w:rPr>
          <w:noProof/>
        </w:rPr>
        <w:t>o raspodjeli ribolovnih mogućnosti u skladu s Protokolom uz Sporazum o partnerstvu u održivom ribarstvu između Europske unije i Republike Gambije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 43. stavak 3.,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Komisija je u ime Europske unije u pregovorima dogovorila novi Sporazum o partnerstvu u održivom ribarstvu između Europske unije i Republike Gambije („Sporazum o partnerstvu”) te novi Protokol o provedbi uz Sporazum o partnerstvu („Protokol”). 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(2)</w:t>
      </w:r>
      <w:r>
        <w:rPr>
          <w:noProof/>
        </w:rPr>
        <w:tab/>
        <w:t>Sporazum o partnerstvu i Protokol parafirani su po okončanju pregovora 19. listopada 2018.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(3)</w:t>
      </w:r>
      <w:r>
        <w:rPr>
          <w:noProof/>
        </w:rPr>
        <w:tab/>
        <w:t>Sporazumom o partnerstvu stavlja se izvan snage prijašnji Sporazum sklopljen između vlada Republike Gambije i Europske ekonomske zajednice o ribolovnim aktivnostima na obalama Gambije, koji je stupio na snagu 2. lipnja 1987.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U skladu s Odlukom Vijeća 2018/.../EU</w:t>
      </w:r>
      <w:r>
        <w:rPr>
          <w:rStyle w:val="FootnoteReference"/>
          <w:noProof/>
        </w:rPr>
        <w:footnoteReference w:id="1"/>
      </w:r>
      <w:r>
        <w:rPr>
          <w:noProof/>
        </w:rPr>
        <w:t>, novi Sporazum o partnerstvu i Protokol potpisani su ... [</w:t>
      </w:r>
      <w:r>
        <w:rPr>
          <w:i/>
          <w:noProof/>
        </w:rPr>
        <w:t>unijeti datum potpisivanja</w:t>
      </w:r>
      <w:r>
        <w:rPr>
          <w:noProof/>
        </w:rPr>
        <w:t>].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Protokolom je obuhvaćeno razdoblje od šest godina od datuma početka njegove primjene.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Ribolovne mogućnosti predviđene Protokolom trebalo bi raspodijeliti među državama članicama za cjelokupno razdoblje primjene Protokola.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Protokol će se privremeno primjenjivati od datuma njegova potpisivanja kako bi se osigurao brz početak ribolovnih aktivnosti plovila Unije. Ova bi se Uredba stoga trebala primjenjivati od istog dana,</w:t>
      </w:r>
    </w:p>
    <w:p>
      <w:pPr>
        <w:ind w:left="709" w:hanging="709"/>
        <w:rPr>
          <w:rFonts w:eastAsia="Calibri"/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DONIJELA JE OVU UREDBU: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</w:rPr>
      </w:pPr>
      <w:r>
        <w:rPr>
          <w:noProof/>
        </w:rPr>
        <w:t>Ribolovne mogućnosti određene Protokolom o provedbi Sporazuma o partnerstvu u ribarstvu između Europske unije i Republike Gambije raspodjeljuju se među državama članicama kako slijedi:</w:t>
      </w:r>
    </w:p>
    <w:p>
      <w:pPr>
        <w:pStyle w:val="Point0letter"/>
        <w:numPr>
          <w:ilvl w:val="1"/>
          <w:numId w:val="5"/>
        </w:numPr>
        <w:rPr>
          <w:noProof/>
        </w:rPr>
      </w:pPr>
      <w:r>
        <w:rPr>
          <w:noProof/>
        </w:rPr>
        <w:t xml:space="preserve">tunolovci plivaričari: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Španjolska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16 plovila</w:t>
            </w:r>
          </w:p>
        </w:tc>
      </w:tr>
      <w:tr>
        <w:trPr>
          <w:trHeight w:val="589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Francuska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 plovila</w:t>
            </w:r>
          </w:p>
        </w:tc>
      </w:tr>
    </w:tbl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plovila s ribarskim štapovima: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Španjolska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 plovila</w:t>
            </w:r>
          </w:p>
        </w:tc>
      </w:tr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Francuska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 plovila</w:t>
            </w:r>
          </w:p>
        </w:tc>
      </w:tr>
    </w:tbl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koćarice za dubokomorski pridneni ribolov: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  <w:gridCol w:w="2410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Država članica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Najveći broj koćarica za dubokomorski pridneni ribolov aktivnih u bilo kojem trenutku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Broj tromjesečnih odobrenja za ribolov godišnje</w:t>
            </w:r>
            <w:r>
              <w:rPr>
                <w:rStyle w:val="FootnoteReference"/>
                <w:noProof/>
                <w:sz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Tone ciljanih vrsta kako su određene u Dodatku 2.b Priloga Protokolu</w:t>
            </w:r>
          </w:p>
        </w:tc>
      </w:tr>
      <w:tr>
        <w:trPr>
          <w:trHeight w:val="746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Španjolska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625</w:t>
            </w:r>
          </w:p>
        </w:tc>
      </w:tr>
      <w:tr>
        <w:trPr>
          <w:trHeight w:val="746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Grčka</w:t>
            </w:r>
          </w:p>
        </w:tc>
        <w:tc>
          <w:tcPr>
            <w:tcW w:w="2410" w:type="dxa"/>
            <w:vMerge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 (u dva različita tromjesečja)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125</w:t>
            </w:r>
          </w:p>
        </w:tc>
      </w:tr>
    </w:tbl>
    <w:p>
      <w:pPr>
        <w:pStyle w:val="Titrearticle"/>
        <w:rPr>
          <w:noProof/>
        </w:rPr>
      </w:pPr>
      <w:r>
        <w:rPr>
          <w:noProof/>
        </w:rPr>
        <w:t>Članak 2.</w:t>
      </w:r>
    </w:p>
    <w:p>
      <w:pPr>
        <w:rPr>
          <w:noProof/>
        </w:rPr>
      </w:pPr>
      <w:r>
        <w:rPr>
          <w:noProof/>
        </w:rPr>
        <w:t xml:space="preserve">Ova Uredba stupa na snagu sljedećeg dana od dana objave 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Primjenjuje se od dana primjene Protokola.</w:t>
      </w:r>
    </w:p>
    <w:p>
      <w:pPr>
        <w:pStyle w:val="Applicationdirecte"/>
        <w:rPr>
          <w:noProof/>
        </w:rPr>
      </w:pPr>
      <w:r>
        <w:rPr>
          <w:noProof/>
        </w:rPr>
        <w:t>Ova je Uredba u cijelosti obvezujuća i izravno se primjenjuje u svim državama članicama.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SL L ..., ..., str.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Dotične države članice surađuju s Komisijom kako bi koordinirale korištenje tromjesečnih odobrenja za ribolov.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12FB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A28D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D43C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78BC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2EAC3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FB8F9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908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A43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3:06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027990F-64A6-4782-85B1-3AEB90BFB7CA"/>
    <w:docVar w:name="LW_COVERPAGE_TYPE" w:val="1"/>
    <w:docVar w:name="LW_CROSSREFERENCE" w:val="&lt;UNUSED&gt;"/>
    <w:docVar w:name="LW_DocType" w:val="COM"/>
    <w:docVar w:name="LW_EMISSION" w:val="12.3.2019."/>
    <w:docVar w:name="LW_EMISSION_ISODATE" w:val="2019-03-12"/>
    <w:docVar w:name="LW_EMISSION_LOCATION" w:val="BRX"/>
    <w:docVar w:name="LW_EMISSION_PREFIX" w:val="Bruxelles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4"/>
    <w:docVar w:name="LW_REF.II.NEW.CP_YEAR" w:val="2019"/>
    <w:docVar w:name="LW_REF.INST.NEW" w:val="COM"/>
    <w:docVar w:name="LW_REF.INST.NEW_ADOPTED" w:val="final"/>
    <w:docVar w:name="LW_REF.INST.NEW_TEXT" w:val="(2019) 1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raspodjeli ribolovnih mogu\u263?nosti u skladu s Protokolom uz Sporazum o partnerstvu u odr\u382?ivom ribarstvu izme\u273?u Europske unije i Republike Gambije"/>
    <w:docVar w:name="LW_TYPE.DOC.CP" w:val="UREDB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36910F-88AB-4721-85EF-ED82F2F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5</Pages>
  <Words>756</Words>
  <Characters>4668</Characters>
  <Application>Microsoft Office Word</Application>
  <DocSecurity>0</DocSecurity>
  <Lines>122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2018-11-06T10:24:00Z</cp:lastPrinted>
  <dcterms:created xsi:type="dcterms:W3CDTF">2019-02-21T14:42:00Z</dcterms:created>
  <dcterms:modified xsi:type="dcterms:W3CDTF">2019-03-05T12:06:00Z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