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63D2E8B-E8F3-43E8-A44C-E05887814FCC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rPr>
          <w:rFonts w:eastAsia="Calibri"/>
          <w:noProof/>
        </w:rPr>
      </w:pPr>
      <w:r>
        <w:rPr>
          <w:noProof/>
        </w:rPr>
        <w:t xml:space="preserve">Komisia na základe relevantných smerníc na rokovanie rokovala s vládou Gambie s cieľom uzavrieť novú dohodu o partnerstve v odvetví udržateľného rybárstva medzi Európskou úniou a Gambijskou republikou. Na záver týchto rokovaní bola 19. októbra 2018 parafovaná nová dohoda a nový vykonávací protokol. Nová dohoda sa vzťahuje na obdobie šiestich rokov od dátumu jej predbežného vykonávania, jej platnosť sa predlžuje automaticky; zrušuje a nahrádza sa ňou v súčasnosti platná dohoda, ktorá nadobudla platnosť 2. júna 1987.Nový protokol sa vzťahuje na obdobie šiestich rokov odo dňa jeho predbežného vykonávania stanoveného v článku 13, konkrétne odo dňa jeho podpísania zmluvnými stranami. </w:t>
      </w:r>
    </w:p>
    <w:p>
      <w:pPr>
        <w:rPr>
          <w:rFonts w:eastAsia="Calibri"/>
          <w:noProof/>
        </w:rPr>
      </w:pPr>
      <w:r>
        <w:rPr>
          <w:noProof/>
        </w:rPr>
        <w:t>Hlavným cieľom novej dohody je poskytnúť aktualizovaný rámec (t. j. rámec, ktorý zohľadní priority zreformovanej spoločnej rybárskej politiky a jej zahraničného rozmeru) na účely strategického partnerstva medzi Európskou úniou a Gambijskou republikou v odvetví rybolovu.</w:t>
      </w:r>
    </w:p>
    <w:p>
      <w:pPr>
        <w:rPr>
          <w:rFonts w:eastAsia="Calibri"/>
          <w:noProof/>
        </w:rPr>
      </w:pPr>
      <w:r>
        <w:rPr>
          <w:noProof/>
        </w:rPr>
        <w:t>Cieľom protokolu je poskytnúť plavidlám Európskej únie rybolovné možnosti v gambijských vodách v rámci dostupného prebytku a s prihliadnutím na dostupné vedecké hodnotenia, najmä hodnotenia Výboru pre rybolov v stredovýchodnom Atlantiku (CECAF), a na najlepšie vedecké názory a odporúčania Medzinárodnej komisie pre zachovanie atlantických tuniakov (ICCAT). Komisia okrem iného vychádzala z výsledkov perspektívneho posúdenia príležitosti na uzavretie novej dohody a nového protokolu, ktoré vykonali externí experti. Ďalším cieľom je oživiť v záujme oboch strán spoluprácu medzi Európskou úniou a Gambijskou republikou na podporu udržateľnej rybárskej politiky a zodpovedného využívania rybolovných zdrojov v rybolovnej oblasti Gambijskej republiky.</w:t>
      </w:r>
    </w:p>
    <w:p>
      <w:pPr>
        <w:rPr>
          <w:rFonts w:eastAsia="Calibri"/>
          <w:noProof/>
        </w:rPr>
      </w:pPr>
      <w:r>
        <w:rPr>
          <w:noProof/>
        </w:rPr>
        <w:t>V protokole sa stanovujú rybolovné možnosti v týchto kategóriách: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28 plavidiel na lov tuniakov vakovou sieťou,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10 lodí s návnadou,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3 plavidlá na lov vlečnými sieťami (určené na lov merlúzy senegalskej, druhu žijúceho pri morskom dne).</w:t>
      </w:r>
    </w:p>
    <w:p>
      <w:pPr>
        <w:rPr>
          <w:noProof/>
        </w:rPr>
      </w:pPr>
      <w:r>
        <w:rPr>
          <w:noProof/>
        </w:rPr>
        <w:t xml:space="preserve">Tieto rybolovné možnosti by sa mali rozdeliť medzi členské štáty.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Zvoleným právnym základom je Zmluva o fungovaní Európskej únie, v ktorej sa v článku 43 ods. 3 stanovuje, že Rada na návrh Komisie prijme opatrenia na rozdelenie rybolovných možností.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 prípade inej ako výlučnej právomoci)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Oblasť činnosti patrí do výlučnej právomoci.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VPLYV NA ROZPOČET</w:t>
      </w:r>
    </w:p>
    <w:p>
      <w:pPr>
        <w:rPr>
          <w:rFonts w:eastAsia="Calibri"/>
          <w:noProof/>
        </w:rPr>
      </w:pPr>
      <w:r>
        <w:rPr>
          <w:noProof/>
        </w:rPr>
        <w:t>Návrh nariadenia nemá žiadny vplyv na rozpočet Únie.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vykonávania, spôsob monitorovania, hodnotenia a podávania správ</w:t>
      </w:r>
    </w:p>
    <w:p>
      <w:pPr>
        <w:spacing w:before="0" w:after="240"/>
        <w:rPr>
          <w:rFonts w:eastAsia="Calibri"/>
          <w:noProof/>
        </w:rPr>
      </w:pPr>
      <w:r>
        <w:rPr>
          <w:noProof/>
        </w:rPr>
        <w:t>Tento postup sa začína súbežne s postupmi týkajúcimi sa rozhodnutia Rady o podpísaní v mene Únie Dohody o partnerstve v odvetví udržateľného rybárstva medzi Európskou úniou a Gambijskou republikou a rozhodnutia Rady o jej uzavretí. Toto nariadenie sa musí začať uplatňovať od momentu, keď sa rybolovné činnosti umožnia na základe dohody, t. j. v deň, keď sa začne uplatňovať vykonávací protokol k dohode.</w:t>
      </w:r>
    </w:p>
    <w:p>
      <w:pPr>
        <w:spacing w:before="0" w:after="240"/>
        <w:rPr>
          <w:rFonts w:eastAsia="Calibri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RADY</w:t>
      </w:r>
    </w:p>
    <w:p>
      <w:pPr>
        <w:pStyle w:val="Titreobjet"/>
        <w:rPr>
          <w:noProof/>
        </w:rPr>
      </w:pPr>
      <w:r>
        <w:rPr>
          <w:noProof/>
        </w:rPr>
        <w:t>o rozdelení rybolovných možností v rámci vykonávacieho protokolu k Dohode o partnerstve v odvetví udržateľného rybárstva medzi Európskou úniou a Gambijskou republikou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43 ods. 3,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Komisia v mene Európskej únie rokovala o novej Dohode o partnerstve v odvetví udržateľného rybárstva medzi Európskou úniou a Gambijskou republikou (ďalej len „dohoda o partnerstve“), ako aj o novom vykonávacom protokole k dohode o partnerstve (ďalej len „protokol“). 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Dohoda o partnerstve a protokol boli parafované na konci rokovaní 19. októbra 2018.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3.</w:t>
      </w:r>
      <w:r>
        <w:rPr>
          <w:noProof/>
        </w:rPr>
        <w:tab/>
        <w:t>Dohodou o partnerstve sa zrušuje predchádzajúca dohoda o rybolove pri pobreží Gambie uzavretá medzi vládou Gambijskej republiky a Európskym hospodárskym spoločenstvom, ktorá nadobudla platnosť 2. júna 1987.</w:t>
      </w:r>
    </w:p>
    <w:p>
      <w:pPr>
        <w:pStyle w:val="ManualConsidrant"/>
        <w:rPr>
          <w:noProof/>
        </w:rPr>
      </w:pPr>
      <w:r>
        <w:rPr>
          <w:noProof/>
        </w:rPr>
        <w:t>4.</w:t>
      </w:r>
      <w:r>
        <w:rPr>
          <w:noProof/>
        </w:rPr>
        <w:tab/>
        <w:t>Nová dohoda o partnerstve a nový protokol boli v súlade s rozhodnutím Rady 2018/…/EÚ</w:t>
      </w:r>
      <w:r>
        <w:rPr>
          <w:rStyle w:val="FootnoteReference"/>
          <w:noProof/>
        </w:rPr>
        <w:footnoteReference w:id="1"/>
      </w:r>
      <w:r>
        <w:rPr>
          <w:noProof/>
        </w:rPr>
        <w:t>podpísané… [</w:t>
      </w:r>
      <w:r>
        <w:rPr>
          <w:i/>
          <w:noProof/>
        </w:rPr>
        <w:t>vložiť dátum podpisu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rPr>
          <w:noProof/>
        </w:rPr>
        <w:t>5.</w:t>
      </w:r>
      <w:r>
        <w:rPr>
          <w:noProof/>
        </w:rPr>
        <w:tab/>
        <w:t>Protokol sa vzťahuje na obdobie šiestich rokov odo dňa jeho predbežného vykonávania.</w:t>
      </w:r>
    </w:p>
    <w:p>
      <w:pPr>
        <w:pStyle w:val="ManualConsidrant"/>
        <w:rPr>
          <w:noProof/>
        </w:rPr>
      </w:pPr>
      <w:r>
        <w:rPr>
          <w:noProof/>
        </w:rPr>
        <w:t>6.</w:t>
      </w:r>
      <w:r>
        <w:rPr>
          <w:noProof/>
        </w:rPr>
        <w:tab/>
        <w:t>Rybolovné možnosti stanovené v protokole by sa mali rozdeliť medzi členské štáty na celé obdobie uplatňovania protokolu.</w:t>
      </w:r>
    </w:p>
    <w:p>
      <w:pPr>
        <w:pStyle w:val="ManualConsidrant"/>
        <w:rPr>
          <w:noProof/>
        </w:rPr>
      </w:pPr>
      <w:r>
        <w:rPr>
          <w:noProof/>
        </w:rPr>
        <w:t>7.</w:t>
      </w:r>
      <w:r>
        <w:rPr>
          <w:noProof/>
        </w:rPr>
        <w:tab/>
        <w:t>Protokol sa bude predbežne vykonávať od dátumu jeho podpísania v záujme urýchleného začiatku rybolovných činností plavidiel Únie. Toto nariadenie by sa preto malo uplatňovať od rovnakého dátumu,</w:t>
      </w: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PRIJALA TOTO NARIADENIE: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Rybolovné možnosti stanovené podľa Protokolu, ktorým sa vykonáva Dohoda o partnerstve v odvetví rybárstva medzi Európskou úniou a Gambijskou republikou (ďalej len „protokol“), sa rozdeľujú medzi členské štáty takto: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plavidlá na lov tuniakov vakovou sieťou: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Španielsko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16 plavidiel</w:t>
            </w:r>
          </w:p>
        </w:tc>
      </w:tr>
      <w:tr>
        <w:trPr>
          <w:trHeight w:val="589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Francúzsko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 plavidiel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lode s návnadou: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Španielsko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 plavidiel</w:t>
            </w:r>
          </w:p>
        </w:tc>
      </w:tr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Francúzsko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plavidlá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plavidlá s vlečnými sieťami na hlbokomorský lov pri dne: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2410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Členský štát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Maximálny počet plavidiel s vlečnými sieťami na hlbokomorský lov pri dne aktívnych v akomkoľvek okamihu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Počet štvrťročných oprávnení na rybolov ročne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Tony cieľového druhu podľa vymedzenia v dodatku 2b k prílohe k protokolu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Španielsko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625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Grécko</w:t>
            </w:r>
          </w:p>
        </w:tc>
        <w:tc>
          <w:tcPr>
            <w:tcW w:w="2410" w:type="dxa"/>
            <w:vMerge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(v rozličných štvrťrokoch)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125</w:t>
            </w:r>
          </w:p>
        </w:tc>
      </w:tr>
    </w:tbl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 xml:space="preserve">Toto nariadenie nadobúda účinnosť dňom nasledujúcim po jeho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Uplatňuje sa odo dňa podpísania protokolu.</w:t>
      </w:r>
    </w:p>
    <w:p>
      <w:pPr>
        <w:pStyle w:val="Applicationdirecte"/>
        <w:rPr>
          <w:noProof/>
        </w:rPr>
      </w:pPr>
      <w:r>
        <w:rPr>
          <w:noProof/>
        </w:rPr>
        <w:t>Toto nariadenie je záväzné v celom rozsahu a priamo uplatniteľné vo všetkých členských štátoch.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Ú. v. EÚ L [...], [...], s. [...].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Dotknutý členský štát spolupracuje s Komisiou s cieľom koordinovať využívanie štvrťročných oprávnení na rybolov.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12FB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A28D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D43C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78BC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EAC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FB8F9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908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A43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05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63D2E8B-E8F3-43E8-A44C-E05887814FCC"/>
    <w:docVar w:name="LW_COVERPAGE_TYPE" w:val="1"/>
    <w:docVar w:name="LW_CROSSREFERENCE" w:val="&lt;UNUSED&gt;"/>
    <w:docVar w:name="LW_DocType" w:val="COM"/>
    <w:docVar w:name="LW_EMISSION" w:val="12. 3. 2019"/>
    <w:docVar w:name="LW_EMISSION_ISODATE" w:val="2019-03-12"/>
    <w:docVar w:name="LW_EMISSION_LOCATION" w:val="BRX"/>
    <w:docVar w:name="LW_EMISSION_PREFIX" w:val="V Bruseli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4"/>
    <w:docVar w:name="LW_REF.II.NEW.CP_YEAR" w:val="2019"/>
    <w:docVar w:name="LW_REF.INST.NEW" w:val="COM"/>
    <w:docVar w:name="LW_REF.INST.NEW_ADOPTED" w:val="final"/>
    <w:docVar w:name="LW_REF.INST.NEW_TEXT" w:val="(2019) 1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rozdelení rybolovných mo\u382?ností v rámci vykonávacieho protokolu k Dohode o partnerstve v odvetví udr\u382?ate\u318?ného rybárstva medzi Európskou úniou a Gambijskou republikou"/>
    <w:docVar w:name="LW_TYPE.DOC.CP" w:val="NARIAD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ECED45-0C82-46DD-B78F-461772A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792</Words>
  <Characters>4724</Characters>
  <Application>Microsoft Office Word</Application>
  <DocSecurity>0</DocSecurity>
  <Lines>131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2018-11-06T10:24:00Z</cp:lastPrinted>
  <dcterms:created xsi:type="dcterms:W3CDTF">2019-02-22T09:33:00Z</dcterms:created>
  <dcterms:modified xsi:type="dcterms:W3CDTF">2019-03-05T12:05:00Z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