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7B96283-7CB0-48C0-8E16-40FA2AD32C2E" style="width:450.45pt;height:351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rPr>
          <w:rFonts w:eastAsia="Calibri"/>
          <w:noProof/>
        </w:rPr>
      </w:pPr>
      <w:r>
        <w:rPr>
          <w:noProof/>
        </w:rPr>
        <w:t xml:space="preserve">Rada upoważniła Komisję Europejską do wynegocjowania w imieniu Unii Europejskiej nowej umowy między Unią Europejską a Republiką Gambii oraz protokołu ustalającego uprawnienia do połowów i rekompensatę finansową. W wyniku tych rokowań umowa i protokół zostały parafowane przez negocjatorów w dniu 19 października 2018 r. Nowa umowa uchyla i zastępuje obowiązującą umowę, która weszła w życie w dniu 2 czerwca 1987 r.; obejmuje ona okres sześciu lat, począwszy od daty jej tymczasowego stosowania, z możliwością automatycznego odnowienia. Nowy protokół obejmuje okres sześciu lat, począwszy od daty jego tymczasowego stosowania ustalonej w jego art. 13, tj. od daty jego podpisania przez strony.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spacing w:before="0" w:after="0"/>
        <w:rPr>
          <w:rFonts w:eastAsia="Calibri"/>
          <w:noProof/>
        </w:rPr>
      </w:pPr>
      <w:r>
        <w:rPr>
          <w:noProof/>
        </w:rPr>
        <w:t>Głównym celem nowej umowy jest stworzenie nowych ram uwzględniających priorytety zreformowanej wspólnej polityki rybołówstwa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 jej wymiaru zewnętrznego z myślą o partnerstwie strategicznym między Unią Europejską a Republiką Gambii w dziedzinie rybołówstwa.</w:t>
      </w:r>
    </w:p>
    <w:p>
      <w:pPr>
        <w:rPr>
          <w:rFonts w:eastAsia="Calibri"/>
          <w:noProof/>
        </w:rPr>
      </w:pPr>
      <w:r>
        <w:rPr>
          <w:noProof/>
        </w:rPr>
        <w:t>Celem protokołu jest przyznanie statkom Unii Europejskiej uprawnień do połowów w wodach Gambii, z uwzględnieniem dostępnych opinii naukowych, zwłaszcza Komitetu ds. Rybołówstwa na Środkowym i Wschodnim Atlantyku (CECAF), i w poszanowaniu najlepszych opinii naukowych oraz zaleceń Międzynarodowej Komisji ds. Ochrony Tuńczyka Atlantyckiego (ICCAT) w granicach dostępnej nadwyżki. Stanowisko Komisji było oparte między innymi na wynikach przeprowadzonej przez ekspertów zewnętrznych perspektywicznej oceny dotyczącej możliwości zawarcia nowej umowy oraz protokołu. Celem jest również leżące w interesie obu stron ożywienie współpracy między Unią Europejską a Republiką Gambii służącej wspieraniu zrównoważonej polityki rybołówstwa oraz odpowiedzialnej eksploatacji zasobów rybnych w obszarze połowowym Gambii.</w:t>
      </w:r>
    </w:p>
    <w:p>
      <w:pPr>
        <w:rPr>
          <w:rFonts w:eastAsia="Calibri"/>
          <w:noProof/>
        </w:rPr>
      </w:pPr>
      <w:r>
        <w:rPr>
          <w:noProof/>
        </w:rPr>
        <w:t>Protokół przewiduje w szczególności uprawnienia do połowów w następujących kategoriach:</w:t>
      </w:r>
    </w:p>
    <w:p>
      <w:pPr>
        <w:rPr>
          <w:rFonts w:eastAsia="Calibri"/>
          <w:noProof/>
        </w:rPr>
      </w:pPr>
      <w:r>
        <w:rPr>
          <w:noProof/>
        </w:rPr>
        <w:t>-</w:t>
      </w:r>
      <w:r>
        <w:rPr>
          <w:noProof/>
        </w:rPr>
        <w:tab/>
        <w:t>28 sejnerów tuńczykowych;</w:t>
      </w:r>
    </w:p>
    <w:p>
      <w:pPr>
        <w:rPr>
          <w:rFonts w:eastAsia="Calibri"/>
          <w:noProof/>
        </w:rPr>
      </w:pPr>
      <w:r>
        <w:rPr>
          <w:noProof/>
        </w:rPr>
        <w:t>-</w:t>
      </w:r>
      <w:r>
        <w:rPr>
          <w:noProof/>
        </w:rPr>
        <w:tab/>
        <w:t>10 statków do połowu wędami;</w:t>
      </w:r>
    </w:p>
    <w:p>
      <w:pPr>
        <w:rPr>
          <w:rFonts w:eastAsia="Calibri"/>
          <w:noProof/>
        </w:rPr>
      </w:pPr>
      <w:r>
        <w:rPr>
          <w:noProof/>
        </w:rPr>
        <w:t>-</w:t>
      </w:r>
      <w:r>
        <w:rPr>
          <w:noProof/>
        </w:rPr>
        <w:tab/>
        <w:t>3 trawlery (poławiające morszczuka senegalskiego, który należy do głębokowodnych gatunków przydennych).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spacing w:before="0" w:after="240"/>
        <w:rPr>
          <w:noProof/>
        </w:rPr>
      </w:pPr>
      <w:r>
        <w:rPr>
          <w:noProof/>
        </w:rPr>
        <w:t xml:space="preserve">Negocjacje dotyczące nowej umowy o partnerstwie w sprawie połowów z Gambią wpisują się w ramy działań zewnętrznych Unii wobec krajów AKP oraz uwzględniają w szczególności cele Unii w zakresie poszanowania zasad demokratycznych i praw człowieka.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Wybraną podstawę prawną stanowi art. 43 ust. 2 Traktatu o funkcjonowaniu Unii Europejskiej, który ustanawia wspólną politykę rybołówstwa, oraz jego art. 218 ust. 6 lit. a) ppkt (v), który ustanawia przedmiotowy etap negocjacji i zawierania umów między Unią a państwami trzecimi. 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Pomocniczość (w przypadku kompetencji niewyłącznych)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Niniejszy wniosek wchodzi w zakres wyłącznych kompetencji Unii Europejskiej.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Wniosek jest proporcjonalny do celu, jakim jest ustanowienie prawnych, środowiskowych, gospodarczych i społecznych ram zarządzania działalnością połowową prowadzoną przez statki unijne w wodach państw trzecich, ustalonego w art. 31 rozporządzenia ustanawiającego wspólną politykę rybołówstwa. Wniosek jest zgodny z tymi przepisami, a także z przepisami dotyczącymi pomocy finansowej dla państw trzecich, o której mowa w art. 32 wzmiankowanego rozporządzenia. </w:t>
      </w:r>
    </w:p>
    <w:p>
      <w:pPr>
        <w:pStyle w:val="ManualHeading1"/>
        <w:rPr>
          <w:noProof/>
        </w:rPr>
      </w:pPr>
      <w:r>
        <w:rPr>
          <w:noProof/>
        </w:rPr>
        <w:t xml:space="preserve"> 3.</w:t>
      </w:r>
      <w:r>
        <w:rPr>
          <w:noProof/>
        </w:rPr>
        <w:tab/>
        <w:t>WPŁYW NA BUDŻET</w:t>
      </w:r>
    </w:p>
    <w:p>
      <w:pPr>
        <w:rPr>
          <w:rFonts w:eastAsia="Calibri"/>
          <w:noProof/>
        </w:rPr>
      </w:pPr>
      <w:r>
        <w:rPr>
          <w:noProof/>
        </w:rPr>
        <w:t>Roczną rekompensatę finansową w wysokości 550 000 EUR wyliczono na podstawie:</w:t>
      </w:r>
    </w:p>
    <w:p>
      <w:pPr>
        <w:rPr>
          <w:rFonts w:eastAsia="Calibri"/>
          <w:noProof/>
        </w:rPr>
      </w:pPr>
      <w:r>
        <w:rPr>
          <w:noProof/>
        </w:rPr>
        <w:t xml:space="preserve">a) kwoty rocznej za dostęp do zasobów rybnych w obszarze połowowym Gambii w wysokości 275 000 EUR, stanowiącej równoważność pojemności referencyjnej dla gatunków daleko migrujących wynoszącej 3 300 ton rocznie, </w:t>
      </w:r>
    </w:p>
    <w:p>
      <w:pPr>
        <w:rPr>
          <w:rFonts w:eastAsia="Calibri"/>
          <w:noProof/>
        </w:rPr>
      </w:pPr>
      <w:r>
        <w:rPr>
          <w:noProof/>
        </w:rPr>
        <w:t>b) wsparcia na rozwój sektorowej polityki rybołówstwa Gambii w wysokości 275 000 EUR rocznie. Wsparcie to jest zgodne z celami polityki krajowej Gambii w dziedzinie zrównoważonego zarządzania śródlądowymi i morskimi zasobami rybnymi.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Plany wdrożenia i monitorowanie, ocena i sprawozdania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Ustalenia dotyczące monitorowania przewidziane są w protokole zawartym w nowej umowie o partnerstwie.</w:t>
      </w:r>
    </w:p>
    <w:p>
      <w:pPr>
        <w:rPr>
          <w:rFonts w:eastAsia="Calibri"/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2019/0076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zawarcia Umowy o partnerstwie w sprawie zrównoważonych połowów między Unią Europejską a Republiką Gambii i protokołu wykonawczego do tej umowy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43 ust. 2 w związku z art. 218 ust. 6 lit. a) ppkt (v) oraz art. 218 ust. 7,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uwzględniając opinię Parlamentu Europejskiego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(1)</w:t>
      </w:r>
      <w:r>
        <w:rPr>
          <w:noProof/>
        </w:rPr>
        <w:tab/>
        <w:t>Komisja prowadziła negocjacje w imieniu Unii Europejskiej dotyczące nowej Umowy o partnerstwie w sprawie zrównoważonych połowów między Unią Europejską a Republiką Gambii („umowa o partnerstwie”), a także nowego protokołu wykonawczego do umowy o partnerstwie („protokół”).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(2)</w:t>
      </w:r>
      <w:r>
        <w:rPr>
          <w:noProof/>
        </w:rPr>
        <w:tab/>
        <w:t>Umowa o partnerstwie i protokół zostały parafowane na zakończenie tych negocjacji w dniu 19 października 2018 r.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(3)</w:t>
      </w:r>
      <w:r>
        <w:rPr>
          <w:noProof/>
        </w:rPr>
        <w:tab/>
        <w:t>Umowa o partnerstwie uchyla poprzednią umowę, która została zawarta między rządem Republiki Gambii a Europejską Wspólnotą Gospodarczą w sprawie połowów na wodach przybrzeżnych Gambii i która weszła w życie w dniu 2 czerwca 1987 r.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Zgodnie z decyzją Rady (UE) 2018/.../UE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nową umowę o partnerstwie i protokół podpisano w dniu [</w:t>
      </w:r>
      <w:r>
        <w:rPr>
          <w:i/>
          <w:noProof/>
        </w:rPr>
        <w:t>wstawić datę podpisania</w:t>
      </w:r>
      <w:r>
        <w:rPr>
          <w:noProof/>
        </w:rPr>
        <w:t>].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Umowę o partnerstwie i protokół stosuje się tymczasowo od daty ich podpisania.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Umowę o partnerstwie i protokół należy zatwierdzić w imieniu Unii Europejskiej.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W art. 9 umowy ustanawia się wspólny komitet, który jest odpowiedzialny za monitorowanie jej stosowania. Ponadto, zgodnie z art. 5, 6 i 8 protokołu, wspólny komitet może zatwierdzać określone zmiany protokołu. W celu ułatwienia zatwierdzenia tych zmian należy upoważnić Komisję do zatwierdzania zmian przy zastosowaniu procedury uproszczonej, z zastrzeżeniem spełnienia określonych warunków,</w:t>
      </w:r>
    </w:p>
    <w:p>
      <w:pPr>
        <w:pStyle w:val="ManualConsidrant"/>
        <w:rPr>
          <w:noProof/>
        </w:rPr>
      </w:pPr>
    </w:p>
    <w:p>
      <w:pPr>
        <w:ind w:left="709" w:hanging="709"/>
        <w:rPr>
          <w:rFonts w:eastAsia="Calibri"/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Niniejszym zatwierdza się w imieniu Unii Europejskiej Umowę o partnerstwie w sprawie zrównoważonych połowów między Unią Europejską a Republiką Gambii („umowa o partnerstwie”) oraz protokół wykonawczy do tej umowy („protokół”).</w:t>
      </w:r>
    </w:p>
    <w:p>
      <w:pPr>
        <w:rPr>
          <w:noProof/>
        </w:rPr>
      </w:pPr>
      <w:r>
        <w:rPr>
          <w:noProof/>
        </w:rPr>
        <w:t xml:space="preserve">Teksty umowy o partnerstwie i protokołu są załączone do niniejszej decyzji jako załącznik I. 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 xml:space="preserve">Zgodnie z przepisami i warunkami określonymi w załączniku II do niniejszej decyzji Komisja Europejska jest upoważniona do zatwierdzenia, w imieniu Unii, zmian do protokołu przyjętych przez wspólny komitet powołany zgodnie z art. 9 Umowy partnerskiej. </w:t>
      </w:r>
    </w:p>
    <w:p>
      <w:pPr>
        <w:pStyle w:val="Titrearticle"/>
        <w:rPr>
          <w:noProof/>
        </w:rPr>
      </w:pPr>
      <w:r>
        <w:rPr>
          <w:noProof/>
        </w:rPr>
        <w:t>Artykuł 3</w:t>
      </w:r>
    </w:p>
    <w:p>
      <w:pPr>
        <w:rPr>
          <w:noProof/>
        </w:rPr>
      </w:pPr>
      <w:r>
        <w:rPr>
          <w:noProof/>
        </w:rPr>
        <w:t xml:space="preserve">Przewodniczący Rady wyznacza osobę upoważnioną lub osoby upoważnione do wystosowania w imieniu Unii Europejskiej powiadomień określonych w art. 18 umowy o partnerstwie i art. 16 protokołu w celu wyrażenia zgody Unii na to, aby akty te stały się dla niej wiążące. </w:t>
      </w:r>
    </w:p>
    <w:p>
      <w:pPr>
        <w:pStyle w:val="Titrearticle"/>
        <w:rPr>
          <w:noProof/>
        </w:rPr>
      </w:pPr>
      <w:r>
        <w:rPr>
          <w:noProof/>
        </w:rPr>
        <w:t>Artykuł 4</w:t>
      </w:r>
    </w:p>
    <w:p>
      <w:pPr>
        <w:rPr>
          <w:noProof/>
        </w:rPr>
      </w:pPr>
      <w:r>
        <w:rPr>
          <w:noProof/>
        </w:rPr>
        <w:t>Niniejsza decyzja wchodzi w życie następnego dnia po jej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354 z 28.12. 2013, s. 22.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</w:r>
    </w:p>
  </w:footnote>
  <w:footnote w:id="3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Dz.U. L […] z […], s. […].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59AF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260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EC044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9A026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7260D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E04E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CEAE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D72C6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3:31:2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7B96283-7CB0-48C0-8E16-40FA2AD32C2E"/>
    <w:docVar w:name="LW_COVERPAGE_TYPE" w:val="1"/>
    <w:docVar w:name="LW_CROSSREFERENCE" w:val="&lt;UNUSED&gt;"/>
    <w:docVar w:name="LW_DocType" w:val="COM"/>
    <w:docVar w:name="LW_EMISSION" w:val="12.3.2019"/>
    <w:docVar w:name="LW_EMISSION_ISODATE" w:val="2019-03-12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6"/>
    <w:docVar w:name="LW_REF.II.NEW.CP_YEAR" w:val="2019"/>
    <w:docVar w:name="LW_REF.INST.NEW" w:val="COM"/>
    <w:docVar w:name="LW_REF.INST.NEW_ADOPTED" w:val="final"/>
    <w:docVar w:name="LW_REF.INST.NEW_TEXT" w:val="(2019) 1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zawarcia Umowy o partnerstwie w sprawie zrównowa\u380?onych po\u322?owów mi\u281?dzy Uni\u261? Europejsk\u261? a Republik\u261? Gambii i protoko\u322?u wykonawczego do tej umowy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962</Words>
  <Characters>6065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cp:lastPrinted>2018-12-06T14:17:00Z</cp:lastPrinted>
  <dcterms:created xsi:type="dcterms:W3CDTF">2019-02-20T16:21:00Z</dcterms:created>
  <dcterms:modified xsi:type="dcterms:W3CDTF">2019-03-05T12:31:00Z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