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1E4B8C88-39DD-4612-B0DD-DF35725331C4" style="width:450.75pt;height:351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għanijiet tal-proposta</w:t>
      </w:r>
    </w:p>
    <w:p>
      <w:pPr>
        <w:rPr>
          <w:rFonts w:eastAsia="Calibri"/>
          <w:noProof/>
        </w:rPr>
      </w:pPr>
      <w:r>
        <w:rPr>
          <w:noProof/>
        </w:rPr>
        <w:t xml:space="preserve">Il-Kunsill awtorizza lill-Kummissjoni Ewropea tinnegozja, f’isem l-Unjoni Ewropea, Ftehim ġdid bejn l-Unjoni Ewropea u r-Repubblika tal-Gambja u Protokoll li jistabbilixxi l-opportunitajiet tas-sajd u l-kontribuzzjoni finanzjarja. Fi tmiem dawn in-negozjati, fid-19 ta’ Ottubru 2018 in-negozjaturi inizjalaw Ftehim u Protokoll. Il-Ftehim il-ġdid iħassar il-Ftehim eżistenti li daħal fis-seħħ fit-2 ta’ Ġunju 1987 u joħodlu postu, u jkopri perjodu ta’ sitt snin mid-data tal-applikazzjoni provviżorja tiegħu, li jiġġedded b’mod taċitu. Il-Protokoll il-ġdid ikopri perjodu ta’ sitt snin mid-data tal-applikazzjoni provviżorja stabbilita fl-Artikolu 13, jiġifieri mid-data meta l-Partijiet jiffirmawh. 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eżistenti fil-qasam ta’ politika</w:t>
      </w:r>
    </w:p>
    <w:p>
      <w:pPr>
        <w:spacing w:before="0" w:after="0"/>
        <w:rPr>
          <w:rFonts w:eastAsia="Calibri"/>
          <w:noProof/>
        </w:rPr>
      </w:pPr>
      <w:r>
        <w:rPr>
          <w:noProof/>
        </w:rPr>
        <w:t>L-għan ewlieni tal-Ftehim il-ġdid huwa li jipprovdi qafas aġġornat li jqis il-prijoritajiet tal-Politika Komuni tas-Sajd riveduta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u tad-dimensjoni esterna tagħha ħalli tinħoloq sħubija strateġika bejn l-Unjoni Ewropea u r-Repubblika tal-Gambja fil-qasam tas-sajd.</w:t>
      </w:r>
    </w:p>
    <w:p>
      <w:pPr>
        <w:rPr>
          <w:rFonts w:eastAsia="Calibri"/>
          <w:noProof/>
        </w:rPr>
      </w:pPr>
      <w:r>
        <w:rPr>
          <w:noProof/>
        </w:rPr>
        <w:t>Il-Protokoll għandu l-għan li lill-bastimenti tal-Unjoni Ewropea jagħtihom opportunitajiet tas-sajd fl-ilmijiet tal-Gambja, filwaqt li jqis il-valutazzjonijiet xjentifiċi disponibbli, b’mod partikulari dawk tal-Kumitat tas-Sajd għall-Atlantiku Ċentrali tal-Lvant (is-CECAF), u skont l-aqwa parir xjentifiku disponibbli u r-rakkomandazzjonijiet tal-Kummissjoni Internazzjonali għall-Konservazzjoni tat-Tonn tal-Atlantiku (l-ICCAT), fil-limiti taż-żejjed disponibbli. Fost l-oħrajn, il-Kummissjoni sejset il-pożizzjoni tagħha fuq ir-riżultati ta’ valutazzjoni li għamlu esperti esterni u li tħares lejn il-ġejjieni dwar jekk għandhomx jiġu konklużi Ftehim u Protokoll ġodda. L-għan huwa wkoll li tissaħħaħ il-kooperazzjoni bejn l-Unjoni Ewropea u r-Repubblika tal-Gambja ħalli jiġu promossi politika tas-sajd sostenibbli u użu responsabbli tar-riżorsi tas-sajd fiż-żona tas-sajd tal-Gambja, fl-interess taż-żewġ partijiet.</w:t>
      </w:r>
    </w:p>
    <w:p>
      <w:pPr>
        <w:rPr>
          <w:rFonts w:eastAsia="Calibri"/>
          <w:noProof/>
        </w:rPr>
      </w:pPr>
      <w:r>
        <w:rPr>
          <w:noProof/>
        </w:rPr>
        <w:t>Il-Protokoll jipprevedi opportunitajiet tas-sajd fil-kategoriji li ġejjin:</w:t>
      </w:r>
    </w:p>
    <w:p>
      <w:pPr>
        <w:rPr>
          <w:rFonts w:eastAsia="Calibri"/>
          <w:noProof/>
        </w:rPr>
      </w:pPr>
      <w:r>
        <w:rPr>
          <w:noProof/>
        </w:rPr>
        <w:t>-</w:t>
      </w:r>
      <w:r>
        <w:rPr>
          <w:noProof/>
        </w:rPr>
        <w:tab/>
        <w:t>28 bastiment tas-sajd għat-tonn bit-tartaruni;</w:t>
      </w:r>
    </w:p>
    <w:p>
      <w:pPr>
        <w:rPr>
          <w:rFonts w:eastAsia="Calibri"/>
          <w:noProof/>
        </w:rPr>
      </w:pPr>
      <w:r>
        <w:rPr>
          <w:noProof/>
        </w:rPr>
        <w:t>-</w:t>
      </w:r>
      <w:r>
        <w:rPr>
          <w:noProof/>
        </w:rPr>
        <w:tab/>
        <w:t>10 bastimenti tas-sajd bil-qasab u x-xlief;</w:t>
      </w:r>
    </w:p>
    <w:p>
      <w:pPr>
        <w:rPr>
          <w:rFonts w:eastAsia="Calibri"/>
          <w:noProof/>
        </w:rPr>
      </w:pPr>
      <w:r>
        <w:rPr>
          <w:noProof/>
        </w:rPr>
        <w:t>-</w:t>
      </w:r>
      <w:r>
        <w:rPr>
          <w:noProof/>
        </w:rPr>
        <w:tab/>
        <w:t>tliet bastimenti tat-tkarkir (li jintużaw għas-sajd għall-merluzz l-iswed, li huwa speċi ta’ ħut tal-qiegħ tal-baħar fond).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ma’ politiki oħra tal-Unjoni</w:t>
      </w:r>
    </w:p>
    <w:p>
      <w:pPr>
        <w:spacing w:before="0" w:after="240"/>
        <w:rPr>
          <w:noProof/>
        </w:rPr>
      </w:pPr>
      <w:r>
        <w:rPr>
          <w:noProof/>
        </w:rPr>
        <w:t xml:space="preserve">In-negozjar ta’ Ftehim ġdid ta’ Sħubija dwar is-Sajd mal-Gambja jidħol fil-qafas tal-azzjoni esterna tal-Unjoni mal-pajjiżi AKP u jqis, b’mod partikulari, l-għanijiet tal-Unjoni fil-qasam tal-ħarsien tal-prinċipji demokratiċi u tad-drittijiet tal-bniedem.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 xml:space="preserve">Il-bażi ġuridika magħżula hija t-Trattat dwar il-Funzjonament tal-Unjoni Ewropea, li l-Artikolu 43(2) tiegħu jistabbilixxi l-politika komuni tas-sajd u l-Artikolu 218(6)(a)(v) tiegħu jistabbilixxi l-istadju kkonċernat tal-proċedura ta’ negozjar u ta’ konklużjoni tal-ftehimiet bejn l-Unjoni u pajjiżi terzi. </w:t>
      </w:r>
    </w:p>
    <w:p>
      <w:pPr>
        <w:pStyle w:val="ManualHeading2"/>
        <w:rPr>
          <w:rFonts w:eastAsia="Arial Unicode MS"/>
          <w:noProof/>
          <w:bdr w:val="none" w:sz="0" w:space="0" w:color="auto" w:frame="1"/>
        </w:rPr>
      </w:pPr>
      <w:r>
        <w:rPr>
          <w:noProof/>
        </w:rPr>
        <w:lastRenderedPageBreak/>
        <w:t>•</w:t>
      </w:r>
      <w:r>
        <w:rPr>
          <w:noProof/>
        </w:rPr>
        <w:tab/>
        <w:t>Sussidjarjetà (għall-kompetenza mhux esklużiva)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Il-proposta tidħol fl-ambitu tal-kompetenza esklużiva tal-Unjoni Ewropea.</w:t>
      </w:r>
    </w:p>
    <w:p>
      <w:pPr>
        <w:pStyle w:val="ManualHeading2"/>
        <w:rPr>
          <w:rFonts w:eastAsia="Arial Unicode MS"/>
          <w:noProof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 xml:space="preserve">Il-proposta hija proporzjonata mal-għan li jiġi stabbilit qafas ta’ governanza ġuridiku, ambjentali, ekonomiku u soċjali għall-attivitajiet tas-sajd li l-bastimenti tal-Unjoni jwettqu fl-ilmijiet ta’ pajjiżi terzi, kif stabbilit fl-Artikolu 31 tar-Regolament li jistabbilixxi l-politika komuni tas-sajd. Hija tikkonforma ma’ dawk id-dispożizzjonijiet, kif ukoll mad-dispożizzjonijiet dwar l-għajnuna finanzjarja lil pajjiżi terzi stabbiliti fl-Artikolu 32 ta’ dak ir-Regolament. </w:t>
      </w:r>
    </w:p>
    <w:p>
      <w:pPr>
        <w:pStyle w:val="ManualHeading1"/>
        <w:rPr>
          <w:noProof/>
        </w:rPr>
      </w:pPr>
      <w:r>
        <w:rPr>
          <w:noProof/>
        </w:rPr>
        <w:t xml:space="preserve"> 3.</w:t>
      </w:r>
      <w:r>
        <w:rPr>
          <w:noProof/>
        </w:rPr>
        <w:tab/>
        <w:t>IMPLIKAZZJONIJIET BAĠITARJI</w:t>
      </w:r>
    </w:p>
    <w:p>
      <w:pPr>
        <w:rPr>
          <w:rFonts w:eastAsia="Calibri"/>
          <w:noProof/>
        </w:rPr>
      </w:pPr>
      <w:r>
        <w:rPr>
          <w:noProof/>
        </w:rPr>
        <w:t>Il-kontribuzzjoni finanzjarja annwali hija ta’ EUR 550 000, abbażi ta’:</w:t>
      </w:r>
    </w:p>
    <w:p>
      <w:pPr>
        <w:rPr>
          <w:rFonts w:eastAsia="Calibri"/>
          <w:noProof/>
        </w:rPr>
      </w:pPr>
      <w:r>
        <w:rPr>
          <w:noProof/>
        </w:rPr>
        <w:t xml:space="preserve">(a) ammont annwali għall-aċċess għar-riżorsi tas-sajd fiż-żona tas-sajd tal-Gambja ta’ EUR 275 000, li huwa ekwivalenti għal tunnellaġġ ta’ referenza ta’ 3 300 tunnellata fis-sena għall-ispeċijiet li jpassu ħafna;  </w:t>
      </w:r>
    </w:p>
    <w:p>
      <w:pPr>
        <w:rPr>
          <w:rFonts w:eastAsia="Calibri"/>
          <w:noProof/>
        </w:rPr>
      </w:pPr>
      <w:r>
        <w:rPr>
          <w:noProof/>
        </w:rPr>
        <w:t>(b) appoġġ għall-iżvilupp tal-politika settorjali tas-sajd tal-Gambja, li huwa ta’ EUR 275 000 fis-sena. Dan l-appoġġ jilħaq l-għanijiet tal-politika nazzjonali tal-Gambja b’rabta mal-ġestjoni sostenibbli tar-riżorsi tas-sajd kontinentali u tal-baħar.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Pjanijiet ta’ implimentazzjoni u arranġamenti dwar il-monitoraġġ, l-evalwazzjoni u r-rappurtar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L-arranġamenti dwar il-monitoraġġ huma previsti fil-Protokoll inkluż fil-Ftehim il-ġdid ta’ Sħubija.</w:t>
      </w:r>
    </w:p>
    <w:p>
      <w:pPr>
        <w:rPr>
          <w:rFonts w:eastAsia="Calibri"/>
          <w:noProof/>
        </w:rPr>
      </w:pP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2019/0076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il-konklużjoni ta’ Ftehim ta’ Sħubija dwar is-Sajd Sostenibbli bejn l-Unjoni Ewropea u r-Repubblika tal-Gambja u tal-Protokoll ta’ Implimentazzjoni tiegħu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partikulari l-Artikolu 43(2) tiegħu flimkien mal-Artikolu 218(6)(a)(v) tiegħu u mal-Artikolu 218(7)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Wara li kkunsidra l-kunsens tal-Parlament Ewropew</w:t>
      </w:r>
      <w:r>
        <w:rPr>
          <w:rStyle w:val="FootnoteReference"/>
          <w:noProof/>
        </w:rPr>
        <w:footnoteReference w:id="2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ind w:left="709" w:hanging="709"/>
        <w:rPr>
          <w:rFonts w:eastAsia="Calibri"/>
          <w:noProof/>
        </w:rPr>
      </w:pPr>
      <w:r>
        <w:rPr>
          <w:noProof/>
        </w:rPr>
        <w:t>(1)</w:t>
      </w:r>
      <w:r>
        <w:rPr>
          <w:noProof/>
        </w:rPr>
        <w:tab/>
        <w:t>Il-Kummissjoni nnegozjat Ftehim ġdid ta’ Sħubija dwar is-Sajd Sostenibbli bejn l-Unjoni Ewropea u r-Repubblika tal-Gambja (minn hawn ’il quddiem imsejjaħ “il-Ftehim ta’ Sħubija”) f’isem l-Unjoni Ewropea, kif ukoll Protokoll ġdid ta’ Implimentazzjoni tal-Ftehim ta’ Sħubija (minn hawn ’il quddiem imsejjaħ “il-Protokoll”).</w:t>
      </w:r>
    </w:p>
    <w:p>
      <w:pPr>
        <w:ind w:left="709" w:hanging="709"/>
        <w:rPr>
          <w:rFonts w:eastAsia="Calibri"/>
          <w:noProof/>
        </w:rPr>
      </w:pPr>
      <w:r>
        <w:rPr>
          <w:noProof/>
        </w:rPr>
        <w:t>(2)</w:t>
      </w:r>
      <w:r>
        <w:rPr>
          <w:noProof/>
        </w:rPr>
        <w:tab/>
        <w:t>Il-Ftehim ta’ Sħubija u l-Protokoll ġew inizjalati fi tmiem dawn in-negozjati, fid-19 ta’ Ottubru 2018.</w:t>
      </w:r>
    </w:p>
    <w:p>
      <w:pPr>
        <w:ind w:left="709" w:hanging="709"/>
        <w:rPr>
          <w:rFonts w:eastAsia="Calibri"/>
          <w:noProof/>
        </w:rPr>
      </w:pPr>
      <w:r>
        <w:rPr>
          <w:noProof/>
        </w:rPr>
        <w:t>(3)</w:t>
      </w:r>
      <w:r>
        <w:rPr>
          <w:noProof/>
        </w:rPr>
        <w:tab/>
        <w:t>Il-Ftehim ta’ Sħubija jħassar il-Ftehim ta’ qabel li kien ġie konkluż bejn il-Komunità Ekonomika Ewropea u l-Gvern tar-Repubblika tal-Gambja fuq sajd ’il barra mill-Gambja, li kien daħal fis-seħħ fit-2 ta’ Ġunju 1987.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Il-Ftehim il-ġdid ta’ Sħubija u l-Protokoll ġew iffirmati fil-… [</w:t>
      </w:r>
      <w:r>
        <w:rPr>
          <w:i/>
          <w:noProof/>
        </w:rPr>
        <w:t>daħħal id-data meta ġew iffirmati</w:t>
      </w:r>
      <w:r>
        <w:rPr>
          <w:noProof/>
        </w:rPr>
        <w:t>] skont id-Deċiżjoni tal-Kunsill 2018/…/UE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 xml:space="preserve">Il-Ftehim ta’ Sħubija u l-Protokoll bdew japplikaw b’mod provviżorju mid-data tal-iffirmar tagħhom. 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Jenħtieġ li l-Ftehim ta’ Sħubija u l-Protokoll jiġu approvati f’isem l-Unjoni Ewropea.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L-Artikolu 9 tal-Ftehim ta’ Sħubija jistabbilixxi l-Kumitat Konġunt li huwa responsabbli għall-monitoraġġ tal-implimentazzjoni tiegħu. Barra minn hekk, skont l-Artikoli 5, 6 u 8 tal-Protokoll, il-Kumitat Konġunt jista’ japprova ċerti emendi tal-Protokoll. Sabiex teħfief l-approvazzjoni ta’ dawn l-emendi, jenħtieġ li l-Kummissjoni tingħata s-setgħa tapprovahom bi proċedura ssimplifikata, b’ċerti kundizzjonijiet,</w:t>
      </w:r>
    </w:p>
    <w:p>
      <w:pPr>
        <w:pStyle w:val="ManualConsidrant"/>
        <w:rPr>
          <w:noProof/>
        </w:rPr>
      </w:pPr>
    </w:p>
    <w:p>
      <w:pPr>
        <w:ind w:left="709" w:hanging="709"/>
        <w:rPr>
          <w:rFonts w:eastAsia="Calibri"/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noProof/>
        </w:rPr>
      </w:pPr>
      <w:r>
        <w:rPr>
          <w:noProof/>
        </w:rPr>
        <w:t>Il-Ftehim ta’ Sħubija dwar is-Sajd Sostenibbli bejn l-Unjoni Ewropea u r-Repubblika tal-Gambja (minn hawn ’il quddiem imsejjaħ “il-Ftehim ta’ Sħubija”) u l-Protokoll ta’ Implimentazzjoni tiegħu (minn hawn ’il quddiem imsejjaħ “il-Protokoll”) b’dan huma approvati f’isem l-Unjoni.</w:t>
      </w:r>
    </w:p>
    <w:p>
      <w:pPr>
        <w:rPr>
          <w:noProof/>
        </w:rPr>
      </w:pPr>
      <w:r>
        <w:rPr>
          <w:noProof/>
        </w:rPr>
        <w:t xml:space="preserve">It-test tal-Ftehim ta’ Sħubija u tal-Protokoll huwa mehmuż ma’ din id-Deċiżjoni bħala l-Anness I. 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</w:p>
    <w:p>
      <w:pPr>
        <w:rPr>
          <w:noProof/>
        </w:rPr>
      </w:pPr>
      <w:r>
        <w:rPr>
          <w:noProof/>
        </w:rPr>
        <w:t xml:space="preserve">Skont id-dispożizzjonijiet u l-kundizzjonijiet stabbiliti fl-Anness II ta’ din id-Deċiżjoni, il-Kummissjoni hija awtorizzata tapprova, f’isem l-Unjoni, l-emendi tal-Protokoll li jadotta l-Kumitat Konġunt stabbilit skont l-Artikolu 9 tal-Ftehim ta’ Sħubija. </w:t>
      </w:r>
    </w:p>
    <w:p>
      <w:pPr>
        <w:pStyle w:val="Titrearticle"/>
        <w:rPr>
          <w:noProof/>
        </w:rPr>
      </w:pPr>
      <w:r>
        <w:rPr>
          <w:noProof/>
        </w:rPr>
        <w:t>Artikolu 3</w:t>
      </w:r>
    </w:p>
    <w:p>
      <w:pPr>
        <w:rPr>
          <w:noProof/>
        </w:rPr>
      </w:pPr>
      <w:r>
        <w:rPr>
          <w:noProof/>
        </w:rPr>
        <w:t xml:space="preserve">Il-President tal-Kunsill għandu jaħtar lill-persuna li għandha s-setgħa tagħmel in-notifika prevista fl-Artikolu 18 tal-Ftehim ta’ Sħubija u fl-Artikolu 16 tal-Protokoll f’isem l-Unjoni Ewropea, sabiex tesprimi l-kunsens tal-Unjoni Ewropea li tintrabat b’dawk l-atti. </w:t>
      </w:r>
    </w:p>
    <w:p>
      <w:pPr>
        <w:pStyle w:val="Titrearticle"/>
        <w:rPr>
          <w:noProof/>
        </w:rPr>
      </w:pPr>
      <w:r>
        <w:rPr>
          <w:noProof/>
        </w:rPr>
        <w:t>Artikolu 4</w:t>
      </w:r>
    </w:p>
    <w:p>
      <w:pPr>
        <w:rPr>
          <w:noProof/>
        </w:rPr>
      </w:pPr>
      <w:r>
        <w:rPr>
          <w:noProof/>
        </w:rPr>
        <w:t>Din id-Deċiżjoni għandha tidħol fis-seħħ l-għada tal-jum tal-pubblikazzjoni tagħha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ĠU L 354, 28.12.2013, p. 22.</w:t>
      </w:r>
    </w:p>
  </w:footnote>
  <w:footnote w:id="2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</w:r>
    </w:p>
  </w:footnote>
  <w:footnote w:id="3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ĠU L ..., ..., p.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59AF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8260E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EC044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9A026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7260D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FE04E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CEAED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D72C6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5 13:31:2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E4B8C88-39DD-4612-B0DD-DF35725331C4"/>
    <w:docVar w:name="LW_COVERPAGE_TYPE" w:val="1"/>
    <w:docVar w:name="LW_CROSSREFERENCE" w:val="&lt;UNUSED&gt;"/>
    <w:docVar w:name="LW_DocType" w:val="COM"/>
    <w:docVar w:name="LW_EMISSION" w:val="12.3.2019"/>
    <w:docVar w:name="LW_EMISSION_ISODATE" w:val="2019-03-12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76"/>
    <w:docVar w:name="LW_REF.II.NEW.CP_YEAR" w:val="2019"/>
    <w:docVar w:name="LW_REF.INST.NEW" w:val="COM"/>
    <w:docVar w:name="LW_REF.INST.NEW_ADOPTED" w:val="final"/>
    <w:docVar w:name="LW_REF.INST.NEW_TEXT" w:val="(2019) 13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konklu\u380?joni ta\u8217? Ftehim ta\u8217? S\u295?ubija dwar is-Sajd Sostenibbli bejn l-Unjoni Ewropea u r-Repubblika tal-Gambja u tal-Protokoll ta\u8217? Implimentazzjoni tieg\u295?u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pPr>
      <w:spacing w:after="0"/>
    </w:pPr>
    <w:rPr>
      <w:szCs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pPr>
      <w:spacing w:after="0"/>
    </w:pPr>
    <w:rPr>
      <w:szCs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5</Pages>
  <Words>905</Words>
  <Characters>6639</Characters>
  <Application>Microsoft Office Word</Application>
  <DocSecurity>0</DocSecurity>
  <Lines>122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18</cp:revision>
  <cp:lastPrinted>2018-12-06T14:17:00Z</cp:lastPrinted>
  <dcterms:created xsi:type="dcterms:W3CDTF">2019-02-22T07:35:00Z</dcterms:created>
  <dcterms:modified xsi:type="dcterms:W3CDTF">2019-03-05T12:31:00Z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