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EB" w:rsidRDefault="00A73D3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B8E5F4F-B9BE-4C60-8AE0-BC5D35333EF8" style="width:450.75pt;height:307.5pt">
            <v:imagedata r:id="rId8" o:title=""/>
          </v:shape>
        </w:pict>
      </w:r>
    </w:p>
    <w:bookmarkEnd w:id="0"/>
    <w:p w:rsidR="00F105EB" w:rsidRDefault="00F105EB">
      <w:pPr>
        <w:rPr>
          <w:noProof/>
        </w:rPr>
        <w:sectPr w:rsidR="00F105E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F105EB" w:rsidRDefault="00A73D31">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SISSEJUHATUS</w:t>
      </w:r>
    </w:p>
    <w:p w:rsidR="00F105EB" w:rsidRDefault="00F105EB">
      <w:pPr>
        <w:jc w:val="both"/>
        <w:rPr>
          <w:rFonts w:ascii="Times New Roman" w:hAnsi="Times New Roman"/>
          <w:b/>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Viimasel neljal aastal on EL teinud rändeprobleemi lahendamiseks enneolematult suuri jõupingutusi, mis on aidanud vähendada </w:t>
      </w:r>
      <w:r>
        <w:rPr>
          <w:rFonts w:ascii="Times New Roman" w:hAnsi="Times New Roman"/>
          <w:noProof/>
          <w:color w:val="000000"/>
          <w:sz w:val="24"/>
        </w:rPr>
        <w:t>ebaseaduslike saabujate arvu viie aasta madalaimale tasemele. EL on pakkunud kaitset ja toetust miljonitele inimestele, päästnud inimelusid merel ning parandanud tingimusi ja toimetulekuvõimalusi. Ta on aidanud liikmesriikidel liidu välispiiril toime tulla</w:t>
      </w:r>
      <w:r>
        <w:rPr>
          <w:rFonts w:ascii="Times New Roman" w:hAnsi="Times New Roman"/>
          <w:noProof/>
          <w:color w:val="000000"/>
          <w:sz w:val="24"/>
        </w:rPr>
        <w:t xml:space="preserve"> arvukate saabujatega ja rahastanud paljusid projekte kogu ELis, et toetada pagulaste ja teiste seaduslikult riigis elavate kolmandate riikide kodanike integreerimist.</w:t>
      </w:r>
      <w:r>
        <w:rPr>
          <w:rFonts w:ascii="Times New Roman" w:hAnsi="Times New Roman"/>
          <w:noProof/>
          <w:sz w:val="24"/>
        </w:rPr>
        <w:t xml:space="preserve"> See on aidanud ära hoida ebaseaduslikku rännet, muu hulgas inimeste ebaseadusliku üle pi</w:t>
      </w:r>
      <w:r>
        <w:rPr>
          <w:rFonts w:ascii="Times New Roman" w:hAnsi="Times New Roman"/>
          <w:noProof/>
          <w:sz w:val="24"/>
        </w:rPr>
        <w:t>iri toimetamisega tegelevate võrgustike ja inimkaubanduse vastu võitlemise kaudu. EL on teinud koostööd partneritega kogu maailmas, et kõrvaldada rände algpõhjuseid ja edendada rände korrakohast haldamist, sealhulgas ebaseaduslikult ELis viibivate rändajat</w:t>
      </w:r>
      <w:r>
        <w:rPr>
          <w:rFonts w:ascii="Times New Roman" w:hAnsi="Times New Roman"/>
          <w:noProof/>
          <w:sz w:val="24"/>
        </w:rPr>
        <w:t>e tagasivõtmist.</w:t>
      </w:r>
      <w:r>
        <w:rPr>
          <w:rFonts w:ascii="Times New Roman" w:hAnsi="Times New Roman"/>
          <w:noProof/>
          <w:color w:val="000000"/>
          <w:sz w:val="24"/>
        </w:rPr>
        <w:t xml:space="preserve"> Ta on töötanud selle nimel, et luua inimeste ebaseadusliku üle piiri toimetamise ohtlike marsruutide alternatiivina seaduslikud võimalused liitu saabumiseks. Sellega seoses on tervikliku lähenemisviisi raames edasi arendatud 2015. aasta Eu</w:t>
      </w:r>
      <w:r>
        <w:rPr>
          <w:rFonts w:ascii="Times New Roman" w:hAnsi="Times New Roman"/>
          <w:noProof/>
          <w:color w:val="000000"/>
          <w:sz w:val="24"/>
        </w:rPr>
        <w:t>roopa rände tegevuskava</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kõiki osi.</w:t>
      </w:r>
    </w:p>
    <w:p w:rsidR="00F105EB" w:rsidRDefault="00F105EB">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F105EB">
        <w:tc>
          <w:tcPr>
            <w:tcW w:w="9286" w:type="dxa"/>
          </w:tcPr>
          <w:p w:rsidR="00F105EB" w:rsidRDefault="00A73D31">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Euroopa rände tegevuskava raames saavutatud peamised edusammud</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2018. aastal tuvastati ELi välispiiridel umbes 150 000 ebaseaduslikku saabujat – see on 25 % vähem kui 2017. aastal. See on viimase viie aasta madalaim näitaja ja on üle 90 % vähem kui rändekriisi haripunktis 2015. aastal. </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ELi tegevus on alates 2015. aast</w:t>
            </w:r>
            <w:r>
              <w:rPr>
                <w:rFonts w:ascii="Times New Roman" w:hAnsi="Times New Roman"/>
                <w:noProof/>
                <w:color w:val="000000"/>
                <w:sz w:val="24"/>
              </w:rPr>
              <w:t>ast aidanud merel päästa ligi 730 000 inimese elu.</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Miljonid varjupaigataotlejad, pagulased ja põgenikud on saanud toetust ELi Aafrika jaoks mõeldud hädaolukorra usaldusfondist</w:t>
            </w:r>
            <w:r>
              <w:rPr>
                <w:rStyle w:val="FootnoteReference"/>
                <w:rFonts w:ascii="Times New Roman" w:hAnsi="Times New Roman"/>
                <w:noProof/>
                <w:color w:val="000000"/>
                <w:sz w:val="24"/>
              </w:rPr>
              <w:footnoteReference w:id="3"/>
            </w:r>
            <w:r>
              <w:rPr>
                <w:rFonts w:ascii="Times New Roman" w:hAnsi="Times New Roman"/>
                <w:noProof/>
                <w:color w:val="000000"/>
                <w:sz w:val="24"/>
              </w:rPr>
              <w:t xml:space="preserve"> rahastatavatest programmidest – üle 5,3 miljoni haavatava inimese on saanud põh</w:t>
            </w:r>
            <w:r>
              <w:rPr>
                <w:rFonts w:ascii="Times New Roman" w:hAnsi="Times New Roman"/>
                <w:noProof/>
                <w:color w:val="000000"/>
                <w:sz w:val="24"/>
              </w:rPr>
              <w:t>itoetust, peaaegu miljonit inimest on informeeritud teavituskampaaniate raames ja üle 60 000 inimese on saanud taasintegreerimisega seotud abi pärast tagasipöördumist.</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Aafrika jaoks mõeldud usaldusfond on olnud kesksel kohal ka üle 37 000 haavatava rändaja</w:t>
            </w:r>
            <w:r>
              <w:rPr>
                <w:rFonts w:ascii="Times New Roman" w:hAnsi="Times New Roman"/>
                <w:noProof/>
                <w:sz w:val="24"/>
              </w:rPr>
              <w:t xml:space="preserve"> toetatud vabatahtlikul tagasipöördumisel Liibüast oma päritoluriiki alates 2017. aasta algusest. </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Peamine eesmärk on olnud tõkestada rändajate ebaseadusliku üle piiri toimetamise kuritegelike võrgustike tegevust: ainuüksi 2018. aastal oli sisserändajate e</w:t>
            </w:r>
            <w:r>
              <w:rPr>
                <w:rFonts w:ascii="Times New Roman" w:hAnsi="Times New Roman"/>
                <w:noProof/>
                <w:color w:val="000000"/>
                <w:sz w:val="24"/>
              </w:rPr>
              <w:t>baseadusliku üle piiri toimetamise vastasel Euroopa keskusel oluline roll enam kui saja prioriteetse smugeldamisjuhtumi lahendamises. Ühised uurimisrühmad võitlevad inimsmugeldamisega sellistes riikides nagu Niger.</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34 710 rahvusvahelist kaitset vajavat ini</w:t>
            </w:r>
            <w:r>
              <w:rPr>
                <w:rFonts w:ascii="Times New Roman" w:hAnsi="Times New Roman"/>
                <w:noProof/>
                <w:color w:val="000000"/>
                <w:sz w:val="24"/>
              </w:rPr>
              <w:t>mest on ümber paigutatud Itaaliast ja Kreekast.</w:t>
            </w:r>
            <w:r>
              <w:rPr>
                <w:rFonts w:ascii="Times New Roman" w:hAnsi="Times New Roman"/>
                <w:noProof/>
                <w:color w:val="000000"/>
                <w:sz w:val="24"/>
                <w:highlight w:val="yellow"/>
              </w:rPr>
              <w:t xml:space="preserve"> </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Alates 2015. aastast on üle 50 000 rahvusvahelist kaitset vajava inimese ümber asustatud ELi.</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Ajavahemikul 2015–2017 eraldati Varjupaiga-, Rände- ja Integratsioonifondist üle 140 miljoni euro, et toetada int</w:t>
            </w:r>
            <w:r>
              <w:rPr>
                <w:rFonts w:ascii="Times New Roman" w:hAnsi="Times New Roman"/>
                <w:noProof/>
                <w:color w:val="000000"/>
                <w:sz w:val="24"/>
              </w:rPr>
              <w:t>egratsiooni- ja seadusliku rände meetmeid</w:t>
            </w:r>
            <w:r>
              <w:rPr>
                <w:rStyle w:val="FootnoteReference"/>
                <w:rFonts w:ascii="Times New Roman" w:hAnsi="Times New Roman"/>
                <w:noProof/>
                <w:color w:val="000000"/>
                <w:sz w:val="24"/>
              </w:rPr>
              <w:footnoteReference w:id="4"/>
            </w:r>
            <w:r>
              <w:rPr>
                <w:rFonts w:ascii="Times New Roman" w:hAnsi="Times New Roman"/>
                <w:noProof/>
                <w:color w:val="000000"/>
                <w:sz w:val="24"/>
              </w:rPr>
              <w:t>.</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Ametlikud tagasivõtulepingud või praktilised kokkulepped tagasipöördumise ja tagasivõtu kohta on sõlmitud 23 päritolu- ja transiidiriigiga. </w:t>
            </w:r>
          </w:p>
          <w:p w:rsidR="00F105EB" w:rsidRDefault="00A73D3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 xml:space="preserve">Samal ajal kasutati 2018. aastal üle 80 % ELi humanitaarabist selleks, </w:t>
            </w:r>
            <w:r>
              <w:rPr>
                <w:rFonts w:ascii="Times New Roman" w:hAnsi="Times New Roman"/>
                <w:noProof/>
                <w:color w:val="000000"/>
                <w:sz w:val="24"/>
              </w:rPr>
              <w:t>et toetada põgenikke</w:t>
            </w:r>
            <w:r>
              <w:rPr>
                <w:rStyle w:val="FootnoteReference"/>
                <w:rFonts w:ascii="Times New Roman" w:hAnsi="Times New Roman"/>
                <w:noProof/>
                <w:color w:val="000000"/>
                <w:sz w:val="24"/>
              </w:rPr>
              <w:footnoteReference w:id="5"/>
            </w:r>
            <w:r>
              <w:rPr>
                <w:rFonts w:ascii="Times New Roman" w:hAnsi="Times New Roman"/>
                <w:noProof/>
                <w:color w:val="000000"/>
                <w:sz w:val="24"/>
              </w:rPr>
              <w:t xml:space="preserve">. </w:t>
            </w:r>
          </w:p>
        </w:tc>
      </w:tr>
    </w:tbl>
    <w:p w:rsidR="00F105EB" w:rsidRDefault="00A73D31">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 xml:space="preserve">See töö peab jätkuma. Kuigi ebaseaduslike saabujate arv on vähenenud, ei anna see garantiid tuleviku jaoks, sest tõenäoliselt rändesurve jätkub. Ebaseadusliku rände algpõhjuste kõrvaldamine on kahtlemata pikaajaline projekt, sest </w:t>
      </w:r>
      <w:r>
        <w:rPr>
          <w:rFonts w:ascii="Times New Roman" w:hAnsi="Times New Roman"/>
          <w:noProof/>
          <w:color w:val="000000"/>
          <w:sz w:val="24"/>
        </w:rPr>
        <w:t>ebaseaduslike saabujate arvu hiljutine suurenemine Vahemere lääneosas näitab, et olukord on endiselt ebakindel ja välismaalaste ebaseaduslikult üle piiri toimetajad otsivad pidevalt uusi võimalusi. Peamised probleemid on lahendamata: peame töötama välja va</w:t>
      </w:r>
      <w:r>
        <w:rPr>
          <w:rFonts w:ascii="Times New Roman" w:hAnsi="Times New Roman"/>
          <w:noProof/>
          <w:color w:val="000000"/>
          <w:sz w:val="24"/>
        </w:rPr>
        <w:t>rjupaigasüsteemi, mis täidab eesmärgid ning tagab solidaarsuse ja vähendab teisest rännet; peame nii liikmesriikides kui ka koostöös kolmandate riikidega võetavate meetmetega suurendama tagasisaatmiste arvu; peame olema oma välispiiril paremini ettevalmist</w:t>
      </w:r>
      <w:r>
        <w:rPr>
          <w:rFonts w:ascii="Times New Roman" w:hAnsi="Times New Roman"/>
          <w:noProof/>
          <w:color w:val="000000"/>
          <w:sz w:val="24"/>
        </w:rPr>
        <w:t xml:space="preserve">atud; peame võitlema välismaalaste ebaseaduslikult üle piiri toimetajate uute strateegiatega ning ka edaspidi toetama turvalisi, korrakohaseid ja seaduslikke rändevõimalusi rahvusvahelist kaitset vajavate inimeste ja seaduslike rändajate jaoks. Selleks et </w:t>
      </w:r>
      <w:r>
        <w:rPr>
          <w:rFonts w:ascii="Times New Roman" w:hAnsi="Times New Roman"/>
          <w:noProof/>
          <w:color w:val="000000"/>
          <w:sz w:val="24"/>
        </w:rPr>
        <w:t>rännet hallata, on vaja ELi püsivaid, pikaajalisi ja ühiseid jõupingutusi, mis põhinevad solidaarsuse ja vastutuse õiglase jagamise põhimõttel. On oluline, et edaspidi eelistataks ajutistele lahendustele püsivaid struktuure ning tulemuslikku ja tulevikukin</w:t>
      </w:r>
      <w:r>
        <w:rPr>
          <w:rFonts w:ascii="Times New Roman" w:hAnsi="Times New Roman"/>
          <w:noProof/>
          <w:color w:val="000000"/>
          <w:sz w:val="24"/>
        </w:rPr>
        <w:t>dlat õigusraamistikku. Need eesmärgid on võimalik saavutada, kui võtame edaspidi aluseks neli aastat tehtud ühistöö</w:t>
      </w:r>
      <w:r>
        <w:rPr>
          <w:rStyle w:val="FootnoteReference"/>
          <w:rFonts w:ascii="Times New Roman" w:hAnsi="Times New Roman"/>
          <w:noProof/>
          <w:color w:val="000000"/>
          <w:sz w:val="24"/>
        </w:rPr>
        <w:footnoteReference w:id="6"/>
      </w:r>
      <w:r>
        <w:rPr>
          <w:rFonts w:ascii="Times New Roman" w:hAnsi="Times New Roman"/>
          <w:noProof/>
          <w:color w:val="000000"/>
          <w:sz w:val="24"/>
        </w:rPr>
        <w:t>.</w:t>
      </w:r>
    </w:p>
    <w:p w:rsidR="00F105EB" w:rsidRDefault="00F105EB">
      <w:pPr>
        <w:jc w:val="both"/>
        <w:rPr>
          <w:rFonts w:ascii="Times New Roman" w:hAnsi="Times New Roman"/>
          <w:noProof/>
          <w:color w:val="000000"/>
          <w:sz w:val="24"/>
          <w:szCs w:val="24"/>
        </w:rPr>
      </w:pP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Kui EL ja liikmesriigid on tegutsenud koos, on koostöö tihendamine selliste peamiste partnerriikidega nagu Türgi või Niger viinud ebasead</w:t>
      </w:r>
      <w:r>
        <w:rPr>
          <w:rFonts w:ascii="Times New Roman" w:hAnsi="Times New Roman"/>
          <w:noProof/>
          <w:color w:val="000000"/>
          <w:sz w:val="24"/>
        </w:rPr>
        <w:t>uslike saabujate arvu olulise vähenemiseni. Ühismeetmed on kandnud vilja võitluses rändajate ebaseadusliku üle piiri toimetamisega, alternatiivsete seaduslike liikumisteede leidmisel ja kuue uue tagasivõtulepingu sõlmimisel peamiste päritoluriikidega. Koos</w:t>
      </w:r>
      <w:r>
        <w:rPr>
          <w:rFonts w:ascii="Times New Roman" w:hAnsi="Times New Roman"/>
          <w:noProof/>
          <w:color w:val="000000"/>
          <w:sz w:val="24"/>
        </w:rPr>
        <w:t xml:space="preserve">töö Aafrika ja Aafrika Liiduga on jõudnud uuele tasemele. </w:t>
      </w:r>
    </w:p>
    <w:p w:rsidR="00F105EB" w:rsidRDefault="00F105EB">
      <w:pPr>
        <w:pStyle w:val="ListParagraph"/>
        <w:ind w:left="0"/>
        <w:jc w:val="both"/>
        <w:rPr>
          <w:rFonts w:ascii="Times New Roman" w:hAnsi="Times New Roman"/>
          <w:noProof/>
          <w:color w:val="000000"/>
          <w:sz w:val="24"/>
          <w:szCs w:val="24"/>
        </w:rPr>
      </w:pP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Kõik need algatused on juba andnud tulemusi ja neil on potentsiaali ka tuleviku jaoks. On oluline, et kasutatakse terviklikku lähenemisviisi, mis on ette nähtud Euroopa rände tegevuskava nelja teg</w:t>
      </w:r>
      <w:r>
        <w:rPr>
          <w:rFonts w:ascii="Times New Roman" w:hAnsi="Times New Roman"/>
          <w:noProof/>
          <w:color w:val="000000"/>
          <w:sz w:val="24"/>
        </w:rPr>
        <w:t>evussuuna raames, ja kehtestatakse kindel raamistik.</w:t>
      </w:r>
    </w:p>
    <w:p w:rsidR="00F105EB" w:rsidRDefault="00F105EB">
      <w:pPr>
        <w:pStyle w:val="ListParagraph"/>
        <w:ind w:left="0"/>
        <w:jc w:val="both"/>
        <w:rPr>
          <w:rFonts w:ascii="Times New Roman" w:hAnsi="Times New Roman"/>
          <w:noProof/>
          <w:color w:val="000000"/>
          <w:sz w:val="24"/>
          <w:szCs w:val="24"/>
        </w:rPr>
      </w:pPr>
    </w:p>
    <w:p w:rsidR="00F105EB" w:rsidRDefault="00F105EB">
      <w:pPr>
        <w:pStyle w:val="ListParagraph"/>
        <w:ind w:left="0"/>
        <w:jc w:val="both"/>
        <w:rPr>
          <w:rFonts w:ascii="Times New Roman" w:hAnsi="Times New Roman"/>
          <w:noProof/>
          <w:color w:val="000000"/>
          <w:sz w:val="24"/>
          <w:szCs w:val="24"/>
        </w:rPr>
      </w:pPr>
    </w:p>
    <w:p w:rsidR="00F105EB" w:rsidRDefault="00A73D31">
      <w:pPr>
        <w:pStyle w:val="ListParagraph"/>
        <w:numPr>
          <w:ilvl w:val="0"/>
          <w:numId w:val="2"/>
        </w:numPr>
        <w:jc w:val="both"/>
        <w:rPr>
          <w:rFonts w:ascii="Times New Roman" w:hAnsi="Times New Roman"/>
          <w:b/>
          <w:noProof/>
          <w:sz w:val="24"/>
          <w:szCs w:val="24"/>
        </w:rPr>
      </w:pPr>
      <w:r>
        <w:rPr>
          <w:rFonts w:ascii="Times New Roman" w:hAnsi="Times New Roman"/>
          <w:b/>
          <w:noProof/>
          <w:sz w:val="24"/>
        </w:rPr>
        <w:t>PRAEGUNE OLUKORD</w:t>
      </w:r>
    </w:p>
    <w:p w:rsidR="00F105EB" w:rsidRDefault="00F105EB">
      <w:pPr>
        <w:jc w:val="both"/>
        <w:rPr>
          <w:rFonts w:ascii="Times New Roman" w:hAnsi="Times New Roman"/>
          <w:i/>
          <w:noProof/>
          <w:sz w:val="24"/>
          <w:szCs w:val="24"/>
        </w:rPr>
      </w:pPr>
    </w:p>
    <w:p w:rsidR="00F105EB" w:rsidRDefault="00A73D31">
      <w:pPr>
        <w:keepNext/>
        <w:spacing w:after="120"/>
        <w:jc w:val="both"/>
        <w:rPr>
          <w:rFonts w:ascii="Times New Roman" w:hAnsi="Times New Roman"/>
          <w:i/>
          <w:noProof/>
          <w:sz w:val="24"/>
          <w:szCs w:val="24"/>
        </w:rPr>
      </w:pPr>
      <w:r>
        <w:rPr>
          <w:rFonts w:ascii="Times New Roman" w:hAnsi="Times New Roman"/>
          <w:i/>
          <w:noProof/>
          <w:sz w:val="24"/>
        </w:rPr>
        <w:t>Ebaseaduslikud saabumised</w:t>
      </w:r>
    </w:p>
    <w:p w:rsidR="00F105EB" w:rsidRDefault="00A73D31">
      <w:pPr>
        <w:spacing w:after="120"/>
        <w:jc w:val="both"/>
        <w:rPr>
          <w:rFonts w:ascii="Times New Roman" w:hAnsi="Times New Roman"/>
          <w:noProof/>
          <w:sz w:val="24"/>
          <w:szCs w:val="24"/>
        </w:rPr>
      </w:pPr>
      <w:r>
        <w:rPr>
          <w:rFonts w:ascii="Times New Roman" w:hAnsi="Times New Roman"/>
          <w:noProof/>
          <w:sz w:val="24"/>
        </w:rPr>
        <w:t>Praegusest olukorrast ilmneb ebaseaduslike saabujate arvu püsiv suur langus võrreldes haripunktiga 2015. aastal</w:t>
      </w:r>
      <w:r>
        <w:rPr>
          <w:rStyle w:val="FootnoteReference"/>
          <w:rFonts w:ascii="Times New Roman" w:hAnsi="Times New Roman"/>
          <w:noProof/>
          <w:sz w:val="24"/>
        </w:rPr>
        <w:footnoteReference w:id="7"/>
      </w:r>
      <w:r>
        <w:rPr>
          <w:rFonts w:ascii="Times New Roman" w:hAnsi="Times New Roman"/>
          <w:noProof/>
          <w:sz w:val="24"/>
        </w:rPr>
        <w:t xml:space="preserve">. Mõned suundumused on siiski püsinud ka 2018. aastal ja 2019. aasta alguses ning näitavad, et endiselt on vajadus järjepidevate meetmete ning muutuvatele oludele reageerimise järele. </w:t>
      </w:r>
    </w:p>
    <w:p w:rsidR="00F105EB" w:rsidRDefault="00A73D31">
      <w:pPr>
        <w:spacing w:after="200" w:line="276" w:lineRule="auto"/>
        <w:rPr>
          <w:rFonts w:ascii="Times New Roman" w:hAnsi="Times New Roman"/>
          <w:i/>
          <w:noProof/>
          <w:sz w:val="24"/>
          <w:szCs w:val="24"/>
        </w:rPr>
      </w:pPr>
      <w:r>
        <w:rPr>
          <w:noProof/>
        </w:rPr>
        <w:br w:type="page"/>
      </w:r>
    </w:p>
    <w:p w:rsidR="00F105EB" w:rsidRDefault="00F105EB">
      <w:pPr>
        <w:jc w:val="center"/>
        <w:rPr>
          <w:rFonts w:ascii="Times New Roman" w:hAnsi="Times New Roman"/>
          <w:i/>
          <w:noProof/>
          <w:sz w:val="24"/>
          <w:szCs w:val="24"/>
        </w:rPr>
      </w:pPr>
    </w:p>
    <w:p w:rsidR="00F105EB" w:rsidRDefault="00A73D31">
      <w:pPr>
        <w:spacing w:after="360"/>
        <w:jc w:val="center"/>
        <w:rPr>
          <w:rFonts w:ascii="Times New Roman" w:hAnsi="Times New Roman"/>
          <w:i/>
          <w:noProof/>
          <w:sz w:val="24"/>
          <w:szCs w:val="24"/>
        </w:rPr>
      </w:pPr>
      <w:r>
        <w:rPr>
          <w:rFonts w:ascii="Times New Roman" w:hAnsi="Times New Roman"/>
          <w:i/>
          <w:noProof/>
          <w:sz w:val="24"/>
        </w:rPr>
        <w:t>Ebaseaduslikud piiriületused kolmel peamisel rändeteel</w:t>
      </w:r>
    </w:p>
    <w:p w:rsidR="00F105EB" w:rsidRDefault="00A73D31">
      <w:pPr>
        <w:jc w:val="both"/>
        <w:rPr>
          <w:rFonts w:ascii="Times New Roman" w:hAnsi="Times New Roman"/>
          <w:noProof/>
          <w:sz w:val="24"/>
          <w:szCs w:val="24"/>
        </w:rPr>
      </w:pPr>
      <w:r>
        <w:rPr>
          <w:noProof/>
          <w:lang w:val="en-GB" w:eastAsia="en-GB" w:bidi="ar-SA"/>
        </w:rPr>
        <w:drawing>
          <wp:inline distT="0" distB="0" distL="0" distR="0">
            <wp:extent cx="5759450" cy="3184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184688"/>
                    </a:xfrm>
                    <a:prstGeom prst="rect">
                      <a:avLst/>
                    </a:prstGeom>
                    <a:noFill/>
                    <a:ln>
                      <a:noFill/>
                    </a:ln>
                  </pic:spPr>
                </pic:pic>
              </a:graphicData>
            </a:graphic>
          </wp:inline>
        </w:drawing>
      </w:r>
    </w:p>
    <w:p w:rsidR="00F105EB" w:rsidRDefault="00F105EB">
      <w:pPr>
        <w:spacing w:after="120"/>
        <w:jc w:val="both"/>
        <w:rPr>
          <w:rFonts w:ascii="Times New Roman" w:hAnsi="Times New Roman"/>
          <w:noProof/>
          <w:sz w:val="24"/>
          <w:szCs w:val="24"/>
        </w:rPr>
      </w:pPr>
    </w:p>
    <w:p w:rsidR="00F105EB" w:rsidRDefault="00F105EB">
      <w:pPr>
        <w:spacing w:after="120"/>
        <w:jc w:val="both"/>
        <w:rPr>
          <w:rFonts w:ascii="Times New Roman" w:hAnsi="Times New Roman"/>
          <w:noProof/>
          <w:sz w:val="24"/>
          <w:szCs w:val="24"/>
        </w:rPr>
      </w:pPr>
    </w:p>
    <w:p w:rsidR="00F105EB" w:rsidRDefault="00A73D31">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i/>
          <w:noProof/>
          <w:sz w:val="24"/>
        </w:rPr>
        <w:t xml:space="preserve">Vahemere </w:t>
      </w:r>
      <w:r>
        <w:rPr>
          <w:rFonts w:ascii="Times New Roman" w:hAnsi="Times New Roman"/>
          <w:i/>
          <w:noProof/>
          <w:sz w:val="24"/>
        </w:rPr>
        <w:t>lääneosa / Atlandi</w:t>
      </w:r>
      <w:r>
        <w:rPr>
          <w:rFonts w:ascii="Times New Roman" w:hAnsi="Times New Roman"/>
          <w:noProof/>
          <w:sz w:val="24"/>
        </w:rPr>
        <w:t xml:space="preserve"> rändeteel suurenes saabujate arv eelmisel aastal ja püsib endiselt suur. Hispaaniasse saabus 2018. aastal 131 % rohkem inimesi (ligi 65 000 inimest) kui 2017. aastal ja see suundumus on jätkunud 2019. aastal</w:t>
      </w:r>
      <w:r>
        <w:rPr>
          <w:rStyle w:val="FootnoteReference"/>
          <w:rFonts w:ascii="Times New Roman" w:hAnsi="Times New Roman"/>
          <w:noProof/>
          <w:sz w:val="24"/>
        </w:rPr>
        <w:footnoteReference w:id="8"/>
      </w:r>
      <w:r>
        <w:rPr>
          <w:rFonts w:ascii="Times New Roman" w:hAnsi="Times New Roman"/>
          <w:noProof/>
          <w:sz w:val="24"/>
        </w:rPr>
        <w:t>. Kõige rohkem saabus Hispaan</w:t>
      </w:r>
      <w:r>
        <w:rPr>
          <w:rFonts w:ascii="Times New Roman" w:hAnsi="Times New Roman"/>
          <w:noProof/>
          <w:sz w:val="24"/>
        </w:rPr>
        <w:t>iasse 2018. aastal Maroko kodanikke (üks viiendik kõikidest piiriületajatest), neile järgnesid Lääne-Aafrika riikide (Guinea, Mali, Côte d’Ivoire ja Gambia) ning Alžeeria kodanikud.</w:t>
      </w:r>
    </w:p>
    <w:p w:rsidR="00F105EB" w:rsidRDefault="00A73D31">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i/>
          <w:noProof/>
          <w:sz w:val="24"/>
        </w:rPr>
        <w:t>Vahemere keskosa</w:t>
      </w:r>
      <w:r>
        <w:rPr>
          <w:rFonts w:ascii="Times New Roman" w:hAnsi="Times New Roman"/>
          <w:noProof/>
          <w:sz w:val="24"/>
        </w:rPr>
        <w:t xml:space="preserve"> rändeteel püsib ebaseaduslike saabujate arv väike. 2018. </w:t>
      </w:r>
      <w:r>
        <w:rPr>
          <w:rFonts w:ascii="Times New Roman" w:hAnsi="Times New Roman"/>
          <w:noProof/>
          <w:sz w:val="24"/>
        </w:rPr>
        <w:t>aastal vähenes Itaaliasse ebaseaduslike saabujate arv 80 % võrreldes 2017. aastaga ja see suundumus on jätkunud 2019. aastal, mil ebaseaduslike saabujate arv on langenud kriisieelsele tasemele. Kuigi Liibüast lahkus ka 2018. aastal üle poole ebaseaduslikes</w:t>
      </w:r>
      <w:r>
        <w:rPr>
          <w:rFonts w:ascii="Times New Roman" w:hAnsi="Times New Roman"/>
          <w:noProof/>
          <w:sz w:val="24"/>
        </w:rPr>
        <w:t>t saabujatest, on Liibüa rannikuvalve merel kinni pidanud või päästnud palju inimesi: 2018. aastal ligikaudu 15 000 inimest, peamiselt Sudaani (14 %), Nigeeria (12 %) ja Eritrea (12 %) kodanikud</w:t>
      </w:r>
      <w:r>
        <w:rPr>
          <w:rStyle w:val="FootnoteReference"/>
          <w:rFonts w:ascii="Times New Roman" w:hAnsi="Times New Roman"/>
          <w:noProof/>
          <w:sz w:val="24"/>
        </w:rPr>
        <w:footnoteReference w:id="9"/>
      </w:r>
      <w:r>
        <w:rPr>
          <w:rFonts w:ascii="Times New Roman" w:hAnsi="Times New Roman"/>
          <w:noProof/>
          <w:sz w:val="24"/>
        </w:rPr>
        <w:t>. Tuneesia on muutunud üha olulisemaks lähteriigiks (peamisel</w:t>
      </w:r>
      <w:r>
        <w:rPr>
          <w:rFonts w:ascii="Times New Roman" w:hAnsi="Times New Roman"/>
          <w:noProof/>
          <w:sz w:val="24"/>
        </w:rPr>
        <w:t>t tuneeslaste jaoks) teel Itaaliasse ja 2018. aasta teisel poolel suurenes Maltasse saabujate arv.</w:t>
      </w:r>
    </w:p>
    <w:p w:rsidR="00F105EB" w:rsidRDefault="00A73D31">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i/>
          <w:noProof/>
          <w:sz w:val="24"/>
        </w:rPr>
        <w:t>Vahemere idaosa</w:t>
      </w:r>
      <w:r>
        <w:rPr>
          <w:rFonts w:ascii="Times New Roman" w:hAnsi="Times New Roman"/>
          <w:noProof/>
          <w:sz w:val="24"/>
        </w:rPr>
        <w:t xml:space="preserve"> rändeteel suurenes ebaseaduslike saabujate arv terve 2018. aasta jooksul ja Kreekasse on saabunud 2019. aastal üle 30 % rohkem rändajaid kui </w:t>
      </w:r>
      <w:r>
        <w:rPr>
          <w:rFonts w:ascii="Times New Roman" w:hAnsi="Times New Roman"/>
          <w:noProof/>
          <w:sz w:val="24"/>
        </w:rPr>
        <w:t>aasta eest. See suundumus paneb püsiva surve alla nii Egeuse mere saared kui ka Kreeka-Türgi maismaapiiri, sest Türgisse tagasipöördujate arv on liiga väike, et survet leevendada ja ohustada smugeldajate ärimudelit</w:t>
      </w:r>
      <w:r>
        <w:rPr>
          <w:rStyle w:val="FootnoteReference"/>
          <w:rFonts w:ascii="Times New Roman" w:hAnsi="Times New Roman"/>
          <w:noProof/>
          <w:sz w:val="24"/>
        </w:rPr>
        <w:footnoteReference w:id="10"/>
      </w:r>
      <w:r>
        <w:rPr>
          <w:rFonts w:ascii="Times New Roman" w:hAnsi="Times New Roman"/>
          <w:noProof/>
          <w:sz w:val="24"/>
        </w:rPr>
        <w:t>. Afganistani kodanikud moodustavad enami</w:t>
      </w:r>
      <w:r>
        <w:rPr>
          <w:rFonts w:ascii="Times New Roman" w:hAnsi="Times New Roman"/>
          <w:noProof/>
          <w:sz w:val="24"/>
        </w:rPr>
        <w:t>ku 2018. ja 2019. aastal Egeuse mere saartele saabujatest, Türgi kodanikud on aga enamuses ELi maismaapiiri ületajate hulgas. Samuti on suurenenud nii meritsi kui ka Küprose valitsuse kontrolli all olevate alade maismaapiiri ületamise teel Küprosele saabuj</w:t>
      </w:r>
      <w:r>
        <w:rPr>
          <w:rFonts w:ascii="Times New Roman" w:hAnsi="Times New Roman"/>
          <w:noProof/>
          <w:sz w:val="24"/>
        </w:rPr>
        <w:t>ate arv.</w:t>
      </w:r>
    </w:p>
    <w:p w:rsidR="00F105EB" w:rsidRDefault="00A73D31">
      <w:pPr>
        <w:jc w:val="both"/>
        <w:rPr>
          <w:rFonts w:ascii="Times New Roman" w:hAnsi="Times New Roman"/>
          <w:noProof/>
          <w:sz w:val="24"/>
          <w:szCs w:val="24"/>
        </w:rPr>
      </w:pPr>
      <w:r>
        <w:rPr>
          <w:rFonts w:ascii="Times New Roman" w:hAnsi="Times New Roman"/>
          <w:noProof/>
          <w:sz w:val="24"/>
        </w:rPr>
        <w:t>2018. aastal suurenes ka oluliselt ebaseaduslike rändajate arv Lääne-Balkani riikides, kuigi see aasta lõpus talve saabudes vähenes. 2018. aastal oli ebaseaduslike saabujate arv neli korda suurem kui 2017. aastal ning piirkonna peamine rändetee ku</w:t>
      </w:r>
      <w:r>
        <w:rPr>
          <w:rFonts w:ascii="Times New Roman" w:hAnsi="Times New Roman"/>
          <w:noProof/>
          <w:sz w:val="24"/>
        </w:rPr>
        <w:t xml:space="preserve">lges Serbiast Bosniasse ja Hertsegoviinasse. Bosnias ja Hertsegoviinas registreeriti 2018. aastal ligikaudu 24 000 ebaseaduslikku saabujat ning riigis oli aasta lõpus umbes 5 000 rändajat. Seda rändeteed mööda saabujate arv siiski vähenes pärast seda, kui </w:t>
      </w:r>
      <w:r>
        <w:rPr>
          <w:rFonts w:ascii="Times New Roman" w:hAnsi="Times New Roman"/>
          <w:noProof/>
          <w:sz w:val="24"/>
        </w:rPr>
        <w:t>Serbia kaotas 17. oktoobril 2018 viisavabaduse Iraani kodanike jaoks. Praegu täheldatakse saabuvate India kodanike arvu suurenemist tänu Serbia kehtestatud viisavabadusele.</w:t>
      </w:r>
    </w:p>
    <w:p w:rsidR="00F105EB" w:rsidRDefault="00F105EB">
      <w:pPr>
        <w:jc w:val="both"/>
        <w:rPr>
          <w:rFonts w:ascii="Times New Roman" w:hAnsi="Times New Roman"/>
          <w:noProof/>
          <w:sz w:val="24"/>
          <w:szCs w:val="24"/>
        </w:rPr>
      </w:pPr>
    </w:p>
    <w:p w:rsidR="00F105EB" w:rsidRDefault="00A73D31">
      <w:pPr>
        <w:jc w:val="both"/>
        <w:rPr>
          <w:rFonts w:ascii="Times New Roman" w:hAnsi="Times New Roman"/>
          <w:noProof/>
          <w:sz w:val="24"/>
          <w:szCs w:val="24"/>
        </w:rPr>
      </w:pPr>
      <w:r>
        <w:rPr>
          <w:rFonts w:ascii="Times New Roman" w:hAnsi="Times New Roman"/>
          <w:noProof/>
          <w:sz w:val="24"/>
        </w:rPr>
        <w:t xml:space="preserve">Kuigi Vahemerel hukkunute arv on alates 2016. aastast tänu ELi, liikmesriikide ja </w:t>
      </w:r>
      <w:r>
        <w:rPr>
          <w:rFonts w:ascii="Times New Roman" w:hAnsi="Times New Roman"/>
          <w:noProof/>
          <w:sz w:val="24"/>
        </w:rPr>
        <w:t>teiste partnerite jõupingutustele pidevalt vähenenud, nõuavad mereületused smugeldajate ärimudelite tõttu endiselt inimelusid. Kui 2018. aastal hukkus ligi 2 300 inimest, siis 2017. aastal oli hukkunuid üle 3 100. 2019. aastal on seni hukkunud üle 220 inim</w:t>
      </w:r>
      <w:r>
        <w:rPr>
          <w:rFonts w:ascii="Times New Roman" w:hAnsi="Times New Roman"/>
          <w:noProof/>
          <w:sz w:val="24"/>
        </w:rPr>
        <w:t>ese</w:t>
      </w:r>
      <w:r>
        <w:rPr>
          <w:rStyle w:val="FootnoteReference"/>
          <w:rFonts w:ascii="Times New Roman" w:hAnsi="Times New Roman"/>
          <w:noProof/>
          <w:sz w:val="24"/>
        </w:rPr>
        <w:footnoteReference w:id="11"/>
      </w:r>
      <w:r>
        <w:rPr>
          <w:rFonts w:ascii="Times New Roman" w:hAnsi="Times New Roman"/>
          <w:noProof/>
          <w:sz w:val="24"/>
        </w:rPr>
        <w:t>.</w:t>
      </w:r>
    </w:p>
    <w:p w:rsidR="00F105EB" w:rsidRDefault="00F105EB">
      <w:pPr>
        <w:jc w:val="both"/>
        <w:rPr>
          <w:rFonts w:ascii="Times New Roman" w:hAnsi="Times New Roman"/>
          <w:b/>
          <w:i/>
          <w:noProof/>
          <w:sz w:val="24"/>
          <w:szCs w:val="24"/>
        </w:rPr>
      </w:pPr>
    </w:p>
    <w:p w:rsidR="00F105EB" w:rsidRDefault="00A73D31">
      <w:pPr>
        <w:keepNext/>
        <w:spacing w:after="120"/>
        <w:jc w:val="both"/>
        <w:rPr>
          <w:rFonts w:ascii="Times New Roman" w:hAnsi="Times New Roman"/>
          <w:i/>
          <w:noProof/>
          <w:sz w:val="24"/>
          <w:szCs w:val="24"/>
        </w:rPr>
      </w:pPr>
      <w:r>
        <w:rPr>
          <w:rFonts w:ascii="Times New Roman" w:hAnsi="Times New Roman"/>
          <w:i/>
          <w:noProof/>
          <w:sz w:val="24"/>
        </w:rPr>
        <w:t>Varjupaik</w:t>
      </w:r>
    </w:p>
    <w:p w:rsidR="00F105EB" w:rsidRDefault="00A73D31">
      <w:pPr>
        <w:jc w:val="both"/>
        <w:rPr>
          <w:rFonts w:ascii="Times New Roman" w:hAnsi="Times New Roman"/>
          <w:noProof/>
          <w:sz w:val="24"/>
          <w:szCs w:val="24"/>
        </w:rPr>
      </w:pPr>
      <w:r>
        <w:rPr>
          <w:rFonts w:ascii="Times New Roman" w:hAnsi="Times New Roman"/>
          <w:noProof/>
          <w:sz w:val="24"/>
        </w:rPr>
        <w:t>2018. aastal esitati ELis ja Schengeni lepinguga ühinenud riikides umbes 634 700 rahvusvahelise kaitse taotlust. See on 10 % vähem kui 2017. aastal ja tähendab, et see näitaja on nüüd taas 2014. aasta tasemel</w:t>
      </w:r>
      <w:r>
        <w:rPr>
          <w:rStyle w:val="FootnoteReference"/>
          <w:rFonts w:ascii="Times New Roman" w:hAnsi="Times New Roman"/>
          <w:noProof/>
          <w:sz w:val="24"/>
        </w:rPr>
        <w:footnoteReference w:id="12"/>
      </w:r>
      <w:r>
        <w:rPr>
          <w:rFonts w:ascii="Times New Roman" w:hAnsi="Times New Roman"/>
          <w:noProof/>
          <w:sz w:val="24"/>
        </w:rPr>
        <w:t>. Enamik avaldusi esitati 2018</w:t>
      </w:r>
      <w:r>
        <w:rPr>
          <w:rFonts w:ascii="Times New Roman" w:hAnsi="Times New Roman"/>
          <w:noProof/>
          <w:sz w:val="24"/>
        </w:rPr>
        <w:t>. aastal Saksamaal, Prantsusmaal, Kreekas, Itaalias ja Hispaanias (72 % kõikidest ELis ja Schengeni lepinguga ühinenud riikides esitatud avaldustest)</w:t>
      </w:r>
      <w:r>
        <w:rPr>
          <w:rStyle w:val="FootnoteReference"/>
          <w:rFonts w:ascii="Times New Roman" w:hAnsi="Times New Roman"/>
          <w:noProof/>
          <w:sz w:val="24"/>
        </w:rPr>
        <w:footnoteReference w:id="13"/>
      </w:r>
      <w:r>
        <w:rPr>
          <w:rFonts w:ascii="Times New Roman" w:hAnsi="Times New Roman"/>
          <w:noProof/>
          <w:sz w:val="24"/>
        </w:rPr>
        <w:t>. Nagu 2017. aastalgi olid peamised päritoluriigid Süüria, Afganistan ja Iraak. Samuti on oluliselt suuren</w:t>
      </w:r>
      <w:r>
        <w:rPr>
          <w:rFonts w:ascii="Times New Roman" w:hAnsi="Times New Roman"/>
          <w:noProof/>
          <w:sz w:val="24"/>
        </w:rPr>
        <w:t>enud Schengeni viisa nõudest vabastatud riikidest (eelkõige Venezuelast, Gruusiast ja Colombiast) pärit rändajate esitatud taotluste arv.</w:t>
      </w:r>
    </w:p>
    <w:p w:rsidR="00F105EB" w:rsidRDefault="00F105EB">
      <w:pPr>
        <w:jc w:val="both"/>
        <w:rPr>
          <w:rFonts w:ascii="Times New Roman" w:hAnsi="Times New Roman"/>
          <w:i/>
          <w:noProof/>
          <w:sz w:val="24"/>
          <w:szCs w:val="24"/>
        </w:rPr>
      </w:pPr>
    </w:p>
    <w:p w:rsidR="00F105EB" w:rsidRDefault="00A73D31">
      <w:pPr>
        <w:jc w:val="both"/>
        <w:rPr>
          <w:rFonts w:ascii="Times New Roman" w:eastAsia="Calibri" w:hAnsi="Times New Roman"/>
          <w:noProof/>
          <w:sz w:val="24"/>
        </w:rPr>
      </w:pPr>
      <w:r>
        <w:rPr>
          <w:rFonts w:ascii="Times New Roman" w:hAnsi="Times New Roman"/>
          <w:noProof/>
          <w:sz w:val="24"/>
        </w:rPr>
        <w:t xml:space="preserve">2018. aastal tehti kindlaks üle 400 000 päringutabamuse, kui võrreldi muu liikmesriigi territooriumile liikunud </w:t>
      </w:r>
      <w:r>
        <w:rPr>
          <w:rFonts w:ascii="Times New Roman" w:hAnsi="Times New Roman"/>
          <w:noProof/>
          <w:sz w:val="24"/>
        </w:rPr>
        <w:t>inimeste sõrmejälgede andmeid Eurodac-süsteemis säilitatavate sõrmejälgede andmetega</w:t>
      </w:r>
      <w:r>
        <w:rPr>
          <w:rStyle w:val="FootnoteReference"/>
          <w:rFonts w:ascii="Times New Roman" w:hAnsi="Times New Roman"/>
          <w:noProof/>
          <w:sz w:val="24"/>
        </w:rPr>
        <w:footnoteReference w:id="14"/>
      </w:r>
      <w:r>
        <w:rPr>
          <w:rFonts w:ascii="Times New Roman" w:hAnsi="Times New Roman"/>
          <w:noProof/>
          <w:sz w:val="24"/>
        </w:rPr>
        <w:t xml:space="preserve">. Kõige rohkem päringutabamusi oli Prantsusmaal ja Saksamaal (osutab sellele, et need on teisese rände peamised sihtriigid), Itaalias ja Kreekas seevastu oli kõige rohkem </w:t>
      </w:r>
      <w:r>
        <w:rPr>
          <w:rFonts w:ascii="Times New Roman" w:hAnsi="Times New Roman"/>
          <w:noProof/>
          <w:sz w:val="24"/>
        </w:rPr>
        <w:t>registreeritud sõrmejälgede andmeid (osutab sellele, et need on peamised esmase sisenemise riigid)</w:t>
      </w:r>
      <w:r>
        <w:rPr>
          <w:rStyle w:val="FootnoteReference"/>
          <w:rFonts w:ascii="Times New Roman" w:hAnsi="Times New Roman"/>
          <w:noProof/>
          <w:sz w:val="24"/>
        </w:rPr>
        <w:footnoteReference w:id="15"/>
      </w:r>
      <w:r>
        <w:rPr>
          <w:rFonts w:ascii="Times New Roman" w:hAnsi="Times New Roman"/>
          <w:noProof/>
          <w:sz w:val="24"/>
        </w:rPr>
        <w:t>. </w:t>
      </w:r>
    </w:p>
    <w:p w:rsidR="00F105EB" w:rsidRDefault="00F105EB">
      <w:pPr>
        <w:jc w:val="both"/>
        <w:rPr>
          <w:rFonts w:ascii="Times New Roman" w:eastAsia="Calibri" w:hAnsi="Times New Roman"/>
          <w:noProof/>
          <w:color w:val="1F497D" w:themeColor="text2"/>
          <w:sz w:val="24"/>
        </w:rPr>
      </w:pPr>
    </w:p>
    <w:p w:rsidR="00F105EB" w:rsidRDefault="00A73D31">
      <w:pPr>
        <w:spacing w:after="200" w:line="276" w:lineRule="auto"/>
        <w:rPr>
          <w:rFonts w:ascii="Times New Roman" w:hAnsi="Times New Roman"/>
          <w:noProof/>
          <w:color w:val="1F497D" w:themeColor="text2"/>
          <w:sz w:val="24"/>
          <w:szCs w:val="24"/>
        </w:rPr>
      </w:pPr>
      <w:r>
        <w:rPr>
          <w:noProof/>
        </w:rPr>
        <w:br w:type="page"/>
      </w:r>
    </w:p>
    <w:p w:rsidR="00F105EB" w:rsidRDefault="00A73D31">
      <w:pPr>
        <w:pStyle w:val="ListParagraph"/>
        <w:numPr>
          <w:ilvl w:val="0"/>
          <w:numId w:val="2"/>
        </w:numPr>
        <w:rPr>
          <w:rFonts w:ascii="Times New Roman" w:hAnsi="Times New Roman"/>
          <w:b/>
          <w:noProof/>
          <w:sz w:val="24"/>
          <w:szCs w:val="24"/>
        </w:rPr>
      </w:pPr>
      <w:r>
        <w:rPr>
          <w:rFonts w:ascii="Times New Roman" w:hAnsi="Times New Roman"/>
          <w:b/>
          <w:noProof/>
          <w:sz w:val="24"/>
        </w:rPr>
        <w:t>VIIVITAMATA VÕETAVAD MEETMED</w:t>
      </w:r>
    </w:p>
    <w:p w:rsidR="00F105EB" w:rsidRDefault="00F105EB">
      <w:pPr>
        <w:pStyle w:val="ListParagraph"/>
        <w:ind w:left="0"/>
        <w:jc w:val="both"/>
        <w:rPr>
          <w:rFonts w:ascii="Times New Roman" w:hAnsi="Times New Roman"/>
          <w:b/>
          <w:i/>
          <w:noProof/>
          <w:sz w:val="24"/>
          <w:szCs w:val="24"/>
        </w:rPr>
      </w:pPr>
    </w:p>
    <w:p w:rsidR="00F105EB" w:rsidRDefault="00A73D31">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Vahemere lääneosa rändetee: koostöö Marokoga</w:t>
      </w: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Kuna Hispaania on nüüd ebaseaduslike piiriületajate jaoks peamine ELi </w:t>
      </w:r>
      <w:r>
        <w:rPr>
          <w:rFonts w:ascii="Times New Roman" w:hAnsi="Times New Roman"/>
          <w:noProof/>
          <w:color w:val="000000"/>
          <w:sz w:val="24"/>
        </w:rPr>
        <w:t>sisenemise koht, peavad ELi jaoks olema esmatähtsad meetmed, mis käsitlevad rännet Vahemere lääneosa rändeteel. EL on loomas tihedat partnerlust Marokoga. 2018. aasta lõpus kiitis ta heaks 140 miljoni euro eraldamise piirihalduse ja eelarvetoetuse jaoks</w:t>
      </w:r>
      <w:r>
        <w:rPr>
          <w:rStyle w:val="FootnoteReference"/>
          <w:rFonts w:ascii="Times New Roman" w:hAnsi="Times New Roman"/>
          <w:noProof/>
          <w:color w:val="000000"/>
          <w:sz w:val="24"/>
        </w:rPr>
        <w:footnoteReference w:id="16"/>
      </w:r>
      <w:r>
        <w:rPr>
          <w:rFonts w:ascii="Times New Roman" w:hAnsi="Times New Roman"/>
          <w:noProof/>
          <w:color w:val="000000"/>
          <w:sz w:val="24"/>
        </w:rPr>
        <w:t xml:space="preserve">. </w:t>
      </w:r>
      <w:r>
        <w:rPr>
          <w:rFonts w:ascii="Times New Roman" w:hAnsi="Times New Roman"/>
          <w:noProof/>
          <w:color w:val="000000"/>
          <w:sz w:val="24"/>
        </w:rPr>
        <w:t>Maroko tegutseb oma piiril kontrolli karmistamise nimel ja on hoidnud ära paljude rändajate lahkumise riigist</w:t>
      </w:r>
      <w:r>
        <w:rPr>
          <w:rStyle w:val="FootnoteReference"/>
          <w:rFonts w:ascii="Times New Roman" w:hAnsi="Times New Roman"/>
          <w:noProof/>
          <w:color w:val="000000"/>
          <w:sz w:val="24"/>
        </w:rPr>
        <w:footnoteReference w:id="17"/>
      </w:r>
      <w:r>
        <w:rPr>
          <w:rFonts w:ascii="Times New Roman" w:hAnsi="Times New Roman"/>
          <w:noProof/>
          <w:color w:val="000000"/>
          <w:sz w:val="24"/>
        </w:rPr>
        <w:t>. Nende ELi meetmetega toetatakse seda protsessi. Esimesed maksed on tehtud ja algatatud on põhivarustuse ostmise hankemenetlused. Viimastele lepi</w:t>
      </w:r>
      <w:r>
        <w:rPr>
          <w:rFonts w:ascii="Times New Roman" w:hAnsi="Times New Roman"/>
          <w:noProof/>
          <w:color w:val="000000"/>
          <w:sz w:val="24"/>
        </w:rPr>
        <w:t>ngutele selle paketi raames kirjutatakse alla aprillis ja jätkuma peab kohapealne rakendamine. See täiendab 36 miljoni euro kasutamist hädaabina, milles lepiti kokku 2018. aastal, et aidata Hispaanial hallata lõunapiiri. EL toetab Hispaaniat operatsiooni I</w:t>
      </w:r>
      <w:r>
        <w:rPr>
          <w:rFonts w:ascii="Times New Roman" w:hAnsi="Times New Roman"/>
          <w:noProof/>
          <w:color w:val="000000"/>
          <w:sz w:val="24"/>
        </w:rPr>
        <w:t>ndalo raames. Komisjon on valmis andma Hispaaniale igakülgset rahalist ja tehnilist toetust, mida riik vajab saabuvate rändajatega toimetulekuks.</w:t>
      </w:r>
    </w:p>
    <w:p w:rsidR="00F105EB" w:rsidRDefault="00F105EB">
      <w:pPr>
        <w:pStyle w:val="ListParagraph"/>
        <w:ind w:left="0"/>
        <w:jc w:val="both"/>
        <w:rPr>
          <w:rFonts w:ascii="Times New Roman" w:hAnsi="Times New Roman"/>
          <w:noProof/>
          <w:color w:val="000000"/>
          <w:sz w:val="24"/>
          <w:szCs w:val="24"/>
        </w:rPr>
      </w:pP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EL teeb tööd selle nimel, et veelgi süvendada oma suhteid Marokoga, eesmärgiga luua veelgi tihedam, sügavam j</w:t>
      </w:r>
      <w:r>
        <w:rPr>
          <w:rFonts w:ascii="Times New Roman" w:hAnsi="Times New Roman"/>
          <w:noProof/>
          <w:color w:val="000000"/>
          <w:sz w:val="24"/>
        </w:rPr>
        <w:t>a ulatuslikum partnerlus. Liikuvusel ja rändel on siin oluline koht ning neid valdkondi edendatakse rahalise toetuse, ekspertide tihedamate kontaktide ja operatiivkoostöö kaudu, sealhulgas tänu Euroopa Piiri- ja Rannikuvalve Ameti toetusele. Partnerlus pea</w:t>
      </w:r>
      <w:r>
        <w:rPr>
          <w:rFonts w:ascii="Times New Roman" w:hAnsi="Times New Roman"/>
          <w:noProof/>
          <w:color w:val="000000"/>
          <w:sz w:val="24"/>
        </w:rPr>
        <w:t>ks hõlmama ka tagasivõtmise, viisalihtsustuse ja seadusliku rände üle peetavate läbirääkimiste taasalustamist. Tihedamat koostööd tuleks teha ka rändevoogude ja naaberriikidest Marokosse kulgevate rändeteedega seotud probleemide lahendamisel.</w:t>
      </w:r>
    </w:p>
    <w:p w:rsidR="00F105EB" w:rsidRDefault="00F105EB">
      <w:pPr>
        <w:pStyle w:val="ListParagraph"/>
        <w:ind w:left="0"/>
        <w:jc w:val="both"/>
        <w:rPr>
          <w:rFonts w:ascii="Times New Roman" w:hAnsi="Times New Roman"/>
          <w:noProof/>
          <w:color w:val="000000"/>
          <w:sz w:val="24"/>
          <w:szCs w:val="24"/>
        </w:rPr>
      </w:pP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Lisaks Marok</w:t>
      </w:r>
      <w:r>
        <w:rPr>
          <w:rFonts w:ascii="Times New Roman" w:hAnsi="Times New Roman"/>
          <w:noProof/>
          <w:color w:val="000000"/>
          <w:sz w:val="24"/>
        </w:rPr>
        <w:t>o otsesele toetamisele teeb ELi hädaolukorra usaldusfond Aafrika jaoks</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tööd selle nimel, et arendada koostööd kogu Vahemere lääneosa rändetee ulatuses. Uue piiriülese koostöö programmiga, mille maht on 8,6 miljonit eurot, tugevdatakse põhjalikumate rände </w:t>
      </w:r>
      <w:r>
        <w:rPr>
          <w:rFonts w:ascii="Times New Roman" w:hAnsi="Times New Roman"/>
          <w:noProof/>
          <w:color w:val="000000"/>
          <w:sz w:val="24"/>
        </w:rPr>
        <w:t>üle peetavate piirkondlike poliitikadialoogide kaudu rände koordineeritud haldamist Maroko, Senegali, Mali ja Côte d’Ivoire’i vahel. Eelarvetoetuse programm Mauritaania jaoks kiideti heaks 2018. aasta lõpus, eemärgiga toetada riiklikku arengustrateegiat ni</w:t>
      </w:r>
      <w:r>
        <w:rPr>
          <w:rFonts w:ascii="Times New Roman" w:hAnsi="Times New Roman"/>
          <w:noProof/>
          <w:color w:val="000000"/>
          <w:sz w:val="24"/>
        </w:rPr>
        <w:t>ng keskendudes eelkõige rändajate kaitsmisele ja meresõiduturvalisusele</w:t>
      </w:r>
      <w:r>
        <w:rPr>
          <w:rStyle w:val="FootnoteReference"/>
          <w:rFonts w:ascii="Times New Roman" w:hAnsi="Times New Roman"/>
          <w:noProof/>
          <w:color w:val="000000"/>
          <w:sz w:val="24"/>
        </w:rPr>
        <w:footnoteReference w:id="19"/>
      </w:r>
      <w:r>
        <w:rPr>
          <w:rFonts w:ascii="Times New Roman" w:hAnsi="Times New Roman"/>
          <w:noProof/>
          <w:color w:val="000000"/>
          <w:sz w:val="24"/>
        </w:rPr>
        <w:t>. Usaldusfondi Põhja-Aafrika haru peaks saama varsti ELi eelarvest veel 120 miljonit eurot</w:t>
      </w:r>
      <w:r>
        <w:rPr>
          <w:rStyle w:val="FootnoteReference"/>
          <w:rFonts w:ascii="Times New Roman" w:hAnsi="Times New Roman"/>
          <w:noProof/>
          <w:color w:val="000000"/>
          <w:sz w:val="24"/>
        </w:rPr>
        <w:footnoteReference w:id="20"/>
      </w:r>
      <w:r>
        <w:rPr>
          <w:rFonts w:ascii="Times New Roman" w:hAnsi="Times New Roman"/>
          <w:noProof/>
          <w:color w:val="000000"/>
          <w:sz w:val="24"/>
        </w:rPr>
        <w:t>. Praegu on muu hulgas Liibüas ja Marokos pooleli olevate programmide olulistest lisavahendit</w:t>
      </w:r>
      <w:r>
        <w:rPr>
          <w:rFonts w:ascii="Times New Roman" w:hAnsi="Times New Roman"/>
          <w:noProof/>
          <w:color w:val="000000"/>
          <w:sz w:val="24"/>
        </w:rPr>
        <w:t>est 2019. aasta jaoks siiski puudu veel kuni 86 miljonit eurot. Liikmesriigid peavad andma oma panuse, et tagada selle töö jätkumine.</w:t>
      </w:r>
    </w:p>
    <w:p w:rsidR="00F105EB" w:rsidRDefault="00A73D31">
      <w:pPr>
        <w:spacing w:after="200" w:line="276" w:lineRule="auto"/>
        <w:rPr>
          <w:rFonts w:ascii="Times New Roman" w:hAnsi="Times New Roman"/>
          <w:noProof/>
          <w:color w:val="000000"/>
          <w:sz w:val="24"/>
          <w:szCs w:val="24"/>
        </w:rPr>
      </w:pPr>
      <w:r>
        <w:rPr>
          <w:noProof/>
        </w:rPr>
        <w:br w:type="page"/>
      </w:r>
    </w:p>
    <w:p w:rsidR="00F105EB" w:rsidRDefault="00A73D31">
      <w:pPr>
        <w:keepNext/>
        <w:spacing w:after="120"/>
        <w:jc w:val="both"/>
        <w:rPr>
          <w:rFonts w:ascii="Times New Roman" w:hAnsi="Times New Roman"/>
          <w:i/>
          <w:noProof/>
          <w:sz w:val="24"/>
          <w:szCs w:val="24"/>
        </w:rPr>
      </w:pPr>
      <w:r>
        <w:rPr>
          <w:rFonts w:ascii="Times New Roman" w:hAnsi="Times New Roman"/>
          <w:i/>
          <w:noProof/>
          <w:sz w:val="24"/>
        </w:rPr>
        <w:t xml:space="preserve">Vahemere keskosa rändetee: tingimuste parandamine Liibüas </w:t>
      </w: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Esmajoones tuleb aidata Liibüasse lõksu jäänud inimesi. Selle</w:t>
      </w:r>
      <w:r>
        <w:rPr>
          <w:rFonts w:ascii="Times New Roman" w:hAnsi="Times New Roman"/>
          <w:noProof/>
          <w:color w:val="000000"/>
          <w:sz w:val="24"/>
        </w:rPr>
        <w:t>ks et luua inimlikumad tingimused, peame tegutsema selle nimel, et leida väljasaadetavate kinnipidamisele alternatiive, muuta Liibüas rändajate ja pagulaste haldamine korrakohasemaks ja läbipaistvamaks ning aidata inimestel turvaliselt koju tagasi pöörduda</w:t>
      </w:r>
      <w:r>
        <w:rPr>
          <w:rFonts w:ascii="Times New Roman" w:hAnsi="Times New Roman"/>
          <w:noProof/>
          <w:color w:val="000000"/>
          <w:sz w:val="24"/>
        </w:rPr>
        <w:t xml:space="preserve"> või leida kaitset Euroopas või mujal.</w:t>
      </w:r>
      <w:r>
        <w:rPr>
          <w:rFonts w:ascii="Times New Roman" w:hAnsi="Times New Roman"/>
          <w:noProof/>
          <w:sz w:val="24"/>
        </w:rPr>
        <w:t xml:space="preserve"> Kõige suuremat tähelepanu tuleks pöörata haavatavatele rändajatele ja kinnipidamiskeskustes elavatele inimestele: hinnangu kohaselt peetakse praegu Liibüa rahvusliku kokkuleppe valitsuse kontrolli all olevates kinnipi</w:t>
      </w:r>
      <w:r>
        <w:rPr>
          <w:rFonts w:ascii="Times New Roman" w:hAnsi="Times New Roman"/>
          <w:noProof/>
          <w:sz w:val="24"/>
        </w:rPr>
        <w:t>damiskeskustes kinni 6 200 rändajat</w:t>
      </w:r>
      <w:r>
        <w:rPr>
          <w:rStyle w:val="FootnoteReference"/>
          <w:rFonts w:ascii="Times New Roman" w:hAnsi="Times New Roman"/>
          <w:noProof/>
          <w:sz w:val="24"/>
        </w:rPr>
        <w:footnoteReference w:id="21"/>
      </w:r>
      <w:r>
        <w:rPr>
          <w:rFonts w:ascii="Times New Roman" w:hAnsi="Times New Roman"/>
          <w:noProof/>
          <w:sz w:val="24"/>
        </w:rPr>
        <w:t>.</w:t>
      </w:r>
    </w:p>
    <w:p w:rsidR="00F105EB" w:rsidRDefault="00F105EB">
      <w:pPr>
        <w:jc w:val="both"/>
        <w:rPr>
          <w:rFonts w:ascii="Times New Roman" w:hAnsi="Times New Roman"/>
          <w:noProof/>
          <w:color w:val="000000"/>
          <w:sz w:val="24"/>
          <w:szCs w:val="24"/>
        </w:rPr>
      </w:pPr>
    </w:p>
    <w:p w:rsidR="00F105EB" w:rsidRDefault="00A73D31">
      <w:pPr>
        <w:contextualSpacing/>
        <w:jc w:val="both"/>
        <w:rPr>
          <w:rFonts w:ascii="Times New Roman" w:hAnsi="Times New Roman"/>
          <w:noProof/>
          <w:sz w:val="24"/>
          <w:szCs w:val="24"/>
        </w:rPr>
      </w:pPr>
      <w:r>
        <w:rPr>
          <w:rFonts w:ascii="Times New Roman" w:hAnsi="Times New Roman"/>
          <w:noProof/>
          <w:sz w:val="24"/>
        </w:rPr>
        <w:t>Praegusest julgeolekuolukorrast tulenevaid piiranguid arvestades keskendutakse sellele koostöös Ühinenud Rahvaste Organisatsiooni Pagulaste Ülemvoliniku Ameti (UNHCR) ja Rahvusvahelise Migratsiooniorganisatsiooni ning</w:t>
      </w:r>
      <w:r>
        <w:rPr>
          <w:rFonts w:ascii="Times New Roman" w:hAnsi="Times New Roman"/>
          <w:noProof/>
          <w:sz w:val="24"/>
        </w:rPr>
        <w:t xml:space="preserve"> Aafrika Liidu, Euroopa Liidu ja ÜRO kolmepoolse töökonnaga. Selle koostöö tulemusel on toetatud vabatahtliku tagasipöördumise programmide raames koju tagasi pöördunud enam kui 37 000 inimest, UNHCRi erakorralise transiidi mehhanismi kaudu on Liibüast Nige</w:t>
      </w:r>
      <w:r>
        <w:rPr>
          <w:rFonts w:ascii="Times New Roman" w:hAnsi="Times New Roman"/>
          <w:noProof/>
          <w:sz w:val="24"/>
        </w:rPr>
        <w:t>risse evakueeritud peaaegu 2 500 inimest</w:t>
      </w:r>
      <w:r>
        <w:rPr>
          <w:rStyle w:val="FootnoteReference"/>
          <w:rFonts w:ascii="Times New Roman" w:hAnsi="Times New Roman"/>
          <w:noProof/>
          <w:sz w:val="24"/>
        </w:rPr>
        <w:footnoteReference w:id="22"/>
      </w:r>
      <w:r>
        <w:rPr>
          <w:rFonts w:ascii="Times New Roman" w:hAnsi="Times New Roman"/>
          <w:noProof/>
          <w:sz w:val="24"/>
        </w:rPr>
        <w:t>. Neist üle 1 200 on nüüd ümberasustatud ja järgmine oluline lahendamist vajav ülesanne liikmesriikide jaoks on Nigeris endiselt ootavate inimeste ümberasustamine. Töökond kutsub Liibüa ametiasutusi tungivalt üles s</w:t>
      </w:r>
      <w:r>
        <w:rPr>
          <w:rFonts w:ascii="Times New Roman" w:hAnsi="Times New Roman"/>
          <w:noProof/>
          <w:sz w:val="24"/>
        </w:rPr>
        <w:t>eda tööd hõlbustama, keskendudes eelkõige väljasõiduviisade ja maandumistasude vajaduse vähendamisele.</w:t>
      </w:r>
    </w:p>
    <w:p w:rsidR="00F105EB" w:rsidRDefault="00F105EB">
      <w:pPr>
        <w:autoSpaceDE w:val="0"/>
        <w:autoSpaceDN w:val="0"/>
        <w:adjustRightInd w:val="0"/>
        <w:jc w:val="both"/>
        <w:rPr>
          <w:rFonts w:ascii="Times New Roman" w:hAnsi="Times New Roman"/>
          <w:noProof/>
          <w:sz w:val="24"/>
          <w:szCs w:val="24"/>
        </w:rPr>
      </w:pPr>
    </w:p>
    <w:p w:rsidR="00F105EB" w:rsidRDefault="00A73D31">
      <w:pPr>
        <w:autoSpaceDE w:val="0"/>
        <w:autoSpaceDN w:val="0"/>
        <w:adjustRightInd w:val="0"/>
        <w:jc w:val="both"/>
        <w:rPr>
          <w:rFonts w:ascii="Times New Roman" w:hAnsi="Times New Roman"/>
          <w:noProof/>
          <w:sz w:val="24"/>
          <w:szCs w:val="24"/>
        </w:rPr>
      </w:pPr>
      <w:r>
        <w:rPr>
          <w:rFonts w:ascii="Times New Roman" w:hAnsi="Times New Roman"/>
          <w:noProof/>
          <w:sz w:val="24"/>
        </w:rPr>
        <w:t>Veel tuleb tööd teha selleks, et parandada kohutavaid tingimusi, milles paljud rändajad ja pagulased elavad. Alates 2016. aastast on usaldusfond eraldan</w:t>
      </w:r>
      <w:r>
        <w:rPr>
          <w:rFonts w:ascii="Times New Roman" w:hAnsi="Times New Roman"/>
          <w:noProof/>
          <w:sz w:val="24"/>
        </w:rPr>
        <w:t>ud ligi 135 miljonit eurot rändajate kaitseks Liibüas ja need jõupingutused peavad jätkuma ka tulevikus. Töö hõlmab abi andmist maabumiskohtades ning saabujate registreerimist ja jälgimist. Käimas on projektid, millega parandatakse menetlusi ja tingimusi n</w:t>
      </w:r>
      <w:r>
        <w:rPr>
          <w:rFonts w:ascii="Times New Roman" w:hAnsi="Times New Roman"/>
          <w:noProof/>
          <w:sz w:val="24"/>
        </w:rPr>
        <w:t>ii selles olulises etapis kui ka pärast asjaomaste isikute üleviimist kinnipidamiskeskusesse. 2018. aasta detsembris andsid Liibüa ametiasutused loa avada UNHCRi kogunemis- ja lahkumiskeskus, kus aidatakse pagulastel ja varjupaigataotlejatel kiiresti evaku</w:t>
      </w:r>
      <w:r>
        <w:rPr>
          <w:rFonts w:ascii="Times New Roman" w:hAnsi="Times New Roman"/>
          <w:noProof/>
          <w:sz w:val="24"/>
        </w:rPr>
        <w:t>eeruda. See võiks olla ka ajutine lahendus saatjata alaealiste ja muude haavatavate elanikkonnarühmade jaoks. EL kavatseb ka edaspidi avaldada survet, et tagada takistamatu ja korrapärane juurdepääs humanitaarabiorganisatsioonidele ja ÜRO ametitele, parand</w:t>
      </w:r>
      <w:r>
        <w:rPr>
          <w:rFonts w:ascii="Times New Roman" w:hAnsi="Times New Roman"/>
          <w:noProof/>
          <w:sz w:val="24"/>
        </w:rPr>
        <w:t>ada tingimusi kinnipidamiskeskustes, suurendada väljasaatmise alternatiive ja teha lõpp praegu kasutatavale väljasaatmissüsteemile.</w:t>
      </w:r>
    </w:p>
    <w:p w:rsidR="00F105EB" w:rsidRDefault="00F105EB">
      <w:pPr>
        <w:autoSpaceDE w:val="0"/>
        <w:autoSpaceDN w:val="0"/>
        <w:adjustRightInd w:val="0"/>
        <w:jc w:val="both"/>
        <w:rPr>
          <w:rFonts w:ascii="Times New Roman" w:hAnsi="Times New Roman"/>
          <w:noProof/>
          <w:sz w:val="24"/>
          <w:szCs w:val="24"/>
        </w:rPr>
      </w:pPr>
    </w:p>
    <w:p w:rsidR="00F105EB" w:rsidRDefault="00A73D31">
      <w:pPr>
        <w:autoSpaceDE w:val="0"/>
        <w:autoSpaceDN w:val="0"/>
        <w:adjustRightInd w:val="0"/>
        <w:jc w:val="both"/>
        <w:rPr>
          <w:rFonts w:ascii="Times New Roman" w:hAnsi="Times New Roman"/>
          <w:noProof/>
          <w:sz w:val="24"/>
          <w:szCs w:val="24"/>
        </w:rPr>
      </w:pPr>
      <w:r>
        <w:rPr>
          <w:rFonts w:ascii="Times New Roman" w:hAnsi="Times New Roman"/>
          <w:noProof/>
          <w:sz w:val="24"/>
        </w:rPr>
        <w:t>Kuna nende rändajate osakaal, keda peetakse kinni valitsuse kontrollitavates keskustes, on Liibüas väike, vajavad kohalikud</w:t>
      </w:r>
      <w:r>
        <w:rPr>
          <w:rFonts w:ascii="Times New Roman" w:hAnsi="Times New Roman"/>
          <w:noProof/>
          <w:sz w:val="24"/>
        </w:rPr>
        <w:t xml:space="preserve"> kogukonnad tingimata tuge. Tervishoidu, juurdepääsu haridusele ja peamisele sotsiaalsele taristule toetatakse ELi programmide kaudu. 2018. aastal kiideti ELi Aafrika jaoks mõeldud hädaolukorra usaldusfondi raames Liibüas heaks neli uut programmi kogumaksu</w:t>
      </w:r>
      <w:r>
        <w:rPr>
          <w:rFonts w:ascii="Times New Roman" w:hAnsi="Times New Roman"/>
          <w:noProof/>
          <w:sz w:val="24"/>
        </w:rPr>
        <w:t>musega 156 miljonit eurot.</w:t>
      </w:r>
    </w:p>
    <w:p w:rsidR="00F105EB" w:rsidRDefault="00F105EB">
      <w:pPr>
        <w:autoSpaceDE w:val="0"/>
        <w:autoSpaceDN w:val="0"/>
        <w:adjustRightInd w:val="0"/>
        <w:jc w:val="both"/>
        <w:rPr>
          <w:rFonts w:ascii="Times New Roman" w:hAnsi="Times New Roman"/>
          <w:noProof/>
          <w:sz w:val="24"/>
          <w:szCs w:val="24"/>
        </w:rPr>
      </w:pPr>
    </w:p>
    <w:p w:rsidR="00F105EB" w:rsidRDefault="00A73D31">
      <w:pPr>
        <w:autoSpaceDE w:val="0"/>
        <w:autoSpaceDN w:val="0"/>
        <w:adjustRightInd w:val="0"/>
        <w:jc w:val="both"/>
        <w:rPr>
          <w:rFonts w:ascii="Times New Roman" w:hAnsi="Times New Roman"/>
          <w:noProof/>
          <w:sz w:val="24"/>
          <w:szCs w:val="24"/>
        </w:rPr>
      </w:pPr>
      <w:r>
        <w:rPr>
          <w:rFonts w:ascii="Times New Roman" w:hAnsi="Times New Roman"/>
          <w:noProof/>
          <w:sz w:val="24"/>
        </w:rPr>
        <w:t>Peaaegu 90 000 pagulast ja haavatavat rändajat on saanud arstiabi esmaste ja eritervishoiuteenuste, konsultatsioonide ja sõeluuringute kaudu. Tööd kavatsetakse veelgi tõhustada ning pöörata suurimat tähelepanu toetatud vabatahtl</w:t>
      </w:r>
      <w:r>
        <w:rPr>
          <w:rFonts w:ascii="Times New Roman" w:hAnsi="Times New Roman"/>
          <w:noProof/>
          <w:sz w:val="24"/>
        </w:rPr>
        <w:t>ikule tagasipöördumisele, alaealiste ja teiste haavatavate inimeste evakueerimise kiirendamisele, tingimuste parandamisele kinnipidamiskeskustes ning kinnipidamise alternatiivide edendamisele. Samal ajal on ELi humanitaarabi Liibüas jõudnud ligikaudu 700 0</w:t>
      </w:r>
      <w:r>
        <w:rPr>
          <w:rFonts w:ascii="Times New Roman" w:hAnsi="Times New Roman"/>
          <w:noProof/>
          <w:sz w:val="24"/>
        </w:rPr>
        <w:t>00 kõige haavatavama inimeseni, keda konflikt mõjutab, sealhulgas riigisiseste põgenikeni.</w:t>
      </w:r>
    </w:p>
    <w:p w:rsidR="00F105EB" w:rsidRDefault="00F105EB">
      <w:pPr>
        <w:autoSpaceDE w:val="0"/>
        <w:autoSpaceDN w:val="0"/>
        <w:adjustRightInd w:val="0"/>
        <w:jc w:val="both"/>
        <w:rPr>
          <w:rFonts w:ascii="Times New Roman" w:hAnsi="Times New Roman"/>
          <w:noProof/>
          <w:sz w:val="24"/>
          <w:szCs w:val="24"/>
        </w:rPr>
      </w:pPr>
    </w:p>
    <w:p w:rsidR="00F105EB" w:rsidRDefault="00A73D31">
      <w:pPr>
        <w:keepNext/>
        <w:spacing w:after="120"/>
        <w:jc w:val="both"/>
        <w:rPr>
          <w:rFonts w:ascii="Times New Roman" w:hAnsi="Times New Roman"/>
          <w:i/>
          <w:noProof/>
          <w:sz w:val="24"/>
          <w:szCs w:val="24"/>
        </w:rPr>
      </w:pPr>
      <w:r>
        <w:rPr>
          <w:rFonts w:ascii="Times New Roman" w:hAnsi="Times New Roman"/>
          <w:i/>
          <w:noProof/>
          <w:sz w:val="24"/>
        </w:rPr>
        <w:t>Vahemere idaosa rändetee: tingimuste parandamine Kreekas</w:t>
      </w:r>
    </w:p>
    <w:p w:rsidR="00F105EB" w:rsidRDefault="00A73D31">
      <w:pPr>
        <w:pStyle w:val="Default"/>
        <w:jc w:val="both"/>
        <w:rPr>
          <w:noProof/>
        </w:rPr>
      </w:pPr>
      <w:r>
        <w:rPr>
          <w:noProof/>
        </w:rPr>
        <w:t>Jätkuv pühendumus ELi-Türgi avalduse rakendamisele ning ELi suur rahaline ja operatiivtoetus alates 2015. a</w:t>
      </w:r>
      <w:r>
        <w:rPr>
          <w:noProof/>
        </w:rPr>
        <w:t>astast on andnud olulise panuse Kreeka saartele avalduva surve leevendamisse</w:t>
      </w:r>
      <w:r>
        <w:rPr>
          <w:rStyle w:val="FootnoteReference"/>
          <w:noProof/>
        </w:rPr>
        <w:footnoteReference w:id="23"/>
      </w:r>
      <w:r>
        <w:rPr>
          <w:noProof/>
        </w:rPr>
        <w:t>. Praegu astutakse täiendavaid samme. Kreeka ametiasutused on võtnud hulga meetmeid, et töödelda varjupaigataotlusi kiiremini, samuti on võetud tööle rohkem arste, kes viivad läbi</w:t>
      </w:r>
      <w:r>
        <w:rPr>
          <w:noProof/>
        </w:rPr>
        <w:t xml:space="preserve"> haavatavuse hindamisi, ning suurendatud on mobiilsete varjupaigaüksuste ja apellatsioonikomiteede arvu. Käimas on katseprojektid, et selgitada välja muud võimalused varjupaigataotluste töötlemise töövoo parandamiseks. Selle tulemuseks peaks olema tagasipö</w:t>
      </w:r>
      <w:r>
        <w:rPr>
          <w:noProof/>
        </w:rPr>
        <w:t>ördumiste tulemuslikkuse parandamine, eelkõige ELi-Türgi avalduse raames, ja tingimuste paranemine tänu saarte ülerahvastatuse vähendamisele.</w:t>
      </w:r>
    </w:p>
    <w:p w:rsidR="00F105EB" w:rsidRDefault="00F105EB">
      <w:pPr>
        <w:pStyle w:val="Default"/>
        <w:jc w:val="both"/>
        <w:rPr>
          <w:noProof/>
        </w:rPr>
      </w:pPr>
    </w:p>
    <w:p w:rsidR="00F105EB" w:rsidRDefault="00A73D31">
      <w:pPr>
        <w:pStyle w:val="Default"/>
        <w:spacing w:after="120"/>
        <w:jc w:val="both"/>
        <w:rPr>
          <w:noProof/>
        </w:rPr>
      </w:pPr>
      <w:r>
        <w:rPr>
          <w:noProof/>
        </w:rPr>
        <w:t xml:space="preserve">Ülejäänud probleemid lahendamiseks on aga oluline ka Kreeka valitsuse kindel juhiroll ja pühendumus. EL annab ka </w:t>
      </w:r>
      <w:r>
        <w:rPr>
          <w:noProof/>
        </w:rPr>
        <w:t>edaspidi Kreekale rahalist toetust</w:t>
      </w:r>
      <w:r>
        <w:rPr>
          <w:rStyle w:val="FootnoteReference"/>
          <w:noProof/>
        </w:rPr>
        <w:footnoteReference w:id="24"/>
      </w:r>
      <w:r>
        <w:rPr>
          <w:noProof/>
        </w:rPr>
        <w:t xml:space="preserve"> ja ELi asutused saadavad abiks eksperte. Samuti on oluline, et liikmesriigid jätkaksid ELi asutuste tegevuse piisavat toetamist. Kreeka ametiasutused peavad viivitamata ja koordineeritult tegutsema, et saavutada järgmine</w:t>
      </w:r>
      <w:r>
        <w:rPr>
          <w:noProof/>
        </w:rPr>
        <w:t>.</w:t>
      </w:r>
    </w:p>
    <w:p w:rsidR="00F105EB" w:rsidRDefault="00A73D31">
      <w:pPr>
        <w:pStyle w:val="Default"/>
        <w:numPr>
          <w:ilvl w:val="0"/>
          <w:numId w:val="62"/>
        </w:numPr>
        <w:spacing w:after="120"/>
        <w:ind w:left="425"/>
        <w:jc w:val="both"/>
        <w:rPr>
          <w:noProof/>
        </w:rPr>
      </w:pPr>
      <w:r>
        <w:rPr>
          <w:noProof/>
        </w:rPr>
        <w:t>Tulemuslikumad varjupaigamenetlused, et tagada varjupaigataotluste palju kiirem läbivaatamine.</w:t>
      </w:r>
    </w:p>
    <w:p w:rsidR="00F105EB" w:rsidRDefault="00A73D31">
      <w:pPr>
        <w:pStyle w:val="Default"/>
        <w:numPr>
          <w:ilvl w:val="0"/>
          <w:numId w:val="62"/>
        </w:numPr>
        <w:spacing w:after="120"/>
        <w:ind w:left="425"/>
        <w:jc w:val="both"/>
        <w:rPr>
          <w:noProof/>
        </w:rPr>
      </w:pPr>
      <w:r>
        <w:rPr>
          <w:noProof/>
        </w:rPr>
        <w:t>Rohkem tagasisaatmisi, kasutades võimalikult palju ära toetatud vabatahtliku tagasipöördumise programme, mida toetatakse taasintegreerimise programmide raames.</w:t>
      </w:r>
      <w:r>
        <w:rPr>
          <w:noProof/>
        </w:rPr>
        <w:t xml:space="preserve"> Kui on vaja korraldada sunniviisiline tagasisaatmine, tuleb kasutada nõuetekohaseid väljasaatmiseelseid keskusi, mis peavad vastama kohaldatavatele inimõigusstandarditele. Selleks peab operatiivne töövoog olema tõhus ja seadma kogu protsessi jooksul esiko</w:t>
      </w:r>
      <w:r>
        <w:rPr>
          <w:noProof/>
        </w:rPr>
        <w:t>hale tähtsaimad rühmad</w:t>
      </w:r>
      <w:r>
        <w:rPr>
          <w:rStyle w:val="FootnoteReference"/>
          <w:noProof/>
        </w:rPr>
        <w:footnoteReference w:id="25"/>
      </w:r>
      <w:r>
        <w:rPr>
          <w:noProof/>
        </w:rPr>
        <w:t>.</w:t>
      </w:r>
    </w:p>
    <w:p w:rsidR="00F105EB" w:rsidRDefault="00A73D31">
      <w:pPr>
        <w:pStyle w:val="Default"/>
        <w:numPr>
          <w:ilvl w:val="0"/>
          <w:numId w:val="62"/>
        </w:numPr>
        <w:spacing w:after="120"/>
        <w:ind w:left="425"/>
        <w:jc w:val="both"/>
        <w:rPr>
          <w:noProof/>
        </w:rPr>
      </w:pPr>
      <w:r>
        <w:rPr>
          <w:noProof/>
        </w:rPr>
        <w:t>Reguleeriv ja haldusraamistik, millega oleks võimalik tagada vastuvõtusuutlikkuse toimimine ja järelevalve selle üle ning kõikide vajalike teenuste osutamine.</w:t>
      </w:r>
    </w:p>
    <w:p w:rsidR="00F105EB" w:rsidRDefault="00A73D31">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Saatjata alaealistele vähemalt 2 000 nõuetekohase majutuskoha kiire pakk</w:t>
      </w:r>
      <w:r>
        <w:rPr>
          <w:rFonts w:ascii="Times New Roman" w:eastAsiaTheme="minorHAnsi" w:hAnsi="Times New Roman"/>
          <w:noProof/>
          <w:color w:val="000000"/>
          <w:sz w:val="24"/>
        </w:rPr>
        <w:t>umine ning tervikliku riikliku strateegia väljatöötamine ja rakendamine, et tagada saatjata alaealistele täielik kaitse.</w:t>
      </w:r>
    </w:p>
    <w:p w:rsidR="00F105EB" w:rsidRDefault="00A73D31">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Parem suunamissüsteem, et pakkuda rahvusvahelise kaitse taotlejatele ja haavatavatele isikutele majutuskohti, ning pädevate ametiasutus</w:t>
      </w:r>
      <w:r>
        <w:rPr>
          <w:rFonts w:ascii="Times New Roman" w:eastAsiaTheme="minorHAnsi" w:hAnsi="Times New Roman"/>
          <w:noProof/>
          <w:color w:val="000000"/>
          <w:sz w:val="24"/>
        </w:rPr>
        <w:t>te vaheline koostöö.</w:t>
      </w:r>
    </w:p>
    <w:p w:rsidR="00F105EB" w:rsidRDefault="00A73D31">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Selleks on vaja tulemuslikku ja jätkusuutlikku Kreeka riiklikku rändehalduse strateegiat,. millega tuleb ette näha kõikide asjaomaste ametiasutuste tulemuslik koostöö ja nende tegevuse koordineerimine, samuti operatiivne töövoog ja ühi</w:t>
      </w:r>
      <w:r>
        <w:rPr>
          <w:rFonts w:ascii="Times New Roman" w:eastAsiaTheme="minorHAnsi" w:hAnsi="Times New Roman"/>
          <w:noProof/>
          <w:color w:val="000000"/>
          <w:sz w:val="24"/>
        </w:rPr>
        <w:t>sed prioriseerimiseeskirjad.</w:t>
      </w:r>
    </w:p>
    <w:p w:rsidR="00F105EB" w:rsidRDefault="00A73D31">
      <w:pPr>
        <w:keepNext/>
        <w:spacing w:after="120"/>
        <w:jc w:val="both"/>
        <w:rPr>
          <w:rFonts w:ascii="Times New Roman" w:hAnsi="Times New Roman"/>
          <w:i/>
          <w:noProof/>
          <w:sz w:val="24"/>
        </w:rPr>
      </w:pPr>
      <w:r>
        <w:rPr>
          <w:rFonts w:ascii="Times New Roman" w:hAnsi="Times New Roman"/>
          <w:i/>
          <w:noProof/>
          <w:sz w:val="24"/>
        </w:rPr>
        <w:t>Vajadus ajutise maabumiskorra järele ELis</w:t>
      </w:r>
    </w:p>
    <w:p w:rsidR="00F105EB" w:rsidRDefault="00A73D31">
      <w:pPr>
        <w:jc w:val="both"/>
        <w:rPr>
          <w:rFonts w:ascii="Times New Roman" w:hAnsi="Times New Roman"/>
          <w:noProof/>
          <w:color w:val="000000"/>
          <w:sz w:val="24"/>
        </w:rPr>
      </w:pPr>
      <w:r>
        <w:rPr>
          <w:rFonts w:ascii="Times New Roman" w:hAnsi="Times New Roman"/>
          <w:noProof/>
          <w:sz w:val="24"/>
        </w:rPr>
        <w:t>2018. aasta suvel esines mitu juhtumit, kui liikmesriigid ei suutnud kiiresti kokku leppida maabumises ja selle järelmeetmetes. Seetõttu kasutati piiratud ja ühekordseid lahendusi. 2019</w:t>
      </w:r>
      <w:r>
        <w:rPr>
          <w:rFonts w:ascii="Times New Roman" w:hAnsi="Times New Roman"/>
          <w:noProof/>
          <w:sz w:val="24"/>
        </w:rPr>
        <w:t xml:space="preserve">. aasta jaanuaris said vajadusest leida lahendus päästelaeva </w:t>
      </w:r>
      <w:r>
        <w:rPr>
          <w:rFonts w:ascii="Times New Roman" w:hAnsi="Times New Roman"/>
          <w:i/>
          <w:noProof/>
          <w:sz w:val="24"/>
        </w:rPr>
        <w:t>Sea-Watch 3</w:t>
      </w:r>
      <w:r>
        <w:rPr>
          <w:rFonts w:ascii="Times New Roman" w:hAnsi="Times New Roman"/>
          <w:noProof/>
          <w:sz w:val="24"/>
        </w:rPr>
        <w:t xml:space="preserve"> jaoks alguse mitme liikmesriigi, komisjoni ja asjaomaste asutuste püüdlused töötada välja koordineeritud kord. Kuigi juhtum puudutas ainult väheseid inimesi, andis see tunnistust valm</w:t>
      </w:r>
      <w:r>
        <w:rPr>
          <w:rFonts w:ascii="Times New Roman" w:hAnsi="Times New Roman"/>
          <w:noProof/>
          <w:sz w:val="24"/>
        </w:rPr>
        <w:t>isolekust luua solidaarsuse vaimus tulemuslikum koostööraamistik ning võib aidata töötada välja süstemaatilisema ja koordineerituma ELi lähenemisviisi, mis käsitleb maabumist, esmast vastuvõttu, registreerimist ja ümberpaigutamist ja mida kohaldatakse ajut</w:t>
      </w:r>
      <w:r>
        <w:rPr>
          <w:rFonts w:ascii="Times New Roman" w:hAnsi="Times New Roman"/>
          <w:noProof/>
          <w:sz w:val="24"/>
        </w:rPr>
        <w:t xml:space="preserve">ise korra alusel. </w:t>
      </w:r>
      <w:r>
        <w:rPr>
          <w:rFonts w:ascii="Times New Roman" w:hAnsi="Times New Roman"/>
          <w:noProof/>
          <w:color w:val="000000"/>
          <w:sz w:val="24"/>
        </w:rPr>
        <w:t>See võiks sisaldada läbipaistvat järkjärgulist töökava, millega tagatakse, et asjaomane liikmesriik saab komisjonilt, ELi asutuselt ja teistelt liikmesriikidelt vajaliku operatiivse ja tõhusa abi.</w:t>
      </w:r>
    </w:p>
    <w:p w:rsidR="00F105EB" w:rsidRDefault="00F105EB">
      <w:pPr>
        <w:jc w:val="both"/>
        <w:rPr>
          <w:rFonts w:ascii="Times New Roman" w:hAnsi="Times New Roman"/>
          <w:noProof/>
          <w:color w:val="000000"/>
          <w:sz w:val="24"/>
        </w:rPr>
      </w:pPr>
    </w:p>
    <w:p w:rsidR="00F105EB" w:rsidRDefault="00A73D31">
      <w:pPr>
        <w:jc w:val="both"/>
        <w:rPr>
          <w:rFonts w:ascii="Times New Roman" w:hAnsi="Times New Roman"/>
          <w:noProof/>
          <w:color w:val="000000" w:themeColor="text1"/>
          <w:sz w:val="24"/>
          <w:szCs w:val="24"/>
        </w:rPr>
      </w:pPr>
      <w:r>
        <w:rPr>
          <w:rFonts w:ascii="Times New Roman" w:hAnsi="Times New Roman"/>
          <w:noProof/>
          <w:sz w:val="24"/>
        </w:rPr>
        <w:t>Kuigi Euroopa ühise varjupaigasüsteemi õ</w:t>
      </w:r>
      <w:r>
        <w:rPr>
          <w:rFonts w:ascii="Times New Roman" w:hAnsi="Times New Roman"/>
          <w:noProof/>
          <w:sz w:val="24"/>
        </w:rPr>
        <w:t>igusliku reformi kiire lõpuleviimine on endiselt esmatähtis, toonitas komisjon juba 2018. aasta detsembris</w:t>
      </w:r>
      <w:r>
        <w:rPr>
          <w:rStyle w:val="FootnoteReference"/>
          <w:rFonts w:ascii="Times New Roman" w:hAnsi="Times New Roman"/>
          <w:noProof/>
          <w:sz w:val="24"/>
        </w:rPr>
        <w:footnoteReference w:id="26"/>
      </w:r>
      <w:r>
        <w:rPr>
          <w:rFonts w:ascii="Times New Roman" w:hAnsi="Times New Roman"/>
          <w:noProof/>
          <w:sz w:val="24"/>
        </w:rPr>
        <w:t xml:space="preserve"> seda, kui väärtuslik on selline ajutine kord viivitamatu koordineeritud lähenemisviisina, mis käsitleb maabumist ja muid olukordi, mis põhjustavad E</w:t>
      </w:r>
      <w:r>
        <w:rPr>
          <w:rFonts w:ascii="Times New Roman" w:hAnsi="Times New Roman"/>
          <w:noProof/>
          <w:sz w:val="24"/>
        </w:rPr>
        <w:t>Lis erakorralist survet.</w:t>
      </w:r>
      <w:r>
        <w:rPr>
          <w:rFonts w:ascii="Times New Roman" w:hAnsi="Times New Roman"/>
          <w:noProof/>
          <w:color w:val="000000" w:themeColor="text1"/>
          <w:sz w:val="24"/>
        </w:rPr>
        <w:t xml:space="preserve"> </w:t>
      </w:r>
      <w:r>
        <w:rPr>
          <w:rFonts w:ascii="Times New Roman" w:hAnsi="Times New Roman"/>
          <w:noProof/>
          <w:sz w:val="24"/>
        </w:rPr>
        <w:t>See kord tähendaks ühiste ja jagatud huvide vastastikuse mõistmise alusel solidaarsuse ja vastutuse rakendamist praktikas ning tegemist oleks seadusandliku reformi lõpuleviimiseni ja jõustumiseni kasutatava üleminekukorraga. Selles</w:t>
      </w:r>
      <w:r>
        <w:rPr>
          <w:rFonts w:ascii="Times New Roman" w:hAnsi="Times New Roman"/>
          <w:noProof/>
          <w:sz w:val="24"/>
        </w:rPr>
        <w:t>t tulenevalt oleks EL palju paremini kui seni valmis selleks, et olla solidaarne struktureeritud, tõhusal ja paindlikul viisil, tagades samal ajal teisese rände ja tõmbetegurite tulemusliku ennetamise. Selleks et lähenemisviis toimiks, peaks selles osalema</w:t>
      </w:r>
      <w:r>
        <w:rPr>
          <w:rFonts w:ascii="Times New Roman" w:hAnsi="Times New Roman"/>
          <w:noProof/>
          <w:sz w:val="24"/>
        </w:rPr>
        <w:t xml:space="preserve"> võimalikult paljud liikmesriigid. Ajutise korra peamised elemendid oleksid järgmised.</w:t>
      </w:r>
    </w:p>
    <w:p w:rsidR="00F105EB" w:rsidRDefault="00F105EB">
      <w:pPr>
        <w:ind w:left="426" w:hanging="426"/>
        <w:jc w:val="both"/>
        <w:rPr>
          <w:rFonts w:ascii="Times New Roman" w:hAnsi="Times New Roman"/>
          <w:noProof/>
          <w:sz w:val="24"/>
          <w:szCs w:val="24"/>
        </w:rPr>
      </w:pPr>
    </w:p>
    <w:p w:rsidR="00F105EB" w:rsidRDefault="00A73D31">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Kui üks liikmesriik on sattunud surve alla või kui pärast otsingut ja päästetöid on vaja kaasa aidata kiirele maabumisele, palub asjaomane liikmesriik abi. </w:t>
      </w:r>
    </w:p>
    <w:p w:rsidR="00F105EB" w:rsidRDefault="00A73D31">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Vastates abitaotlusele, tuleb kindlaks teha konkreetne toetus, mida liikmesriigid saavad anda solidaarsusmeetmete raames. Liikmesriikide solidaarsusmeetmed peavad olema tasakaalus toetust saava liikmesriigi asjakohaste meetmetega, mis võetakse saabujate ha</w:t>
      </w:r>
      <w:r>
        <w:rPr>
          <w:rFonts w:ascii="Times New Roman" w:hAnsi="Times New Roman"/>
          <w:noProof/>
          <w:sz w:val="24"/>
        </w:rPr>
        <w:t xml:space="preserve">ldamiseks, et täita oma kohustus. </w:t>
      </w:r>
    </w:p>
    <w:p w:rsidR="00F105EB" w:rsidRDefault="00A73D31">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Liikmesriikide abitaotluste järelmeetmete jaoks tuleb luua koordineerimisstruktuur, kuhu kuuluvad sidusrühmad, nagu komisjon ja ELi asutused. </w:t>
      </w:r>
    </w:p>
    <w:p w:rsidR="00F105EB" w:rsidRDefault="00A73D31">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ELi asutustel on piisavalt vahendeid vajaliku abi andmiseks sellistes valdkond</w:t>
      </w:r>
      <w:r>
        <w:rPr>
          <w:rFonts w:ascii="Times New Roman" w:hAnsi="Times New Roman"/>
          <w:noProof/>
          <w:sz w:val="24"/>
        </w:rPr>
        <w:t xml:space="preserve">ades nagu esmane vastuvõtt, registreerimine, ümberpaigutamine ja tagasisaatmine. </w:t>
      </w:r>
    </w:p>
    <w:p w:rsidR="00F105EB" w:rsidRDefault="00A73D31">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 xml:space="preserve">ELi eelarvest antav rahaline toetus tehakse kättesaadavaks liikmesriikidele, kes paigutavad rändajaid ümber vabatahtlikult, ja sellega toetatakse tagasisaatmisoperatsioone. </w:t>
      </w:r>
      <w:r>
        <w:rPr>
          <w:rFonts w:ascii="Times New Roman" w:hAnsi="Times New Roman"/>
          <w:noProof/>
          <w:sz w:val="24"/>
        </w:rPr>
        <w:t>Rahalist toetust antakse ka surve all olevatele liikmesriikidele.</w:t>
      </w:r>
    </w:p>
    <w:p w:rsidR="00F105EB" w:rsidRDefault="00F105EB">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F105EB">
        <w:tc>
          <w:tcPr>
            <w:tcW w:w="9286" w:type="dxa"/>
            <w:shd w:val="clear" w:color="auto" w:fill="1F497D" w:themeFill="text2"/>
          </w:tcPr>
          <w:p w:rsidR="00F105EB" w:rsidRDefault="00A73D31">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Viivitamata võetavad peamised meetmed</w:t>
            </w:r>
          </w:p>
        </w:tc>
      </w:tr>
      <w:tr w:rsidR="00F105EB">
        <w:tc>
          <w:tcPr>
            <w:tcW w:w="9286" w:type="dxa"/>
            <w:shd w:val="clear" w:color="auto" w:fill="C6D9F1" w:themeFill="text2" w:themeFillTint="33"/>
          </w:tcPr>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ELi ja Hispaania poolt </w:t>
            </w:r>
            <w:r>
              <w:rPr>
                <w:rFonts w:ascii="Times New Roman" w:eastAsiaTheme="minorHAnsi" w:hAnsi="Times New Roman"/>
                <w:b/>
                <w:i/>
                <w:noProof/>
                <w:color w:val="000000"/>
                <w:sz w:val="24"/>
              </w:rPr>
              <w:t>Marokole</w:t>
            </w:r>
            <w:r>
              <w:rPr>
                <w:rFonts w:ascii="Times New Roman" w:eastAsiaTheme="minorHAnsi" w:hAnsi="Times New Roman"/>
                <w:noProof/>
                <w:color w:val="000000"/>
                <w:sz w:val="24"/>
              </w:rPr>
              <w:t xml:space="preserve"> antav uus abi tuleks suunata Maroko rannikult saabuvate ebaseaduslike rändajate arvu vähendamisele ja selle tulemuseks</w:t>
            </w:r>
            <w:r>
              <w:rPr>
                <w:rFonts w:ascii="Times New Roman" w:eastAsiaTheme="minorHAnsi" w:hAnsi="Times New Roman"/>
                <w:noProof/>
                <w:color w:val="000000"/>
                <w:sz w:val="24"/>
              </w:rPr>
              <w:t xml:space="preserve"> peaks olema tihedam koostöö Maroko ja muude asjaomaste riikidega, et suurendada tervikliku lähenemisviisi raames ebaseaduslike rändajate tulemuslikku tagasivõtmist.</w:t>
            </w:r>
          </w:p>
          <w:p w:rsidR="00F105EB" w:rsidRDefault="00A73D31">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EL peaks tõhustama koostööd Aafrika Liidu, Euroopa Liidu ja ÜRO töökonna raames, et parand</w:t>
            </w:r>
            <w:r>
              <w:rPr>
                <w:rFonts w:ascii="Times New Roman" w:eastAsiaTheme="minorHAnsi" w:hAnsi="Times New Roman"/>
                <w:noProof/>
                <w:color w:val="000000"/>
                <w:sz w:val="24"/>
              </w:rPr>
              <w:t xml:space="preserve">ada </w:t>
            </w:r>
            <w:r>
              <w:rPr>
                <w:rFonts w:ascii="Times New Roman" w:eastAsiaTheme="minorHAnsi" w:hAnsi="Times New Roman"/>
                <w:b/>
                <w:i/>
                <w:noProof/>
                <w:color w:val="000000"/>
                <w:sz w:val="24"/>
              </w:rPr>
              <w:t>tingimusi Liibüas</w:t>
            </w:r>
            <w:r>
              <w:rPr>
                <w:rFonts w:ascii="Times New Roman" w:eastAsiaTheme="minorHAnsi" w:hAnsi="Times New Roman"/>
                <w:noProof/>
                <w:color w:val="000000"/>
                <w:sz w:val="24"/>
              </w:rPr>
              <w:t xml:space="preserve"> ja teha tööd kinnipidamiskeskuste praeguse süsteemi kaotamiseks ning rahvusvaheliste organisatsioonide juurdepääsu, rändajate vabatahtliku tagasipöördumise ja pagulaste evakueerimise takistuste kaotamiseks. </w:t>
            </w:r>
            <w:r>
              <w:rPr>
                <w:rFonts w:ascii="Times New Roman" w:hAnsi="Times New Roman"/>
                <w:noProof/>
                <w:sz w:val="24"/>
              </w:rPr>
              <w:t>Tuleks tagada kõikide maabu</w:t>
            </w:r>
            <w:r>
              <w:rPr>
                <w:rFonts w:ascii="Times New Roman" w:hAnsi="Times New Roman"/>
                <w:noProof/>
                <w:sz w:val="24"/>
              </w:rPr>
              <w:t xml:space="preserve">nud ja kinni peetud rändajate korrapärane ja koostalitlusvõimeline registreerimine. </w:t>
            </w:r>
          </w:p>
          <w:p w:rsidR="00F105EB" w:rsidRDefault="00A73D31">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Kreeka</w:t>
            </w:r>
            <w:r>
              <w:rPr>
                <w:rFonts w:ascii="Times New Roman" w:eastAsiaTheme="minorHAnsi" w:hAnsi="Times New Roman"/>
                <w:noProof/>
                <w:color w:val="000000"/>
                <w:sz w:val="24"/>
              </w:rPr>
              <w:t xml:space="preserve"> peaks viivitamata kehtestama tulemusliku ja jätkusuutliku riikliku strateegia, mis käsitleb rände haldamist, et kõrvaldada olemasolevad puudused, näiteks seoses tag</w:t>
            </w:r>
            <w:r>
              <w:rPr>
                <w:rFonts w:ascii="Times New Roman" w:eastAsiaTheme="minorHAnsi" w:hAnsi="Times New Roman"/>
                <w:noProof/>
                <w:color w:val="000000"/>
                <w:sz w:val="24"/>
              </w:rPr>
              <w:t xml:space="preserve">asisaatmise ja saatjata alaealistega, kasutades parimal võimalikul viisil ära ELi pakutud märkimisväärset toetust. </w:t>
            </w:r>
          </w:p>
          <w:p w:rsidR="00F105EB" w:rsidRDefault="00A73D31">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Tuleks kehtestada </w:t>
            </w:r>
            <w:r>
              <w:rPr>
                <w:rFonts w:ascii="Times New Roman" w:eastAsiaTheme="minorHAnsi" w:hAnsi="Times New Roman"/>
                <w:b/>
                <w:i/>
                <w:noProof/>
                <w:sz w:val="24"/>
              </w:rPr>
              <w:t>ajutine maabumiskord</w:t>
            </w:r>
            <w:r>
              <w:rPr>
                <w:rFonts w:ascii="Times New Roman" w:eastAsiaTheme="minorHAnsi" w:hAnsi="Times New Roman"/>
                <w:noProof/>
                <w:sz w:val="24"/>
              </w:rPr>
              <w:t>, milles peaks solidaarsusmeetmete kaudu olema valmis osalema piisav hulk liikmesriike.</w:t>
            </w:r>
          </w:p>
        </w:tc>
      </w:tr>
    </w:tbl>
    <w:p w:rsidR="00F105EB" w:rsidRDefault="00F105EB">
      <w:pPr>
        <w:jc w:val="both"/>
        <w:rPr>
          <w:rFonts w:ascii="Times New Roman" w:hAnsi="Times New Roman"/>
          <w:b/>
          <w:noProof/>
          <w:color w:val="000000"/>
          <w:sz w:val="24"/>
        </w:rPr>
      </w:pPr>
    </w:p>
    <w:p w:rsidR="00F105EB" w:rsidRDefault="00F105EB">
      <w:pPr>
        <w:jc w:val="both"/>
        <w:rPr>
          <w:rFonts w:ascii="Times New Roman" w:hAnsi="Times New Roman"/>
          <w:b/>
          <w:noProof/>
          <w:color w:val="000000"/>
          <w:sz w:val="24"/>
          <w:szCs w:val="24"/>
        </w:rPr>
      </w:pPr>
    </w:p>
    <w:p w:rsidR="00F105EB" w:rsidRDefault="00A73D31">
      <w:pPr>
        <w:pStyle w:val="ListParagraph"/>
        <w:numPr>
          <w:ilvl w:val="0"/>
          <w:numId w:val="2"/>
        </w:numPr>
        <w:jc w:val="both"/>
        <w:rPr>
          <w:rFonts w:ascii="Times New Roman" w:hAnsi="Times New Roman"/>
          <w:b/>
          <w:noProof/>
          <w:sz w:val="24"/>
          <w:szCs w:val="24"/>
        </w:rPr>
      </w:pPr>
      <w:r>
        <w:rPr>
          <w:rFonts w:ascii="Times New Roman" w:hAnsi="Times New Roman"/>
          <w:b/>
          <w:noProof/>
          <w:sz w:val="24"/>
        </w:rPr>
        <w:t xml:space="preserve">RÄNDE </w:t>
      </w:r>
      <w:r>
        <w:rPr>
          <w:rFonts w:ascii="Times New Roman" w:hAnsi="Times New Roman"/>
          <w:b/>
          <w:noProof/>
          <w:sz w:val="24"/>
        </w:rPr>
        <w:t>HALDAMISE NELI TEGEVUSSUUNDA</w:t>
      </w:r>
    </w:p>
    <w:p w:rsidR="00F105EB" w:rsidRDefault="00F105EB">
      <w:pPr>
        <w:pStyle w:val="ListParagraph"/>
        <w:jc w:val="both"/>
        <w:rPr>
          <w:rFonts w:ascii="Times New Roman" w:hAnsi="Times New Roman"/>
          <w:b/>
          <w:noProof/>
          <w:sz w:val="24"/>
          <w:szCs w:val="24"/>
        </w:rPr>
      </w:pPr>
    </w:p>
    <w:p w:rsidR="00F105EB" w:rsidRDefault="00A73D31">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Ebaseadusliku rände põhjuste kõrvaldamine: koostöö partneritega</w:t>
      </w:r>
    </w:p>
    <w:p w:rsidR="00F105EB" w:rsidRDefault="00F105EB">
      <w:pPr>
        <w:jc w:val="both"/>
        <w:rPr>
          <w:rFonts w:ascii="Times New Roman" w:hAnsi="Times New Roman"/>
          <w:noProof/>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Pärast rändealase partnerlusraamistiku vastuvõtmist on ränne ELi välissuhetes kesksel kohal. Üleilmsed partnerlused ja pikaajaline koostöö on rände kõikide aspek</w:t>
      </w:r>
      <w:r>
        <w:rPr>
          <w:rFonts w:ascii="Times New Roman" w:hAnsi="Times New Roman"/>
          <w:noProof/>
          <w:color w:val="000000"/>
          <w:sz w:val="24"/>
        </w:rPr>
        <w:t>tide haldamisel määrava tähtsusega</w:t>
      </w:r>
      <w:r>
        <w:rPr>
          <w:rStyle w:val="FootnoteReference"/>
          <w:rFonts w:ascii="Times New Roman" w:hAnsi="Times New Roman"/>
          <w:noProof/>
          <w:color w:val="000000"/>
          <w:sz w:val="24"/>
        </w:rPr>
        <w:footnoteReference w:id="27"/>
      </w:r>
      <w:r>
        <w:rPr>
          <w:rFonts w:ascii="Times New Roman" w:hAnsi="Times New Roman"/>
          <w:noProof/>
          <w:color w:val="000000"/>
          <w:sz w:val="24"/>
        </w:rPr>
        <w:t>. Rändel on kindel koht suhetes partnerriikidega. Selleks et koostööd partneritega veelgi süvendada, on kahepoolsetel, piirkondlikel ja mitmepoolsetel foorumitel kesksel kohal terviklik ja ühtne lähenemisviis, mis põhineb</w:t>
      </w:r>
      <w:r>
        <w:rPr>
          <w:rFonts w:ascii="Times New Roman" w:hAnsi="Times New Roman"/>
          <w:noProof/>
          <w:color w:val="000000"/>
          <w:sz w:val="24"/>
        </w:rPr>
        <w:t xml:space="preserve"> mitmepoolsusel.</w:t>
      </w:r>
    </w:p>
    <w:p w:rsidR="00F105EB" w:rsidRDefault="00F105EB">
      <w:pPr>
        <w:jc w:val="both"/>
        <w:rPr>
          <w:rFonts w:ascii="Times New Roman" w:hAnsi="Times New Roman"/>
          <w:noProof/>
          <w:color w:val="000000"/>
          <w:sz w:val="24"/>
          <w:szCs w:val="24"/>
        </w:rPr>
      </w:pPr>
    </w:p>
    <w:p w:rsidR="00F105EB" w:rsidRDefault="00A73D31">
      <w:pPr>
        <w:keepNext/>
        <w:spacing w:after="120"/>
        <w:jc w:val="both"/>
        <w:rPr>
          <w:rFonts w:ascii="Times New Roman" w:hAnsi="Times New Roman"/>
          <w:i/>
          <w:noProof/>
          <w:color w:val="000000"/>
          <w:sz w:val="24"/>
          <w:szCs w:val="24"/>
        </w:rPr>
      </w:pPr>
      <w:r>
        <w:rPr>
          <w:rFonts w:ascii="Times New Roman" w:hAnsi="Times New Roman"/>
          <w:i/>
          <w:noProof/>
          <w:color w:val="000000"/>
          <w:sz w:val="24"/>
        </w:rPr>
        <w:t>Rände algpõhjustega tegelemine</w:t>
      </w: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Aafrika jaoks mõeldud ELi usaldusfond on näidanud oma lisaväärtust kiire ja tõhusa tulemuste saavutamise vahendina, mis hõlbustab partnerriikidega peetavat poliitilist dialoogi, rakendab uuenduslikke </w:t>
      </w:r>
      <w:r>
        <w:rPr>
          <w:rFonts w:ascii="Times New Roman" w:hAnsi="Times New Roman"/>
          <w:noProof/>
          <w:color w:val="000000"/>
          <w:sz w:val="24"/>
        </w:rPr>
        <w:t xml:space="preserve">lahendusi ja annab konkreetseid tulemusi tänu erinevate sidusrühmade, eelkõige ELi liikmesriikide rahaliste vahendite ja oskusteabe koondamisele. Alates usaldusfondi tegevuse algusest 2016. aastal on vahendeid kogunenud enam kui 4,2 miljardi euro ulatuses </w:t>
      </w:r>
      <w:r>
        <w:rPr>
          <w:rFonts w:ascii="Times New Roman" w:hAnsi="Times New Roman"/>
          <w:noProof/>
          <w:color w:val="000000"/>
          <w:sz w:val="24"/>
        </w:rPr>
        <w:t>ja kokkuleppele on jõutud üle 188 programmi elluviimises</w:t>
      </w:r>
      <w:r>
        <w:rPr>
          <w:rStyle w:val="FootnoteReference"/>
          <w:rFonts w:ascii="Times New Roman" w:hAnsi="Times New Roman"/>
          <w:noProof/>
          <w:color w:val="000000"/>
          <w:sz w:val="24"/>
        </w:rPr>
        <w:footnoteReference w:id="28"/>
      </w:r>
      <w:r>
        <w:rPr>
          <w:rFonts w:ascii="Times New Roman" w:hAnsi="Times New Roman"/>
          <w:noProof/>
          <w:color w:val="000000"/>
          <w:sz w:val="24"/>
        </w:rPr>
        <w:t>. Saavutatud edu ei tohi käest lasta. Ilma liikmesriikide täiendava panuseta ei suuda ELi usaldusfond siiski uusi algatusi rahastada või anda lisatoetust sellistele väärtuslikele programmidele, mille</w:t>
      </w:r>
      <w:r>
        <w:rPr>
          <w:rFonts w:ascii="Times New Roman" w:hAnsi="Times New Roman"/>
          <w:noProof/>
          <w:color w:val="000000"/>
          <w:sz w:val="24"/>
        </w:rPr>
        <w:t xml:space="preserve"> tulemused on juba näha. Nii Põhja-Aafrika haru kui ka Saheli ja Tšaadi järve piirkonna haru puhul on 2019. aastaks juba tekkinud rahastamispuudujääk. Samuti on oluline, et usaldusfondi praegune paindlikkus ja reageerimisvõime on kesksel kohal ka järgmise </w:t>
      </w:r>
      <w:r>
        <w:rPr>
          <w:rFonts w:ascii="Times New Roman" w:hAnsi="Times New Roman"/>
          <w:noProof/>
          <w:color w:val="000000"/>
          <w:sz w:val="24"/>
        </w:rPr>
        <w:t>mitmeaastase finantsraamistiku raames ning tagatakse tegevuse jätkuvus.</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i/>
          <w:noProof/>
          <w:sz w:val="24"/>
          <w:szCs w:val="24"/>
        </w:rPr>
      </w:pPr>
      <w:r>
        <w:rPr>
          <w:rFonts w:ascii="Times New Roman" w:hAnsi="Times New Roman"/>
          <w:noProof/>
          <w:sz w:val="24"/>
        </w:rPr>
        <w:t>Lisatoetust inimeste toimetulekule ja majandusele Sahara-taguses Aafrikas ja ELi naabruses asuvates riikides antakse välisinvesteeringute kava alusel. 28 heakskiidetud garantiiprogram</w:t>
      </w:r>
      <w:r>
        <w:rPr>
          <w:rFonts w:ascii="Times New Roman" w:hAnsi="Times New Roman"/>
          <w:noProof/>
          <w:sz w:val="24"/>
        </w:rPr>
        <w:t>mile eraldatud 1,54 miljardit eurot peaksid aitama kaasata kuni 17,5 miljardit eurot investeeringuid sellistes valdkondades nagu mikro-, väikeste ja keskmise suurusega ettevõtjate juurdepääs rahastamisele, energeetika ja ühenduvus, linnad, põllumajandus ja</w:t>
      </w:r>
      <w:r>
        <w:rPr>
          <w:rFonts w:ascii="Times New Roman" w:hAnsi="Times New Roman"/>
          <w:noProof/>
          <w:sz w:val="24"/>
        </w:rPr>
        <w:t xml:space="preserve"> digivaldkond (sealhulgas e-tervis)</w:t>
      </w:r>
      <w:r>
        <w:rPr>
          <w:rStyle w:val="FootnoteReference"/>
          <w:rFonts w:ascii="Times New Roman" w:hAnsi="Times New Roman"/>
          <w:noProof/>
          <w:sz w:val="24"/>
        </w:rPr>
        <w:footnoteReference w:id="29"/>
      </w:r>
      <w:r>
        <w:rPr>
          <w:rFonts w:ascii="Times New Roman" w:hAnsi="Times New Roman"/>
          <w:noProof/>
          <w:sz w:val="24"/>
        </w:rPr>
        <w:t>. Kui lisada siia 94 heaks kiidetud segarahastamisprojekti, mille jaoks on ette nähtud 2,2 miljardit eurot ja mis peaksid aitama kaasata 19,5 miljardit eurot, on eeldatavate investeeringute kogusumma ligikaudu 37 miljard</w:t>
      </w:r>
      <w:r>
        <w:rPr>
          <w:rFonts w:ascii="Times New Roman" w:hAnsi="Times New Roman"/>
          <w:noProof/>
          <w:sz w:val="24"/>
        </w:rPr>
        <w:t>it eurot. Niisiis on välisinvesteeringute kaval head eeldused saavutada prognoositud 44 miljardi euro kaasamine, mis aitaks märkimisväärselt elavdada majanduse dünaamikat.</w:t>
      </w:r>
    </w:p>
    <w:p w:rsidR="00F105EB" w:rsidRDefault="00F105EB">
      <w:pPr>
        <w:jc w:val="both"/>
        <w:rPr>
          <w:rFonts w:ascii="Times New Roman" w:hAnsi="Times New Roman"/>
          <w:noProof/>
          <w:color w:val="000000"/>
          <w:sz w:val="24"/>
          <w:szCs w:val="24"/>
        </w:rPr>
      </w:pPr>
    </w:p>
    <w:p w:rsidR="00F105EB" w:rsidRDefault="00A73D31">
      <w:pPr>
        <w:keepNext/>
        <w:spacing w:after="120"/>
        <w:jc w:val="both"/>
        <w:rPr>
          <w:rFonts w:ascii="Times New Roman" w:hAnsi="Times New Roman"/>
          <w:i/>
          <w:noProof/>
          <w:color w:val="000000"/>
          <w:sz w:val="24"/>
          <w:szCs w:val="24"/>
        </w:rPr>
      </w:pPr>
      <w:r>
        <w:rPr>
          <w:rFonts w:ascii="Times New Roman" w:hAnsi="Times New Roman"/>
          <w:i/>
          <w:noProof/>
          <w:color w:val="000000"/>
          <w:sz w:val="24"/>
        </w:rPr>
        <w:t>Võitlus inimeste ebaseadusliku üle piiri toimetamisega tegelevate võrgustikega</w:t>
      </w:r>
    </w:p>
    <w:p w:rsidR="00F105EB" w:rsidRDefault="00A73D31">
      <w:pPr>
        <w:jc w:val="both"/>
        <w:rPr>
          <w:rFonts w:ascii="Times New Roman" w:hAnsi="Times New Roman"/>
          <w:noProof/>
          <w:sz w:val="24"/>
          <w:szCs w:val="24"/>
        </w:rPr>
      </w:pPr>
      <w:r>
        <w:rPr>
          <w:rFonts w:ascii="Times New Roman" w:hAnsi="Times New Roman"/>
          <w:noProof/>
          <w:sz w:val="24"/>
        </w:rPr>
        <w:t xml:space="preserve">Nii </w:t>
      </w:r>
      <w:r>
        <w:rPr>
          <w:rFonts w:ascii="Times New Roman" w:hAnsi="Times New Roman"/>
          <w:noProof/>
          <w:sz w:val="24"/>
        </w:rPr>
        <w:t>ELis kui ka sellest väljaspool tuleb otsustavalt ja pidevalt tegutseda, et kahjustada inimsmugeldajate ärimudelit ja hävitada kuritegelikke võrgustikke. Seda kordas Euroopa Ülemkogu 2018. aasta oktoobris ja selle tulemusel võeti 2018. aasta detsembris vast</w:t>
      </w:r>
      <w:r>
        <w:rPr>
          <w:rFonts w:ascii="Times New Roman" w:hAnsi="Times New Roman"/>
          <w:noProof/>
          <w:sz w:val="24"/>
        </w:rPr>
        <w:t>u operatiivmeetmed,</w:t>
      </w:r>
      <w:r>
        <w:rPr>
          <w:rStyle w:val="FootnoteReference"/>
          <w:rFonts w:ascii="Times New Roman" w:hAnsi="Times New Roman"/>
          <w:noProof/>
          <w:sz w:val="24"/>
        </w:rPr>
        <w:footnoteReference w:id="30"/>
      </w:r>
      <w:r>
        <w:rPr>
          <w:rFonts w:ascii="Times New Roman" w:hAnsi="Times New Roman"/>
          <w:noProof/>
          <w:sz w:val="24"/>
        </w:rPr>
        <w:t xml:space="preserve"> et parandada õiguskaitsealast koostööd ja täiendada ELi tegevuskava rändajate ebaseadusliku üle piiri toimetamise tõkestamiseks</w:t>
      </w:r>
      <w:r>
        <w:rPr>
          <w:rStyle w:val="FootnoteReference"/>
          <w:rFonts w:ascii="Times New Roman" w:hAnsi="Times New Roman"/>
          <w:noProof/>
          <w:sz w:val="24"/>
        </w:rPr>
        <w:footnoteReference w:id="31"/>
      </w:r>
      <w:r>
        <w:rPr>
          <w:rFonts w:ascii="Times New Roman" w:hAnsi="Times New Roman"/>
          <w:noProof/>
          <w:sz w:val="24"/>
        </w:rPr>
        <w:t>.</w:t>
      </w:r>
    </w:p>
    <w:p w:rsidR="00F105EB" w:rsidRDefault="00F105EB">
      <w:pPr>
        <w:jc w:val="both"/>
        <w:rPr>
          <w:rFonts w:ascii="Times New Roman" w:hAnsi="Times New Roman"/>
          <w:noProof/>
          <w:sz w:val="24"/>
          <w:szCs w:val="24"/>
        </w:rPr>
      </w:pPr>
    </w:p>
    <w:p w:rsidR="00F105EB" w:rsidRDefault="00A73D31">
      <w:pPr>
        <w:jc w:val="both"/>
        <w:rPr>
          <w:rFonts w:ascii="Times New Roman" w:hAnsi="Times New Roman"/>
          <w:noProof/>
          <w:sz w:val="24"/>
        </w:rPr>
      </w:pPr>
      <w:r>
        <w:rPr>
          <w:rFonts w:ascii="Times New Roman" w:hAnsi="Times New Roman"/>
          <w:noProof/>
          <w:sz w:val="24"/>
        </w:rPr>
        <w:t>Võitlusel inimeste ebaseadusliku üle piiri toimetamisega tegelevate võrgustikega on oluline osa ELi koos</w:t>
      </w:r>
      <w:r>
        <w:rPr>
          <w:rFonts w:ascii="Times New Roman" w:hAnsi="Times New Roman"/>
          <w:noProof/>
          <w:sz w:val="24"/>
        </w:rPr>
        <w:t xml:space="preserve">töös kolmandatest riikidest partneritega. </w:t>
      </w:r>
      <w:r>
        <w:rPr>
          <w:rFonts w:ascii="Times New Roman" w:hAnsi="Times New Roman"/>
          <w:noProof/>
          <w:color w:val="000000"/>
          <w:sz w:val="24"/>
        </w:rPr>
        <w:t xml:space="preserve">Usaldusfondi raames hakatakse rakendama uut operatiivpartnerlust, mille eesotsas on Prantsusmaa koos Senegaliga. Nigeris on Nigeri, Prantsuse ja Hispaania ametiasutuste töötajatest koosnevate ühiste uurimisrühmade </w:t>
      </w:r>
      <w:r>
        <w:rPr>
          <w:rFonts w:ascii="Times New Roman" w:hAnsi="Times New Roman"/>
          <w:noProof/>
          <w:color w:val="000000"/>
          <w:sz w:val="24"/>
        </w:rPr>
        <w:t xml:space="preserve">töö viinud rohkem kui 200 süüdistuse esitamiseni. Selle tegevuse ulatust tuleb laiendada, keskendudes nüüd Liibüa lõunapiirile, Nigeri ja Alžeeria piirile ning Nigeri ja Nigeeria piirile. </w:t>
      </w:r>
      <w:r>
        <w:rPr>
          <w:rFonts w:ascii="Times New Roman" w:hAnsi="Times New Roman"/>
          <w:noProof/>
          <w:sz w:val="24"/>
        </w:rPr>
        <w:t>Lisaks sellele on sel aastal Côte d’Ivoire’is, Nigeris, Tuneesias, M</w:t>
      </w:r>
      <w:r>
        <w:rPr>
          <w:rFonts w:ascii="Times New Roman" w:hAnsi="Times New Roman"/>
          <w:noProof/>
          <w:sz w:val="24"/>
        </w:rPr>
        <w:t>alis, Guineas ja Gambias käivitatud kuus ebaseadusliku rände ohtudest teavitamise ja teadlikkuse suurendamise kampaaniat</w:t>
      </w:r>
      <w:r>
        <w:rPr>
          <w:rStyle w:val="FootnoteReference"/>
          <w:rFonts w:ascii="Times New Roman" w:hAnsi="Times New Roman"/>
          <w:noProof/>
          <w:sz w:val="24"/>
        </w:rPr>
        <w:footnoteReference w:id="32"/>
      </w:r>
      <w:r>
        <w:rPr>
          <w:rFonts w:ascii="Times New Roman" w:hAnsi="Times New Roman"/>
          <w:noProof/>
          <w:sz w:val="24"/>
        </w:rPr>
        <w:t>.</w:t>
      </w:r>
    </w:p>
    <w:p w:rsidR="00F105EB" w:rsidRDefault="00F105EB">
      <w:pPr>
        <w:ind w:left="-51"/>
        <w:jc w:val="both"/>
        <w:rPr>
          <w:rFonts w:ascii="Times New Roman" w:hAnsi="Times New Roman"/>
          <w:noProof/>
          <w:color w:val="000000"/>
          <w:sz w:val="24"/>
          <w:szCs w:val="24"/>
        </w:rPr>
      </w:pPr>
    </w:p>
    <w:p w:rsidR="00F105EB" w:rsidRDefault="00A73D31">
      <w:pPr>
        <w:ind w:left="-51"/>
        <w:jc w:val="both"/>
        <w:rPr>
          <w:rFonts w:ascii="Times New Roman" w:hAnsi="Times New Roman"/>
          <w:noProof/>
          <w:sz w:val="24"/>
          <w:szCs w:val="24"/>
        </w:rPr>
      </w:pPr>
      <w:r>
        <w:rPr>
          <w:rFonts w:ascii="Times New Roman" w:hAnsi="Times New Roman"/>
          <w:noProof/>
          <w:color w:val="000000"/>
          <w:sz w:val="24"/>
        </w:rPr>
        <w:t>Inimeste ebaseadusliku üle piiri toimetamisega tegelevate võrgustike vastast tööd toetab üha ulatuslikum taristu. Europoli juures as</w:t>
      </w:r>
      <w:r>
        <w:rPr>
          <w:rFonts w:ascii="Times New Roman" w:hAnsi="Times New Roman"/>
          <w:noProof/>
          <w:color w:val="000000"/>
          <w:sz w:val="24"/>
        </w:rPr>
        <w:t>uv rändajate ebaseadusliku üle piiri toimetamise vastane Euroopa infokeskus (</w:t>
      </w:r>
      <w:r>
        <w:rPr>
          <w:rFonts w:ascii="Times New Roman" w:hAnsi="Times New Roman"/>
          <w:i/>
          <w:noProof/>
          <w:color w:val="000000"/>
          <w:sz w:val="24"/>
        </w:rPr>
        <w:t>Information Clearing House</w:t>
      </w:r>
      <w:r>
        <w:rPr>
          <w:rFonts w:ascii="Times New Roman" w:hAnsi="Times New Roman"/>
          <w:noProof/>
          <w:color w:val="000000"/>
          <w:sz w:val="24"/>
        </w:rPr>
        <w:t>) parandab Europoli teabepilti ja toetab õiguskaitse tagamist. EUNAVFOR MED Sophia kuritegevusalase teabe üksus on katseprojekt, mis võimaldab teabevahet</w:t>
      </w:r>
      <w:r>
        <w:rPr>
          <w:rFonts w:ascii="Times New Roman" w:hAnsi="Times New Roman"/>
          <w:noProof/>
          <w:color w:val="000000"/>
          <w:sz w:val="24"/>
        </w:rPr>
        <w:t>ust tsiviilvaldkonna ja sõjaliste osalejate vahel. Ühise julgeoleku- ja kaitsepoliitika operatsioonid Saheli piirkonnas on üha sagedamini üksteisega seotud, et nende mõju oleks piirkondlik. Komisjoni poolt 12 peamisesse partnerriiki lähetatud Euroopa rände</w:t>
      </w:r>
      <w:r>
        <w:rPr>
          <w:rFonts w:ascii="Times New Roman" w:hAnsi="Times New Roman"/>
          <w:noProof/>
          <w:color w:val="000000"/>
          <w:sz w:val="24"/>
        </w:rPr>
        <w:t>küsimuste kontaktametnikud on peamisteks suhtluskanaliteks</w:t>
      </w:r>
      <w:r>
        <w:rPr>
          <w:rStyle w:val="FootnoteReference"/>
          <w:rFonts w:ascii="Times New Roman" w:hAnsi="Times New Roman"/>
          <w:noProof/>
          <w:color w:val="000000"/>
          <w:sz w:val="24"/>
        </w:rPr>
        <w:footnoteReference w:id="33"/>
      </w:r>
      <w:r>
        <w:rPr>
          <w:rFonts w:ascii="Times New Roman" w:hAnsi="Times New Roman"/>
          <w:noProof/>
          <w:color w:val="000000"/>
          <w:sz w:val="24"/>
        </w:rPr>
        <w:t>. Euroopa Parlamendi ja nõukogu vahel komisjoni hiljutise ettepaneku</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kohta saavutatud poliitiline kokkulepe tugevdab veelgi liikmesriikide, komisjoni ja ELi asutuste hallatavate rände kontaktametn</w:t>
      </w:r>
      <w:r>
        <w:rPr>
          <w:rFonts w:ascii="Times New Roman" w:hAnsi="Times New Roman"/>
          <w:noProof/>
          <w:color w:val="000000"/>
          <w:sz w:val="24"/>
        </w:rPr>
        <w:t>ike võrgustike tegevuse koordineerimist.</w:t>
      </w:r>
    </w:p>
    <w:p w:rsidR="00F105EB" w:rsidRDefault="00F105EB">
      <w:pPr>
        <w:ind w:left="-51"/>
        <w:jc w:val="both"/>
        <w:rPr>
          <w:rFonts w:ascii="Times New Roman" w:hAnsi="Times New Roman"/>
          <w:noProof/>
          <w:sz w:val="24"/>
          <w:szCs w:val="24"/>
        </w:rPr>
      </w:pPr>
    </w:p>
    <w:p w:rsidR="00F105EB" w:rsidRDefault="00A73D31">
      <w:pPr>
        <w:ind w:left="-51"/>
        <w:jc w:val="both"/>
        <w:rPr>
          <w:rFonts w:ascii="Times New Roman" w:hAnsi="Times New Roman"/>
          <w:noProof/>
          <w:sz w:val="24"/>
          <w:szCs w:val="24"/>
        </w:rPr>
      </w:pPr>
      <w:r>
        <w:rPr>
          <w:rFonts w:ascii="Times New Roman" w:hAnsi="Times New Roman"/>
          <w:noProof/>
          <w:sz w:val="24"/>
        </w:rPr>
        <w:t>ELi liikmesriikides toetatakse operatiivkoostööd ühismeetmete päevade kaudu, kuhu on kaasatud liikmesriigid, kolmandad riigid, ELi asutused ja välispartnerid</w:t>
      </w:r>
      <w:r>
        <w:rPr>
          <w:rStyle w:val="FootnoteReference"/>
          <w:rFonts w:ascii="Times New Roman" w:hAnsi="Times New Roman"/>
          <w:noProof/>
          <w:sz w:val="24"/>
        </w:rPr>
        <w:footnoteReference w:id="35"/>
      </w:r>
      <w:r>
        <w:rPr>
          <w:rFonts w:ascii="Times New Roman" w:hAnsi="Times New Roman"/>
          <w:noProof/>
          <w:sz w:val="24"/>
        </w:rPr>
        <w:t xml:space="preserve">. 2018. aastal toetas Europoli juures asuv </w:t>
      </w:r>
      <w:r>
        <w:rPr>
          <w:rFonts w:ascii="Times New Roman" w:hAnsi="Times New Roman"/>
          <w:noProof/>
          <w:sz w:val="24"/>
        </w:rPr>
        <w:t>sisserändajate ebaseadusliku üle piiri toimetamise vastane Euroopa keskus ühismeetmete päevade korraldamist 39 korral. Nende tulemusel arreteeriti 607 inimest ja algatati 101 esmatähtsat kriminaalasja. Teabevahetus on ka edaspidi kesksel kohal: Eurostat vi</w:t>
      </w:r>
      <w:r>
        <w:rPr>
          <w:rFonts w:ascii="Times New Roman" w:hAnsi="Times New Roman"/>
          <w:noProof/>
          <w:sz w:val="24"/>
        </w:rPr>
        <w:t>ib ellu katseprojekti, mis käsitleb kriminaalõigusstatistika kogumist rändajate salaja üle piiri toimetamise kohta, võimaldades seeläbi analüüsida suundumusi ja neile reageerida.</w:t>
      </w:r>
    </w:p>
    <w:p w:rsidR="00F105EB" w:rsidRDefault="00F105EB">
      <w:pPr>
        <w:jc w:val="both"/>
        <w:rPr>
          <w:rFonts w:ascii="Times New Roman" w:hAnsi="Times New Roman"/>
          <w:noProof/>
          <w:color w:val="000000"/>
          <w:sz w:val="24"/>
          <w:szCs w:val="24"/>
        </w:rPr>
      </w:pPr>
    </w:p>
    <w:p w:rsidR="00F105EB" w:rsidRDefault="00A73D31">
      <w:pPr>
        <w:keepNext/>
        <w:spacing w:after="120"/>
        <w:jc w:val="both"/>
        <w:rPr>
          <w:rFonts w:ascii="Times New Roman" w:hAnsi="Times New Roman"/>
          <w:i/>
          <w:noProof/>
          <w:color w:val="000000"/>
          <w:sz w:val="24"/>
          <w:szCs w:val="24"/>
        </w:rPr>
      </w:pPr>
      <w:r>
        <w:rPr>
          <w:rFonts w:ascii="Times New Roman" w:hAnsi="Times New Roman"/>
          <w:i/>
          <w:noProof/>
          <w:color w:val="000000"/>
          <w:sz w:val="24"/>
        </w:rPr>
        <w:t>Tagasisaatmine ja tagasivõtmine</w:t>
      </w: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Madala EList tagasisaatmise määra probleemi </w:t>
      </w:r>
      <w:r>
        <w:rPr>
          <w:rFonts w:ascii="Times New Roman" w:hAnsi="Times New Roman"/>
          <w:noProof/>
          <w:color w:val="000000"/>
          <w:sz w:val="24"/>
        </w:rPr>
        <w:t>lahendamine peab ka edaspidi olema peamine eesmärk. See on rände haldamise ahela hädavajalik lüli. Madal tagasisaatmise määr vähendab süsteemi usaldatavust avalikkuse silmis ning suurendab ebaseadusliku rände ja teisese rände stiimuleid. See nõuab meetmete</w:t>
      </w:r>
      <w:r>
        <w:rPr>
          <w:rFonts w:ascii="Times New Roman" w:hAnsi="Times New Roman"/>
          <w:noProof/>
          <w:color w:val="000000"/>
          <w:sz w:val="24"/>
        </w:rPr>
        <w:t xml:space="preserve"> võtmist ELis, aga ka koostööd kolmandate riikidega. Liikmesriigid peaksid astuma viivitamata samme selleks, et parandada oma siseriiklikke tagasisaatmismenetlusi, et tagada rahvusvahelist kaitset mittevajavate inimeste humaanne ja kiire tagasisaatmine teg</w:t>
      </w:r>
      <w:r>
        <w:rPr>
          <w:rFonts w:ascii="Times New Roman" w:hAnsi="Times New Roman"/>
          <w:noProof/>
          <w:color w:val="000000"/>
          <w:sz w:val="24"/>
        </w:rPr>
        <w:t>evuskava ja komisjoni 2017. aasta konkreetsete soovituste põhjal</w:t>
      </w:r>
      <w:r>
        <w:rPr>
          <w:rStyle w:val="FootnoteReference"/>
          <w:rFonts w:ascii="Times New Roman" w:hAnsi="Times New Roman"/>
          <w:noProof/>
          <w:color w:val="000000"/>
          <w:sz w:val="24"/>
        </w:rPr>
        <w:footnoteReference w:id="36"/>
      </w:r>
      <w:r>
        <w:rPr>
          <w:rFonts w:ascii="Times New Roman" w:hAnsi="Times New Roman"/>
          <w:noProof/>
          <w:color w:val="000000"/>
          <w:sz w:val="24"/>
        </w:rPr>
        <w:t>. Need näitasid, kuidas ELi olemasolevaid õiguslikke, operatiivseid ja rahalisi vahendeid saaks paremini kasutada koos kiiremate menetluste, karmimate kõrvalehoidumisvastaste meetmete, liikme</w:t>
      </w:r>
      <w:r>
        <w:rPr>
          <w:rFonts w:ascii="Times New Roman" w:hAnsi="Times New Roman"/>
          <w:noProof/>
          <w:color w:val="000000"/>
          <w:sz w:val="24"/>
        </w:rPr>
        <w:t>sriikide ametiasutuste valdkonnaülese lähenemise ning liikmesriikidevahelise parema koostöö ja koordineerimisega.</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Neid viivitamata võetavaid liikmesriikide meetmeid peaksid toetama ELi lisameetmed. Hiljuti vastu võetud Schengeni infosüsteemi reformid suur</w:t>
      </w:r>
      <w:r>
        <w:rPr>
          <w:rFonts w:ascii="Times New Roman" w:hAnsi="Times New Roman"/>
          <w:noProof/>
          <w:color w:val="000000"/>
          <w:sz w:val="24"/>
        </w:rPr>
        <w:t>endavad märkimisväärselt liikmesriikide suutlikkust täita tagasisaatmisotsuseid ja sisenemiskeelde</w:t>
      </w:r>
      <w:r>
        <w:rPr>
          <w:rStyle w:val="FootnoteReference"/>
          <w:rFonts w:ascii="Times New Roman" w:hAnsi="Times New Roman"/>
          <w:noProof/>
          <w:color w:val="000000"/>
          <w:sz w:val="24"/>
        </w:rPr>
        <w:footnoteReference w:id="37"/>
      </w:r>
      <w:r>
        <w:rPr>
          <w:rFonts w:ascii="Times New Roman" w:hAnsi="Times New Roman"/>
          <w:noProof/>
          <w:color w:val="000000"/>
          <w:sz w:val="24"/>
        </w:rPr>
        <w:t>. Samuti on oluliselt suurenenud Euroopa Piiri- ja Rannikuvalve Ameti toetus tagasisaatmisele nii koostöö raames kui ka koos operatiivmeetmetega sellistes va</w:t>
      </w:r>
      <w:r>
        <w:rPr>
          <w:rFonts w:ascii="Times New Roman" w:hAnsi="Times New Roman"/>
          <w:noProof/>
          <w:color w:val="000000"/>
          <w:sz w:val="24"/>
        </w:rPr>
        <w:t>ldkondades nagu tagasisaatmislennud ja konsulaatide roll</w:t>
      </w:r>
      <w:r>
        <w:rPr>
          <w:rStyle w:val="FootnoteReference"/>
          <w:rFonts w:ascii="Times New Roman" w:hAnsi="Times New Roman"/>
          <w:noProof/>
          <w:color w:val="000000"/>
          <w:sz w:val="24"/>
        </w:rPr>
        <w:footnoteReference w:id="38"/>
      </w:r>
      <w:r>
        <w:rPr>
          <w:rFonts w:ascii="Times New Roman" w:hAnsi="Times New Roman"/>
          <w:noProof/>
          <w:color w:val="000000"/>
          <w:sz w:val="24"/>
        </w:rPr>
        <w:t>. Palju tööd on siiski veel ees. Järgmine samm peaks olema seotud komisjoni ettepanekuga muuta tagasisaatmisdirektiivi</w:t>
      </w:r>
      <w:r>
        <w:rPr>
          <w:rStyle w:val="FootnoteReference"/>
          <w:rFonts w:ascii="Times New Roman" w:hAnsi="Times New Roman"/>
          <w:noProof/>
          <w:color w:val="000000"/>
          <w:sz w:val="24"/>
        </w:rPr>
        <w:footnoteReference w:id="39"/>
      </w:r>
      <w:r>
        <w:rPr>
          <w:rFonts w:ascii="Times New Roman" w:hAnsi="Times New Roman"/>
          <w:noProof/>
          <w:color w:val="000000"/>
          <w:sz w:val="24"/>
        </w:rPr>
        <w:t>. Selle ettepaneku kiire vastuvõtmine suurendaks tagasisaatmismenetluse järjepid</w:t>
      </w:r>
      <w:r>
        <w:rPr>
          <w:rFonts w:ascii="Times New Roman" w:hAnsi="Times New Roman"/>
          <w:noProof/>
          <w:color w:val="000000"/>
          <w:sz w:val="24"/>
        </w:rPr>
        <w:t>evust ja parandaks selle tulemuslikkust, kaitstes samas põhiõigusi ja austades tagasi- ja väljasaatmise lubamatuse põhimõtet</w:t>
      </w:r>
      <w:r>
        <w:rPr>
          <w:rStyle w:val="FootnoteReference"/>
          <w:rFonts w:ascii="Times New Roman" w:hAnsi="Times New Roman"/>
          <w:noProof/>
          <w:color w:val="000000"/>
          <w:sz w:val="24"/>
        </w:rPr>
        <w:footnoteReference w:id="40"/>
      </w:r>
      <w:r>
        <w:rPr>
          <w:rFonts w:ascii="Times New Roman" w:hAnsi="Times New Roman"/>
          <w:noProof/>
          <w:color w:val="000000"/>
          <w:sz w:val="24"/>
        </w:rPr>
        <w:t>.</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Tänu viimase nelja aasta jooksul partnerriikidega peetud dialoogile on saavutatud märkimisväärset edu. 17 tagasivõtulepingu ja </w:t>
      </w:r>
      <w:r>
        <w:rPr>
          <w:rFonts w:ascii="Times New Roman" w:hAnsi="Times New Roman"/>
          <w:noProof/>
          <w:color w:val="000000"/>
          <w:sz w:val="24"/>
        </w:rPr>
        <w:t>kuue hiljutise praktilise kokkuleppe kohaselt tehtav koostöö on hakanud andma tulemusi sellistes valdkondades nagu tuvastamine, dokumentide väljastamine ja nõuetekohane tagasisaatmine, mida toetatakse operatiivmeetmetega. Kuid selleks, et ära kasutada sell</w:t>
      </w:r>
      <w:r>
        <w:rPr>
          <w:rFonts w:ascii="Times New Roman" w:hAnsi="Times New Roman"/>
          <w:noProof/>
          <w:color w:val="000000"/>
          <w:sz w:val="24"/>
        </w:rPr>
        <w:t>e raamistiku kogu potentsiaal ja rahuldada võimalikud suuremad tagasisaatmisega seotud vajadused tulevikus, peavad liikmesriigid kasutama raamistiku pakutavaid võimalusi, osalema aktiivselt lepingute ja kokkulepete kohaldamises ning teavitama komisjoni kõi</w:t>
      </w:r>
      <w:r>
        <w:rPr>
          <w:rFonts w:ascii="Times New Roman" w:hAnsi="Times New Roman"/>
          <w:noProof/>
          <w:color w:val="000000"/>
          <w:sz w:val="24"/>
        </w:rPr>
        <w:t>kidest rakendamisega seotud probleemidest. EL ja liikmesriigid aitavad ka tagasipöördujate taasintegreerimise toetamisel: alates 2017. aasta maist on taasintegreerimistoetust saanud üle 60 100 rändaja.</w:t>
      </w:r>
    </w:p>
    <w:p w:rsidR="00F105EB" w:rsidRDefault="00F105EB">
      <w:pPr>
        <w:jc w:val="both"/>
        <w:rPr>
          <w:rFonts w:ascii="Times New Roman" w:hAnsi="Times New Roman"/>
          <w:noProof/>
          <w:color w:val="000000"/>
          <w:sz w:val="24"/>
          <w:szCs w:val="24"/>
        </w:rPr>
      </w:pP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Komisjon kavatseb töötada välja uued kokkulepped ka t</w:t>
      </w:r>
      <w:r>
        <w:rPr>
          <w:rFonts w:ascii="Times New Roman" w:hAnsi="Times New Roman"/>
          <w:noProof/>
          <w:color w:val="000000"/>
          <w:sz w:val="24"/>
        </w:rPr>
        <w:t>eiste partneritega. Läbirääkimised tagasivõtulepingute sõlmimiseks toimuvad praegu Nigeeria, Tuneesia ja Hiinaga ning peagi on neid kavas jätkata Marokoga. Vajaduse korral tuleks kõikidest ELi asjakohastest poliitikavaldkondadest kaasata ulatuslikum finant</w:t>
      </w:r>
      <w:r>
        <w:rPr>
          <w:rFonts w:ascii="Times New Roman" w:hAnsi="Times New Roman"/>
          <w:noProof/>
          <w:color w:val="000000"/>
          <w:sz w:val="24"/>
        </w:rPr>
        <w:t>svõimendus, tehes seda tihedalt kooskõlastatult liikmesriikide tasandi finantsvõimendusega. ELi viisapoliitika on juba hõlbustanud läbirääkimisi tagasivõtmise üle ja viisanõudest vabastamise ajutise peatamise kord on aidanud täpselt jälgida tagasivõtmiskoh</w:t>
      </w:r>
      <w:r>
        <w:rPr>
          <w:rFonts w:ascii="Times New Roman" w:hAnsi="Times New Roman"/>
          <w:noProof/>
          <w:color w:val="000000"/>
          <w:sz w:val="24"/>
        </w:rPr>
        <w:t>ustuse täitmist. Komisjon tervitab Euroopa Parlamendi ja nõukogu kokkulepet viisaeeskirja reformi kohta, sealhulgas võimalust võtta vastu piiravad viisameetmed tagasivõtmise valdkonnas koostööst keelduvate kolmandate riikide suhtes. Selleks et tagasivõtmis</w:t>
      </w:r>
      <w:r>
        <w:rPr>
          <w:rFonts w:ascii="Times New Roman" w:hAnsi="Times New Roman"/>
          <w:noProof/>
          <w:color w:val="000000"/>
          <w:sz w:val="24"/>
        </w:rPr>
        <w:t>t tõhustada, on vaja kaasata täiendavat finantsvõimendust.</w:t>
      </w:r>
    </w:p>
    <w:p w:rsidR="00F105EB" w:rsidRDefault="00F105EB">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F105EB">
        <w:tc>
          <w:tcPr>
            <w:tcW w:w="9286" w:type="dxa"/>
            <w:shd w:val="clear" w:color="auto" w:fill="1F497D" w:themeFill="text2"/>
          </w:tcPr>
          <w:p w:rsidR="00F105EB" w:rsidRDefault="00A73D31">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Järgmised peamised sammud</w:t>
            </w:r>
          </w:p>
        </w:tc>
      </w:tr>
      <w:tr w:rsidR="00F105EB">
        <w:tc>
          <w:tcPr>
            <w:tcW w:w="9286" w:type="dxa"/>
            <w:shd w:val="clear" w:color="auto" w:fill="C6D9F1" w:themeFill="text2" w:themeFillTint="33"/>
          </w:tcPr>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ELi institutsioonid peavad tagama, et järgmine mitmeaastane finantsraamistik pakub kolmandatest riikidest partneritega tehtava rändealase koostöö tihendamiseks vajaliku </w:t>
            </w:r>
            <w:r>
              <w:rPr>
                <w:rFonts w:ascii="Times New Roman" w:eastAsiaTheme="minorHAnsi" w:hAnsi="Times New Roman"/>
                <w:noProof/>
                <w:color w:val="000000"/>
                <w:sz w:val="24"/>
              </w:rPr>
              <w:t>ulatuse ja paindlikkuse.</w:t>
            </w:r>
          </w:p>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Liikmesriigid ja EL peaksid ellu viima 2018. aasta detsembris </w:t>
            </w:r>
            <w:r>
              <w:rPr>
                <w:rFonts w:ascii="Times New Roman" w:eastAsiaTheme="minorHAnsi" w:hAnsi="Times New Roman"/>
                <w:b/>
                <w:i/>
                <w:noProof/>
                <w:color w:val="000000"/>
                <w:sz w:val="24"/>
              </w:rPr>
              <w:t>rändajate ebaseadusliku üle piiri toimetamise võrgustikega võitlemiseks</w:t>
            </w:r>
            <w:r>
              <w:rPr>
                <w:rFonts w:ascii="Times New Roman" w:eastAsiaTheme="minorHAnsi" w:hAnsi="Times New Roman"/>
                <w:noProof/>
                <w:color w:val="000000"/>
                <w:sz w:val="24"/>
              </w:rPr>
              <w:t xml:space="preserve"> vastuvõetud meetmed, muu hulgas Europoli sisserändajate ebaseadusliku üle piiri toimetamise vasta</w:t>
            </w:r>
            <w:r>
              <w:rPr>
                <w:rFonts w:ascii="Times New Roman" w:eastAsiaTheme="minorHAnsi" w:hAnsi="Times New Roman"/>
                <w:noProof/>
                <w:color w:val="000000"/>
                <w:sz w:val="24"/>
              </w:rPr>
              <w:t>se Euroopa keskuse töö tõhustamise kaudu.</w:t>
            </w:r>
          </w:p>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Euroopa Parlament ja nõukogu peaksid lõpule viima läbirääkimised </w:t>
            </w:r>
            <w:r>
              <w:rPr>
                <w:rFonts w:ascii="Times New Roman" w:eastAsiaTheme="minorHAnsi" w:hAnsi="Times New Roman"/>
                <w:b/>
                <w:i/>
                <w:noProof/>
                <w:color w:val="000000"/>
                <w:sz w:val="24"/>
              </w:rPr>
              <w:t>komisjoni ettepaneku üle tõhustada tagasisaatmist</w:t>
            </w:r>
            <w:r>
              <w:rPr>
                <w:rFonts w:ascii="Times New Roman" w:eastAsiaTheme="minorHAnsi" w:hAnsi="Times New Roman"/>
                <w:noProof/>
                <w:color w:val="000000"/>
                <w:sz w:val="24"/>
              </w:rPr>
              <w:t>. Liikmesriigid peaksid juba praegu kasutama ära kõik olemasoleva raamistiku kohased võimalused taga</w:t>
            </w:r>
            <w:r>
              <w:rPr>
                <w:rFonts w:ascii="Times New Roman" w:eastAsiaTheme="minorHAnsi" w:hAnsi="Times New Roman"/>
                <w:noProof/>
                <w:color w:val="000000"/>
                <w:sz w:val="24"/>
              </w:rPr>
              <w:t>sisaatmise tõhususe parandamiseks.</w:t>
            </w:r>
          </w:p>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Liikmesriigid peaksid tagama, et täielikult kasutatakse ära </w:t>
            </w:r>
            <w:r>
              <w:rPr>
                <w:rFonts w:ascii="Times New Roman" w:eastAsiaTheme="minorHAnsi" w:hAnsi="Times New Roman"/>
                <w:b/>
                <w:i/>
                <w:noProof/>
                <w:color w:val="000000"/>
                <w:sz w:val="24"/>
              </w:rPr>
              <w:t>tagasivõtulepingute ja kokkulepete</w:t>
            </w:r>
            <w:r>
              <w:rPr>
                <w:rFonts w:ascii="Times New Roman" w:eastAsiaTheme="minorHAnsi" w:hAnsi="Times New Roman"/>
                <w:noProof/>
                <w:color w:val="000000"/>
                <w:sz w:val="24"/>
              </w:rPr>
              <w:t xml:space="preserve"> võimalused, ning EL peaks töötama välja </w:t>
            </w:r>
            <w:r>
              <w:rPr>
                <w:rFonts w:ascii="Times New Roman" w:eastAsiaTheme="minorHAnsi" w:hAnsi="Times New Roman"/>
                <w:b/>
                <w:i/>
                <w:noProof/>
                <w:color w:val="000000"/>
                <w:sz w:val="24"/>
              </w:rPr>
              <w:t>uued tagasivõtulepingud ja kokkulepped</w:t>
            </w:r>
            <w:r>
              <w:rPr>
                <w:rFonts w:ascii="Times New Roman" w:eastAsiaTheme="minorHAnsi" w:hAnsi="Times New Roman"/>
                <w:noProof/>
                <w:color w:val="000000"/>
                <w:sz w:val="24"/>
              </w:rPr>
              <w:t xml:space="preserve"> muude kolmandate riikidega. </w:t>
            </w:r>
          </w:p>
          <w:p w:rsidR="00F105EB" w:rsidRDefault="00A73D31">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Liikmesriigid ja E</w:t>
            </w:r>
            <w:r>
              <w:rPr>
                <w:rFonts w:ascii="Times New Roman" w:eastAsiaTheme="minorHAnsi" w:hAnsi="Times New Roman"/>
                <w:noProof/>
                <w:color w:val="000000"/>
                <w:sz w:val="24"/>
              </w:rPr>
              <w:t xml:space="preserve">L peaksid laiendama </w:t>
            </w:r>
            <w:r>
              <w:rPr>
                <w:rFonts w:ascii="Times New Roman" w:eastAsiaTheme="minorHAnsi" w:hAnsi="Times New Roman"/>
                <w:b/>
                <w:i/>
                <w:noProof/>
                <w:color w:val="000000"/>
                <w:sz w:val="24"/>
              </w:rPr>
              <w:t>ühiseid operatiivpartnerlusi</w:t>
            </w:r>
            <w:r>
              <w:rPr>
                <w:rFonts w:ascii="Times New Roman" w:eastAsiaTheme="minorHAnsi" w:hAnsi="Times New Roman"/>
                <w:noProof/>
                <w:color w:val="000000"/>
                <w:sz w:val="24"/>
              </w:rPr>
              <w:t xml:space="preserve"> kolmandate riikidega, et toetada muu hulgas ühiste uurimisrühmade tegevust, suutlikkuse suurendamist ja kontaktametnike vahetamist.</w:t>
            </w:r>
          </w:p>
        </w:tc>
      </w:tr>
    </w:tbl>
    <w:p w:rsidR="00F105EB" w:rsidRDefault="00F105EB">
      <w:pPr>
        <w:jc w:val="both"/>
        <w:rPr>
          <w:rFonts w:ascii="Times New Roman" w:hAnsi="Times New Roman"/>
          <w:noProof/>
          <w:color w:val="000000"/>
          <w:sz w:val="24"/>
          <w:szCs w:val="24"/>
        </w:rPr>
      </w:pPr>
    </w:p>
    <w:p w:rsidR="00F105EB" w:rsidRDefault="00F105EB">
      <w:pPr>
        <w:jc w:val="both"/>
        <w:rPr>
          <w:rFonts w:ascii="Times New Roman" w:hAnsi="Times New Roman"/>
          <w:noProof/>
          <w:color w:val="000000"/>
          <w:sz w:val="24"/>
          <w:szCs w:val="24"/>
        </w:rPr>
      </w:pPr>
    </w:p>
    <w:p w:rsidR="00F105EB" w:rsidRDefault="00A73D31">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Piirihaldus – inimelude päästmine ja välispiiride kindlustamine</w:t>
      </w:r>
    </w:p>
    <w:p w:rsidR="00F105EB" w:rsidRDefault="00F105EB">
      <w:pPr>
        <w:jc w:val="both"/>
        <w:rPr>
          <w:rFonts w:ascii="Times New Roman" w:hAnsi="Times New Roman"/>
          <w:b/>
          <w:i/>
          <w:noProof/>
          <w:color w:val="000000"/>
          <w:sz w:val="24"/>
          <w:szCs w:val="24"/>
        </w:rPr>
      </w:pPr>
    </w:p>
    <w:p w:rsidR="00F105EB" w:rsidRDefault="00A73D31">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Operatsioonid piiridel</w:t>
      </w:r>
    </w:p>
    <w:p w:rsidR="00F105EB" w:rsidRDefault="00A73D31">
      <w:pPr>
        <w:jc w:val="both"/>
        <w:rPr>
          <w:rFonts w:ascii="Times New Roman" w:hAnsi="Times New Roman"/>
          <w:i/>
          <w:noProof/>
          <w:color w:val="000000"/>
          <w:sz w:val="24"/>
          <w:szCs w:val="24"/>
        </w:rPr>
      </w:pPr>
      <w:r>
        <w:rPr>
          <w:rFonts w:ascii="Times New Roman" w:hAnsi="Times New Roman"/>
          <w:noProof/>
          <w:color w:val="000000"/>
          <w:sz w:val="24"/>
        </w:rPr>
        <w:t>Merel hätta sattunud inimeste päästmine on ELi välispiiri haldamisega seotud tegevuse esmane eesmärk. Euroopa Piiri- ja Rannikuvalve Amet koordineerib merel toimuvaid ühisoperatsioone eesmärgiga tagada merel ELi välispiiri tõhus kontrollimine. Kõik vahendi</w:t>
      </w:r>
      <w:r>
        <w:rPr>
          <w:rFonts w:ascii="Times New Roman" w:hAnsi="Times New Roman"/>
          <w:noProof/>
          <w:color w:val="000000"/>
          <w:sz w:val="24"/>
        </w:rPr>
        <w:t>d, mida nende operatsioonide käigus kasutatakse, kuuluvad rahvusvahelise avaliku õiguse kohaldamisalasse ja neid tuleb kasutada kõikide merel hätta sattunud aluste abistamiseks. Ühisoperatsioonid Themis, Poseidon ja Indalo ning ühise julgeoleku- ja kaitsep</w:t>
      </w:r>
      <w:r>
        <w:rPr>
          <w:rFonts w:ascii="Times New Roman" w:hAnsi="Times New Roman"/>
          <w:noProof/>
          <w:color w:val="000000"/>
          <w:sz w:val="24"/>
        </w:rPr>
        <w:t xml:space="preserve">oliitika operatsioon Sophia annavad olulise panuse piirikontrolli ning otsingu- ja päästetöödesse. </w:t>
      </w:r>
      <w:r>
        <w:rPr>
          <w:rFonts w:ascii="Times New Roman" w:hAnsi="Times New Roman"/>
          <w:noProof/>
          <w:sz w:val="24"/>
        </w:rPr>
        <w:t>Ainuüksi 2018. aastal päästeti ELi mereoperatsioonide vahendeid kasutades ligi 39 300 inimest</w:t>
      </w:r>
      <w:r>
        <w:rPr>
          <w:rStyle w:val="FootnoteReference"/>
          <w:rFonts w:ascii="Times New Roman" w:hAnsi="Times New Roman"/>
          <w:noProof/>
          <w:color w:val="000000"/>
          <w:sz w:val="24"/>
        </w:rPr>
        <w:footnoteReference w:id="41"/>
      </w:r>
      <w:r>
        <w:rPr>
          <w:rFonts w:ascii="Times New Roman" w:hAnsi="Times New Roman"/>
          <w:noProof/>
          <w:sz w:val="24"/>
        </w:rPr>
        <w:t>.</w:t>
      </w:r>
      <w:r>
        <w:rPr>
          <w:rFonts w:ascii="Times New Roman" w:hAnsi="Times New Roman"/>
          <w:noProof/>
          <w:color w:val="000000"/>
          <w:sz w:val="24"/>
        </w:rPr>
        <w:t xml:space="preserve"> </w:t>
      </w:r>
    </w:p>
    <w:p w:rsidR="00F105EB" w:rsidRDefault="00F105EB">
      <w:pPr>
        <w:jc w:val="both"/>
        <w:rPr>
          <w:rFonts w:ascii="Times New Roman" w:hAnsi="Times New Roman"/>
          <w:i/>
          <w:noProof/>
          <w:color w:val="000000"/>
          <w:sz w:val="24"/>
          <w:szCs w:val="24"/>
        </w:rPr>
      </w:pPr>
    </w:p>
    <w:p w:rsidR="00F105EB" w:rsidRDefault="00A73D31">
      <w:pPr>
        <w:jc w:val="both"/>
        <w:rPr>
          <w:rFonts w:ascii="Times New Roman" w:hAnsi="Times New Roman"/>
          <w:noProof/>
          <w:sz w:val="24"/>
          <w:szCs w:val="24"/>
        </w:rPr>
      </w:pPr>
      <w:r>
        <w:rPr>
          <w:rFonts w:ascii="Times New Roman" w:hAnsi="Times New Roman"/>
          <w:noProof/>
          <w:sz w:val="24"/>
        </w:rPr>
        <w:t>Euroopa Piiri- ja Rannikuvalve Amet viib ellu ka koordineer</w:t>
      </w:r>
      <w:r>
        <w:rPr>
          <w:rFonts w:ascii="Times New Roman" w:hAnsi="Times New Roman"/>
          <w:noProof/>
          <w:sz w:val="24"/>
        </w:rPr>
        <w:t>itud operatiivtegevusi välismaismaapiiril, aidates kontrollida ebaseaduslikku rännet ja võidelda inimeste ebaseadusliku üle piiri toimetamisega ning pakkudes luureteavet.</w:t>
      </w:r>
      <w:r>
        <w:rPr>
          <w:rFonts w:ascii="Times New Roman" w:hAnsi="Times New Roman"/>
          <w:noProof/>
          <w:color w:val="000000"/>
          <w:sz w:val="24"/>
        </w:rPr>
        <w:t xml:space="preserve"> On oluline, et amet suudaks reageerida uutele suundumustele, nagu suurem rändesurve V</w:t>
      </w:r>
      <w:r>
        <w:rPr>
          <w:rFonts w:ascii="Times New Roman" w:hAnsi="Times New Roman"/>
          <w:noProof/>
          <w:color w:val="000000"/>
          <w:sz w:val="24"/>
        </w:rPr>
        <w:t xml:space="preserve">ahemere lääneosas. </w:t>
      </w:r>
      <w:r>
        <w:rPr>
          <w:rFonts w:ascii="Times New Roman" w:hAnsi="Times New Roman"/>
          <w:noProof/>
          <w:sz w:val="24"/>
        </w:rPr>
        <w:t>Ametil on siiski pidevalt puudu töötajaid ja tehnilist varustust ning kuigi liikmesriikidel ja ametil on jagatud vastutus, ei ole liikmesriigid andnud ameti käsutusse vajalikke vahendeid. Euroopa piiri- ja rannikuvalve mõlemad komponendi</w:t>
      </w:r>
      <w:r>
        <w:rPr>
          <w:rFonts w:ascii="Times New Roman" w:hAnsi="Times New Roman"/>
          <w:noProof/>
          <w:sz w:val="24"/>
        </w:rPr>
        <w:t>d sõltuvad teineteisest ja saavad Schengeni ala tervikluse tagada ainult siis, kui nad tegutsevad ühiselt.</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Piiride haldamisel tuleb kasutada kõiki olemasolevaid vahendeid. See tähendab, et tuleb kasutada kõiki infotehnoloogia võimalusi. Piirihalduseks ja </w:t>
      </w:r>
      <w:r>
        <w:rPr>
          <w:rFonts w:ascii="Times New Roman" w:hAnsi="Times New Roman"/>
          <w:noProof/>
          <w:color w:val="000000"/>
          <w:sz w:val="24"/>
        </w:rPr>
        <w:t>julgeoleku tagamiseks kasutatavate infotehnoloogiasüsteemide laiendamine ja uuendamine on loonud uued võimalused nende vahendite koos kasutamiseks. Kui rakendatakse peagi vastu võetavad määrused, mis käsitlevad ELi infosüsteemide koostalitlusvõimet (koos õ</w:t>
      </w:r>
      <w:r>
        <w:rPr>
          <w:rFonts w:ascii="Times New Roman" w:hAnsi="Times New Roman"/>
          <w:noProof/>
          <w:color w:val="000000"/>
          <w:sz w:val="24"/>
        </w:rPr>
        <w:t>igete andmekaitsemeetmetega), saavad ametiasutused rakendada eeskirju tulemuslikumalt.</w:t>
      </w:r>
    </w:p>
    <w:p w:rsidR="00F105EB" w:rsidRDefault="00F105EB">
      <w:pPr>
        <w:jc w:val="both"/>
        <w:rPr>
          <w:rFonts w:ascii="Times New Roman" w:hAnsi="Times New Roman"/>
          <w:noProof/>
          <w:sz w:val="24"/>
          <w:szCs w:val="24"/>
        </w:rPr>
      </w:pPr>
    </w:p>
    <w:p w:rsidR="00F105EB" w:rsidRDefault="00A73D31">
      <w:pPr>
        <w:pStyle w:val="ListParagraph"/>
        <w:ind w:left="0"/>
        <w:jc w:val="both"/>
        <w:rPr>
          <w:rFonts w:ascii="Times New Roman" w:hAnsi="Times New Roman"/>
          <w:noProof/>
          <w:sz w:val="24"/>
          <w:szCs w:val="24"/>
        </w:rPr>
      </w:pPr>
      <w:r>
        <w:rPr>
          <w:rFonts w:ascii="Times New Roman" w:hAnsi="Times New Roman"/>
          <w:noProof/>
          <w:sz w:val="24"/>
        </w:rPr>
        <w:t>2018. aasta septembris esitatud komisjoni ettepanekus tugevama ja täisvarustusega Euroopa piiri- ja rannikuvalve kohta oli seatud eesmärgiks astuda otsustav samm täieli</w:t>
      </w:r>
      <w:r>
        <w:rPr>
          <w:rFonts w:ascii="Times New Roman" w:hAnsi="Times New Roman"/>
          <w:noProof/>
          <w:sz w:val="24"/>
        </w:rPr>
        <w:t>kult integreeritud piirihalduse suunas. See viiks Euroopa piiri- ja rannikuvalve uuele operatiivsele tasemele: ametil oleks 10 000 täitevvolitustega operatiivtöötajast koosnev alaline korpus ja oma varustus, samas austataks täielikult nii põhiõigusi kui ka</w:t>
      </w:r>
      <w:r>
        <w:rPr>
          <w:rFonts w:ascii="Times New Roman" w:hAnsi="Times New Roman"/>
          <w:noProof/>
          <w:sz w:val="24"/>
        </w:rPr>
        <w:t xml:space="preserve"> liikmesriikide suveräänsust nende välispiiridel. Põhjuseks on see, et ELil puuduvad ikka veel piisavad vahendid kriiside lahendamiseks välispiiridel, eelkõige juhul, kui ootamatult peaks saabuma massiliselt ebaseaduslikke rändajaid. See valmisolek on mõõd</w:t>
      </w:r>
      <w:r>
        <w:rPr>
          <w:rFonts w:ascii="Times New Roman" w:hAnsi="Times New Roman"/>
          <w:noProof/>
          <w:sz w:val="24"/>
        </w:rPr>
        <w:t>upuuks, mis näitab, kas välispiir on piisavalt tugev, et taastada ELi kodanike usaldus Schengeni ala toimimise vastu. Selle ettepaneku üle toimuvad läbirääkimised on nüüd kolmepoolsete läbirääkimiste etapis, mis näitab, et kõik institutsioonid soovivad sel</w:t>
      </w:r>
      <w:r>
        <w:rPr>
          <w:rFonts w:ascii="Times New Roman" w:hAnsi="Times New Roman"/>
          <w:noProof/>
          <w:sz w:val="24"/>
        </w:rPr>
        <w:t>le ettepaneku vastu võtta enne 2019. aastal toimuvaid Euroopa Parlamendi valimisi.</w:t>
      </w:r>
    </w:p>
    <w:p w:rsidR="00F105EB" w:rsidRDefault="00F105EB">
      <w:pPr>
        <w:pStyle w:val="ListParagraph"/>
        <w:ind w:left="0"/>
        <w:jc w:val="both"/>
        <w:rPr>
          <w:rFonts w:ascii="Times New Roman" w:hAnsi="Times New Roman"/>
          <w:noProof/>
          <w:sz w:val="24"/>
          <w:szCs w:val="24"/>
        </w:rPr>
      </w:pPr>
    </w:p>
    <w:p w:rsidR="00F105EB" w:rsidRDefault="00A73D31">
      <w:pPr>
        <w:keepNext/>
        <w:spacing w:after="120"/>
        <w:jc w:val="both"/>
        <w:rPr>
          <w:rFonts w:ascii="Times New Roman" w:hAnsi="Times New Roman"/>
          <w:i/>
          <w:noProof/>
          <w:sz w:val="24"/>
          <w:szCs w:val="24"/>
        </w:rPr>
      </w:pPr>
      <w:r>
        <w:rPr>
          <w:rFonts w:ascii="Times New Roman" w:hAnsi="Times New Roman"/>
          <w:i/>
          <w:noProof/>
          <w:sz w:val="24"/>
        </w:rPr>
        <w:t>Koostöö kolmandate riikidega</w:t>
      </w:r>
    </w:p>
    <w:p w:rsidR="00F105EB" w:rsidRDefault="00A73D31">
      <w:pPr>
        <w:jc w:val="both"/>
        <w:rPr>
          <w:rFonts w:ascii="Times New Roman" w:hAnsi="Times New Roman"/>
          <w:noProof/>
          <w:sz w:val="24"/>
          <w:szCs w:val="24"/>
        </w:rPr>
      </w:pPr>
      <w:r>
        <w:rPr>
          <w:rFonts w:ascii="Times New Roman" w:hAnsi="Times New Roman"/>
          <w:noProof/>
          <w:sz w:val="24"/>
        </w:rPr>
        <w:t xml:space="preserve">Kolmandate riikide toetamine ja koostöö nendega on ELi välispiiri kaitsmise seisukohast ülimalt oluline. Esiteks tuleb luua tihedad töösuhted, </w:t>
      </w:r>
      <w:r>
        <w:rPr>
          <w:rFonts w:ascii="Times New Roman" w:hAnsi="Times New Roman"/>
          <w:noProof/>
          <w:sz w:val="24"/>
        </w:rPr>
        <w:t>et rühmi saaks ühisoperatsioonide käigus kasutada mõlemal pool ühist piiri. Komisjon on läbirääkimiste tulemusel sõlminud asjaomased staatust käsitlevad kokkulepped viie Lääne-Balkani riigiga.</w:t>
      </w:r>
      <w:r>
        <w:rPr>
          <w:noProof/>
        </w:rPr>
        <w:t xml:space="preserve"> </w:t>
      </w:r>
      <w:r>
        <w:rPr>
          <w:rFonts w:ascii="Times New Roman" w:hAnsi="Times New Roman"/>
          <w:noProof/>
          <w:sz w:val="24"/>
        </w:rPr>
        <w:t>Kokkulepped allkirjastati Albaaniaga ning parafeeriti Põhja-Mak</w:t>
      </w:r>
      <w:r>
        <w:rPr>
          <w:rFonts w:ascii="Times New Roman" w:hAnsi="Times New Roman"/>
          <w:noProof/>
          <w:sz w:val="24"/>
        </w:rPr>
        <w:t>edoonia (2018. aasta juulis), Serbia (2018. aasta septembris), Bosnia ja Hertsegoviina (2019. aasta jaanuaris) ja Montenegroga (2019. aasta veebruaris).</w:t>
      </w:r>
    </w:p>
    <w:p w:rsidR="00F105EB" w:rsidRDefault="00F105EB">
      <w:pPr>
        <w:jc w:val="both"/>
        <w:rPr>
          <w:rFonts w:ascii="Times New Roman" w:hAnsi="Times New Roman"/>
          <w:noProof/>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ELi oskusteave võib olla oluline ka aktiivse operatiivkoostöö raames. EL on aidanud Liibüa rannikuvalv</w:t>
      </w:r>
      <w:r>
        <w:rPr>
          <w:rFonts w:ascii="Times New Roman" w:hAnsi="Times New Roman"/>
          <w:noProof/>
          <w:color w:val="000000"/>
          <w:sz w:val="24"/>
        </w:rPr>
        <w:t>el oluliselt suurendada suutlikkust päästa merel inimelusid ja takistada inimeste ebaseaduslikult üle piiri toimetajatel saatmast inimesi merele meresõiduks kõlbmatutel alustel. Tõhustada tuleb koolitusi, muu hulgas inimõiguste ja rahvusvaheline mereõiguse</w:t>
      </w:r>
      <w:r>
        <w:rPr>
          <w:rFonts w:ascii="Times New Roman" w:hAnsi="Times New Roman"/>
          <w:noProof/>
          <w:color w:val="000000"/>
          <w:sz w:val="24"/>
        </w:rPr>
        <w:t xml:space="preserve"> teemal. Pärast seda, kui Liibüa ametlikult teavitas Rahvusvahelist Mereorganisatsiooni oma otsingu- ja päästealast, tuleb tema suutlikkust toetada täielikult toimiva merepääste ja koordineerimise keskuse rajamisega.</w:t>
      </w:r>
      <w:r>
        <w:rPr>
          <w:rFonts w:ascii="Times New Roman" w:hAnsi="Times New Roman"/>
          <w:noProof/>
          <w:sz w:val="24"/>
        </w:rPr>
        <w:t xml:space="preserve"> </w:t>
      </w:r>
      <w:r>
        <w:rPr>
          <w:rFonts w:ascii="Times New Roman" w:hAnsi="Times New Roman"/>
          <w:noProof/>
          <w:color w:val="000000"/>
          <w:sz w:val="24"/>
        </w:rPr>
        <w:t>ELi toetus on suunatud ka inimelude pää</w:t>
      </w:r>
      <w:r>
        <w:rPr>
          <w:rFonts w:ascii="Times New Roman" w:hAnsi="Times New Roman"/>
          <w:noProof/>
          <w:color w:val="000000"/>
          <w:sz w:val="24"/>
        </w:rPr>
        <w:t>stmiseks maismaa rändeteedel. ELi ja liikmesriikide toetus Nigeris on viinud rändevoogude suure vähenemiseni ning koostöös Rahvusvahelise Migratsiooniorganisatsiooniga on korraldatud enam kui 13 000 rändaja otsingu- ja päästeoperatsioon Nigeri kõrbealadel.</w:t>
      </w:r>
    </w:p>
    <w:p w:rsidR="00F105EB" w:rsidRDefault="00F105EB">
      <w:pPr>
        <w:contextualSpacing/>
        <w:jc w:val="both"/>
        <w:rPr>
          <w:rFonts w:ascii="Times New Roman" w:eastAsia="Calibri" w:hAnsi="Times New Roman"/>
          <w:noProof/>
          <w:sz w:val="24"/>
          <w:szCs w:val="24"/>
        </w:rPr>
      </w:pPr>
    </w:p>
    <w:p w:rsidR="00F105EB" w:rsidRDefault="00A73D31">
      <w:pPr>
        <w:contextualSpacing/>
        <w:jc w:val="both"/>
        <w:rPr>
          <w:rFonts w:ascii="Times New Roman" w:hAnsi="Times New Roman"/>
          <w:noProof/>
          <w:sz w:val="24"/>
          <w:szCs w:val="24"/>
        </w:rPr>
      </w:pPr>
      <w:r>
        <w:rPr>
          <w:rFonts w:ascii="Times New Roman" w:hAnsi="Times New Roman"/>
          <w:noProof/>
          <w:sz w:val="24"/>
        </w:rPr>
        <w:t xml:space="preserve">EL ja liikmesriigid annavad märkimisväärset toetust ja aitavad suurendada suutlikkust, et aidata partneritel oma piire hallata. Eelkõige on keskendutud piirkondlikele programmidele. Rände parema haldamise programm Aafrika Sarve piirkonnas on võimaldanud </w:t>
      </w:r>
      <w:r>
        <w:rPr>
          <w:rFonts w:ascii="Times New Roman" w:hAnsi="Times New Roman"/>
          <w:noProof/>
          <w:sz w:val="24"/>
        </w:rPr>
        <w:t>sellistel partneritel nagu Etioopia ja Lõuna-Sudaan korraldada ühiseid piiriüleseid patrulle ja luua ühiseid piiriületuspunkte ning vahetada parimaid tavasid.</w:t>
      </w:r>
    </w:p>
    <w:p w:rsidR="00F105EB" w:rsidRDefault="00F105EB">
      <w:pPr>
        <w:contextualSpacing/>
        <w:jc w:val="both"/>
        <w:rPr>
          <w:rFonts w:ascii="Times New Roman" w:hAnsi="Times New Roman"/>
          <w:noProof/>
          <w:sz w:val="24"/>
          <w:szCs w:val="24"/>
        </w:rPr>
      </w:pPr>
    </w:p>
    <w:p w:rsidR="00F105EB" w:rsidRDefault="00A73D31">
      <w:pPr>
        <w:contextualSpacing/>
        <w:jc w:val="both"/>
        <w:rPr>
          <w:rFonts w:ascii="Times New Roman" w:hAnsi="Times New Roman"/>
          <w:noProof/>
          <w:sz w:val="24"/>
          <w:szCs w:val="24"/>
        </w:rPr>
      </w:pPr>
      <w:r>
        <w:rPr>
          <w:rFonts w:ascii="Times New Roman" w:hAnsi="Times New Roman"/>
          <w:noProof/>
          <w:sz w:val="24"/>
        </w:rPr>
        <w:t xml:space="preserve">Seda tööd tehakse ka ühise välis- ja julgeolekupoliitika raames ning ühise julgeoleku- ja </w:t>
      </w:r>
      <w:r>
        <w:rPr>
          <w:rFonts w:ascii="Times New Roman" w:hAnsi="Times New Roman"/>
          <w:noProof/>
          <w:sz w:val="24"/>
        </w:rPr>
        <w:t>kaitsepoliitika missioonide kaudu. ELi piirihaldamise abimissioon toetab Liibüas ulatuslikuma piirihaldusraamistiku väljatöötamist ja annab strateegilist nõu peamistele ministeeriumidele. Lisaks Liibüa rannikuvalve koolitamisele hõlmavad operatsioon Sophia</w:t>
      </w:r>
      <w:r>
        <w:rPr>
          <w:rFonts w:ascii="Times New Roman" w:hAnsi="Times New Roman"/>
          <w:noProof/>
          <w:sz w:val="24"/>
        </w:rPr>
        <w:t xml:space="preserve"> volitused ka võitlust rändajate salaja üle piiri toimetamise võrgustike ja relvakaubanduse vastu ning jälgimismeetmeid (nt nafta salakaubaveos). See on võimaldanud ELil anda olulise panuse üldise meresõiduturvalisuse parandamisse ja stabiilsuse taastamiss</w:t>
      </w:r>
      <w:r>
        <w:rPr>
          <w:rFonts w:ascii="Times New Roman" w:hAnsi="Times New Roman"/>
          <w:noProof/>
          <w:sz w:val="24"/>
        </w:rPr>
        <w:t>e Vahemere keskosa rändeteel. 2018. aasta detsembris pikendati operatsiooni Sophia volitusi kolme kuu võrra, kuid kuna maabumiskorra küsimuses puudub lahendus, ei ole operatsiooni jätkumine kindel.</w:t>
      </w:r>
    </w:p>
    <w:p w:rsidR="00F105EB" w:rsidRDefault="00F105EB">
      <w:pPr>
        <w:jc w:val="both"/>
        <w:rPr>
          <w:noProof/>
        </w:rPr>
      </w:pPr>
    </w:p>
    <w:tbl>
      <w:tblPr>
        <w:tblStyle w:val="TableGrid"/>
        <w:tblW w:w="0" w:type="auto"/>
        <w:tblLook w:val="04A0" w:firstRow="1" w:lastRow="0" w:firstColumn="1" w:lastColumn="0" w:noHBand="0" w:noVBand="1"/>
      </w:tblPr>
      <w:tblGrid>
        <w:gridCol w:w="9286"/>
      </w:tblGrid>
      <w:tr w:rsidR="00F105EB">
        <w:tc>
          <w:tcPr>
            <w:tcW w:w="9286" w:type="dxa"/>
            <w:shd w:val="clear" w:color="auto" w:fill="1F497D" w:themeFill="text2"/>
          </w:tcPr>
          <w:p w:rsidR="00F105EB" w:rsidRDefault="00A73D31">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Järgmised peamised sammud</w:t>
            </w:r>
          </w:p>
        </w:tc>
      </w:tr>
      <w:tr w:rsidR="00F105EB">
        <w:tc>
          <w:tcPr>
            <w:tcW w:w="9286" w:type="dxa"/>
            <w:shd w:val="clear" w:color="auto" w:fill="C6D9F1" w:themeFill="text2" w:themeFillTint="33"/>
          </w:tcPr>
          <w:p w:rsidR="00F105EB" w:rsidRDefault="00A73D31">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Euroopa Parlament ja nõukogu peaksid võtma vastu </w:t>
            </w:r>
            <w:r>
              <w:rPr>
                <w:rFonts w:ascii="Times New Roman" w:hAnsi="Times New Roman"/>
                <w:b/>
                <w:i/>
                <w:noProof/>
                <w:sz w:val="24"/>
              </w:rPr>
              <w:t>Euroopa piiri- ja rannikuvalvet käsitleva muudetud ettepaneku</w:t>
            </w:r>
            <w:r>
              <w:rPr>
                <w:rFonts w:ascii="Times New Roman" w:hAnsi="Times New Roman"/>
                <w:noProof/>
                <w:sz w:val="24"/>
              </w:rPr>
              <w:t xml:space="preserve"> enne Euroopa Parlamendi valimisi.</w:t>
            </w:r>
          </w:p>
          <w:p w:rsidR="00F105EB" w:rsidRDefault="00A73D31">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Liikmesriigid peaksid tagama, et Euroopa Piiri- ja Rannikuvalve Ametil on vajalikud vahendid, et korrapäraselt </w:t>
            </w:r>
            <w:r>
              <w:rPr>
                <w:rFonts w:ascii="Times New Roman" w:hAnsi="Times New Roman"/>
                <w:noProof/>
                <w:sz w:val="24"/>
              </w:rPr>
              <w:t xml:space="preserve">hinnata olukorda kohapeal ja tagada </w:t>
            </w:r>
            <w:r>
              <w:rPr>
                <w:rFonts w:ascii="Times New Roman" w:hAnsi="Times New Roman"/>
                <w:b/>
                <w:i/>
                <w:noProof/>
                <w:sz w:val="24"/>
              </w:rPr>
              <w:t>oluliste piirioperatsioonide</w:t>
            </w:r>
            <w:r>
              <w:rPr>
                <w:rFonts w:ascii="Times New Roman" w:hAnsi="Times New Roman"/>
                <w:noProof/>
                <w:sz w:val="24"/>
              </w:rPr>
              <w:t xml:space="preserve"> elluviimine. ELi asutused peaksid oma tööd Vahemere lääneosa rändeteel tõhustama.</w:t>
            </w:r>
          </w:p>
          <w:p w:rsidR="00F105EB" w:rsidRDefault="00A73D31">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Komisjon ja ELi asutused peaksid tagama piiri- ja julgeolekusüsteemide </w:t>
            </w:r>
            <w:r>
              <w:rPr>
                <w:rFonts w:ascii="Times New Roman" w:hAnsi="Times New Roman"/>
                <w:b/>
                <w:i/>
                <w:noProof/>
                <w:sz w:val="24"/>
              </w:rPr>
              <w:t>koostalitlusvõime</w:t>
            </w:r>
            <w:r>
              <w:rPr>
                <w:rFonts w:ascii="Times New Roman" w:hAnsi="Times New Roman"/>
                <w:noProof/>
                <w:sz w:val="24"/>
              </w:rPr>
              <w:t xml:space="preserve"> kiire arendamise, ni</w:t>
            </w:r>
            <w:r>
              <w:rPr>
                <w:rFonts w:ascii="Times New Roman" w:hAnsi="Times New Roman"/>
                <w:noProof/>
                <w:sz w:val="24"/>
              </w:rPr>
              <w:t>i et selle esimesed elemendid oleks võimalik kasutusele võtta juba 2020. aastal.</w:t>
            </w:r>
          </w:p>
          <w:p w:rsidR="00F105EB" w:rsidRDefault="00A73D31">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Pärast Euroopa Parlamendilt nõusoleku saamist peaks nõukogu kiiresti sõlmima </w:t>
            </w:r>
            <w:r>
              <w:rPr>
                <w:rFonts w:ascii="Times New Roman" w:hAnsi="Times New Roman"/>
                <w:b/>
                <w:i/>
                <w:noProof/>
                <w:sz w:val="24"/>
              </w:rPr>
              <w:t>staatust käsitlevad kokkulepped, mille üle läbirääkimised Lääne-Balkani riikidega on lõppenud</w:t>
            </w:r>
            <w:r>
              <w:rPr>
                <w:rFonts w:ascii="Times New Roman" w:hAnsi="Times New Roman"/>
                <w:noProof/>
                <w:sz w:val="24"/>
              </w:rPr>
              <w:t xml:space="preserve">, ja </w:t>
            </w:r>
            <w:r>
              <w:rPr>
                <w:rFonts w:ascii="Times New Roman" w:hAnsi="Times New Roman"/>
                <w:noProof/>
                <w:sz w:val="24"/>
              </w:rPr>
              <w:t>tagama, et need rakendatakse viivitamata.</w:t>
            </w:r>
          </w:p>
        </w:tc>
      </w:tr>
    </w:tbl>
    <w:p w:rsidR="00F105EB" w:rsidRDefault="00F105EB">
      <w:pPr>
        <w:jc w:val="both"/>
        <w:rPr>
          <w:noProof/>
        </w:rPr>
      </w:pPr>
    </w:p>
    <w:p w:rsidR="00F105EB" w:rsidRDefault="00F105EB">
      <w:pPr>
        <w:jc w:val="both"/>
        <w:rPr>
          <w:rFonts w:ascii="Times New Roman" w:hAnsi="Times New Roman"/>
          <w:noProof/>
          <w:color w:val="000000"/>
          <w:sz w:val="24"/>
          <w:szCs w:val="24"/>
        </w:rPr>
      </w:pPr>
    </w:p>
    <w:p w:rsidR="00F105EB" w:rsidRDefault="00A73D31">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EL, mis pakub kaitset ja varjupaika</w:t>
      </w:r>
    </w:p>
    <w:p w:rsidR="00F105EB" w:rsidRDefault="00F105EB">
      <w:pPr>
        <w:pStyle w:val="ListParagraph"/>
        <w:ind w:left="360"/>
        <w:jc w:val="both"/>
        <w:rPr>
          <w:rFonts w:ascii="Times New Roman" w:hAnsi="Times New Roman"/>
          <w:b/>
          <w:noProof/>
          <w:color w:val="000000"/>
          <w:sz w:val="24"/>
          <w:szCs w:val="24"/>
          <w:u w:val="single"/>
        </w:rPr>
      </w:pPr>
    </w:p>
    <w:p w:rsidR="00F105EB" w:rsidRDefault="00A73D31">
      <w:pPr>
        <w:keepNext/>
        <w:spacing w:after="120"/>
        <w:jc w:val="both"/>
        <w:rPr>
          <w:rFonts w:ascii="Times New Roman" w:hAnsi="Times New Roman"/>
          <w:i/>
          <w:noProof/>
          <w:color w:val="000000"/>
          <w:sz w:val="24"/>
          <w:szCs w:val="24"/>
        </w:rPr>
      </w:pPr>
      <w:r>
        <w:rPr>
          <w:rFonts w:ascii="Times New Roman" w:hAnsi="Times New Roman"/>
          <w:i/>
          <w:noProof/>
          <w:color w:val="000000"/>
          <w:sz w:val="24"/>
        </w:rPr>
        <w:t>Euroopa ühise varjupaigasüsteemi ajakohastamine</w:t>
      </w: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Komisjon on veendunud, et EL suudab oma varjupaigasüsteemi reformida, et tagada abi vajavatele rändajatele parem kaitse ja </w:t>
      </w:r>
      <w:r>
        <w:rPr>
          <w:rFonts w:ascii="Times New Roman" w:hAnsi="Times New Roman"/>
          <w:noProof/>
          <w:color w:val="000000"/>
          <w:sz w:val="24"/>
        </w:rPr>
        <w:t>inimväärsed tingimused, saates tagasi need, kellel ei ole õigust Euroopasse jääda. EL peab oma kodanikele näitama, et ta suudab luua varjupaigasüsteemi, mis on õiglane ja eesmärgipärane ning mis koos rangemate piirikontrollimeetmetega suudaks panna vastu r</w:t>
      </w:r>
      <w:r>
        <w:rPr>
          <w:rFonts w:ascii="Times New Roman" w:hAnsi="Times New Roman"/>
          <w:noProof/>
          <w:color w:val="000000"/>
          <w:sz w:val="24"/>
        </w:rPr>
        <w:t>ändesurve suurenemisele tulevikus. Tõsiasi, et ebaseaduslike saabujate hulk on vähenenud kriisieelsele tasemele, ei muuda seda, et on ikka veel puudusi ja varjupaigasüsteemi tuleb põhjalikult muuta.</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Äärmiselt vajalik on ELi-ülene lähenemisviis. Selle alus</w:t>
      </w:r>
      <w:r>
        <w:rPr>
          <w:rFonts w:ascii="Times New Roman" w:hAnsi="Times New Roman"/>
          <w:noProof/>
          <w:color w:val="000000"/>
          <w:sz w:val="24"/>
        </w:rPr>
        <w:t xml:space="preserve">eks peavad olema kindlad tagatised, et iga liikmesriik menetleb neid varjupaigataotlusi, mille läbivaatamise eest ta vastutab, ning struktureeritud prognoositav solidaarsusmehhanism, mis tagab, et ühegi liikmesriigi koormus ei ole ebaproportsionaalne. ELi </w:t>
      </w:r>
      <w:r>
        <w:rPr>
          <w:rFonts w:ascii="Times New Roman" w:hAnsi="Times New Roman"/>
          <w:noProof/>
          <w:color w:val="000000"/>
          <w:sz w:val="24"/>
        </w:rPr>
        <w:t>varjupaigasüsteem saab olla täiesti tulemuslik ja usaldustäratav ainult siis, kui solidaarsed ollakse alati, mitte üksikjuhtudel. See käib käsikäes varjupaigataotluste menetlemise selgete, lihtsate ja ühiste eeskirjadega, mille rakendamise aluseks on biome</w:t>
      </w:r>
      <w:r>
        <w:rPr>
          <w:rFonts w:ascii="Times New Roman" w:hAnsi="Times New Roman"/>
          <w:noProof/>
          <w:color w:val="000000"/>
          <w:sz w:val="24"/>
        </w:rPr>
        <w:t>etriliste tõendite tõhusam kasutamine, ning piisav operatiiv- ja rahaline toetus liikmesriikidele.</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Kuni varjupaigataotlejate kohtlemine erineb liikmesriigiti märkimisväärselt ja liikmesriigi vastutuse varjupaigataotluse läbivaatamise eest võib lihtsalt ül</w:t>
      </w:r>
      <w:r>
        <w:rPr>
          <w:rFonts w:ascii="Times New Roman" w:hAnsi="Times New Roman"/>
          <w:noProof/>
          <w:color w:val="000000"/>
          <w:sz w:val="24"/>
        </w:rPr>
        <w:t>e kanda teisele liikmesriigile, on ELi varjupaigasüsteem aldis väärkasutamisele, korduvate varjupaigataotluste esitamisele ja teisesele rändele. Vaja on kaitse andmise rangemaid norme ja ühtlustatud kriteeriume ning õiglasi ja võrdseid tingimusi varjupaiga</w:t>
      </w:r>
      <w:r>
        <w:rPr>
          <w:rFonts w:ascii="Times New Roman" w:hAnsi="Times New Roman"/>
          <w:noProof/>
          <w:color w:val="000000"/>
          <w:sz w:val="24"/>
        </w:rPr>
        <w:t xml:space="preserve">taotlejatele ja varjupaiga saanud isikutele kogu ELis. Varjupaigasüsteem saab olla usaldusväärne ainult siis, kui varjupaigataotlejad, kelle varjupaigataotlus on tagasi lükatud ja kellel ei ole enam õigust ELis viibida, saadetakse kiiresti tagasi. Selleks </w:t>
      </w:r>
      <w:r>
        <w:rPr>
          <w:rFonts w:ascii="Times New Roman" w:hAnsi="Times New Roman"/>
          <w:noProof/>
          <w:color w:val="000000"/>
          <w:sz w:val="24"/>
        </w:rPr>
        <w:t>tuleb teineteisega sujuvalt siduda varjupaigasüsteem ja tõhus tagasisaatmissüsteem, austades täielikult põhiõigusi.</w:t>
      </w:r>
    </w:p>
    <w:p w:rsidR="00F105EB" w:rsidRDefault="00F105EB">
      <w:pPr>
        <w:jc w:val="both"/>
        <w:rPr>
          <w:rFonts w:ascii="Times New Roman" w:hAnsi="Times New Roman"/>
          <w:noProof/>
          <w:color w:val="000000"/>
          <w:sz w:val="24"/>
          <w:szCs w:val="24"/>
        </w:rPr>
      </w:pPr>
    </w:p>
    <w:p w:rsidR="00F105EB" w:rsidRDefault="00A73D31">
      <w:pPr>
        <w:jc w:val="both"/>
        <w:rPr>
          <w:noProof/>
          <w:color w:val="000000"/>
        </w:rPr>
      </w:pPr>
      <w:r>
        <w:rPr>
          <w:rFonts w:ascii="Times New Roman" w:hAnsi="Times New Roman"/>
          <w:noProof/>
          <w:color w:val="000000"/>
          <w:sz w:val="24"/>
        </w:rPr>
        <w:t>Selle saavutamiseks on komisjon esitanud kõik vajalikud ettepanekud ja toetab iga ettepanekuga edasi liikumiseks kindlalt järkjärgulist läh</w:t>
      </w:r>
      <w:r>
        <w:rPr>
          <w:rFonts w:ascii="Times New Roman" w:hAnsi="Times New Roman"/>
          <w:noProof/>
          <w:color w:val="000000"/>
          <w:sz w:val="24"/>
        </w:rPr>
        <w:t>enemisviisi. Praegu on tasakaalustatud poliitiline kokkulepe käeulatuses viie varjupaigareformi käsitleva ettepaneku puhul. Euroopa Parlament ja nõukogu peaksid nüüd kasutama võimalust viia protsess lõpule enne Euroopa Parlamendi valimisi ja näidata kodani</w:t>
      </w:r>
      <w:r>
        <w:rPr>
          <w:rFonts w:ascii="Times New Roman" w:hAnsi="Times New Roman"/>
          <w:noProof/>
          <w:color w:val="000000"/>
          <w:sz w:val="24"/>
        </w:rPr>
        <w:t>kele, et EL on suuteline tegema edusamme. Nagu komisjon 2018. aasta detsembris teatas,</w:t>
      </w:r>
      <w:r>
        <w:rPr>
          <w:rStyle w:val="FootnoteReference"/>
          <w:rFonts w:ascii="Times New Roman" w:hAnsi="Times New Roman"/>
          <w:noProof/>
          <w:color w:val="000000"/>
          <w:sz w:val="24"/>
        </w:rPr>
        <w:footnoteReference w:id="42"/>
      </w:r>
      <w:r>
        <w:rPr>
          <w:rFonts w:ascii="Times New Roman" w:hAnsi="Times New Roman"/>
          <w:noProof/>
          <w:color w:val="000000"/>
          <w:sz w:val="24"/>
        </w:rPr>
        <w:t xml:space="preserve"> annab iga ettepanek olulist kasu ning ei ole tehnilisi ega õiguslikke takistusi, et võtta üks või mitu neist vastu eraldi. Miinimumnõuete määrusega tagataks pagulaseks </w:t>
      </w:r>
      <w:r>
        <w:rPr>
          <w:rFonts w:ascii="Times New Roman" w:hAnsi="Times New Roman"/>
          <w:noProof/>
          <w:color w:val="000000"/>
          <w:sz w:val="24"/>
        </w:rPr>
        <w:t>tunnistatud isikute õigused ja tõkestataks teisest rännet. Vastuvõtutingimuste direktiiv piiraks samuti teisest rännet, tagades ühtlustatud ja inimväärsed tingimused varjupaigataotlejatele kogu ELis. Varjupaigaameti määrus võimaldaks ametil suurendada liik</w:t>
      </w:r>
      <w:r>
        <w:rPr>
          <w:rFonts w:ascii="Times New Roman" w:hAnsi="Times New Roman"/>
          <w:noProof/>
          <w:color w:val="000000"/>
          <w:sz w:val="24"/>
        </w:rPr>
        <w:t>mesriikidele antavat abi kiire ja täiemahulise toetuse kaudu. Uued õigusnormid EURODACi andmebaasi kohta võimaldaksid liikmesriikidel jälgida teisest rännet ja paremini tuvastada inimesi, kellel ei ole õigust ELis viibida. Liidu ümberasustamisraamistik tag</w:t>
      </w:r>
      <w:r>
        <w:rPr>
          <w:rFonts w:ascii="Times New Roman" w:hAnsi="Times New Roman"/>
          <w:noProof/>
          <w:color w:val="000000"/>
          <w:sz w:val="24"/>
        </w:rPr>
        <w:t>aks turvalised ja seaduslikud rändevõimalused, vähendaks ebaseaduslikke rändevooge ja hõlbustaks suhteid välispartneritega. Komisjon jätkab nii Euroopa Parlamendi kui ka nõukoguga koostööd ettepanekute vastuvõtmise nimel.</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Komisjon jälgib ka edaspidi praeg</w:t>
      </w:r>
      <w:r>
        <w:rPr>
          <w:rFonts w:ascii="Times New Roman" w:hAnsi="Times New Roman"/>
          <w:noProof/>
          <w:color w:val="000000"/>
          <w:sz w:val="24"/>
        </w:rPr>
        <w:t>use varjupaigassüsteemi rakendamist ELi liikmesriikides, uurides muu hulgas puudusi erinevate varjupaigainstrumentide ülevõtmiseks vastuvõetud siseriiklikes õigusnormides või nende rakendamises.</w:t>
      </w:r>
    </w:p>
    <w:p w:rsidR="00F105EB" w:rsidRDefault="00F105EB">
      <w:pPr>
        <w:jc w:val="both"/>
        <w:rPr>
          <w:rFonts w:ascii="Times New Roman" w:hAnsi="Times New Roman"/>
          <w:noProof/>
          <w:color w:val="000000"/>
          <w:sz w:val="24"/>
          <w:szCs w:val="24"/>
        </w:rPr>
      </w:pPr>
    </w:p>
    <w:p w:rsidR="00F105EB" w:rsidRDefault="00A73D31">
      <w:pPr>
        <w:keepNext/>
        <w:spacing w:after="120"/>
        <w:jc w:val="both"/>
        <w:rPr>
          <w:rFonts w:ascii="Times New Roman" w:hAnsi="Times New Roman"/>
          <w:i/>
          <w:noProof/>
          <w:color w:val="000000"/>
          <w:sz w:val="24"/>
          <w:szCs w:val="24"/>
        </w:rPr>
      </w:pPr>
      <w:r>
        <w:rPr>
          <w:rFonts w:ascii="Times New Roman" w:hAnsi="Times New Roman"/>
          <w:i/>
          <w:noProof/>
          <w:color w:val="000000"/>
          <w:sz w:val="24"/>
        </w:rPr>
        <w:t>ELi toetus väljaspool ELi antavale kaitsele</w:t>
      </w:r>
    </w:p>
    <w:p w:rsidR="00F105EB" w:rsidRDefault="00A73D31">
      <w:pPr>
        <w:jc w:val="both"/>
        <w:rPr>
          <w:rFonts w:ascii="Times New Roman" w:hAnsi="Times New Roman"/>
          <w:noProof/>
          <w:color w:val="000000"/>
          <w:sz w:val="24"/>
          <w:szCs w:val="24"/>
        </w:rPr>
      </w:pPr>
      <w:r>
        <w:rPr>
          <w:rFonts w:ascii="Times New Roman" w:hAnsi="Times New Roman"/>
          <w:noProof/>
          <w:sz w:val="24"/>
        </w:rPr>
        <w:t>Turvaliste ja se</w:t>
      </w:r>
      <w:r>
        <w:rPr>
          <w:rFonts w:ascii="Times New Roman" w:hAnsi="Times New Roman"/>
          <w:noProof/>
          <w:sz w:val="24"/>
        </w:rPr>
        <w:t xml:space="preserve">aduslike ümberasumisvõimaluste pakkumine neile, kes abi kõige rohkem vajavad, peegeldab ELi väärtusi ja suurendab kolmandatest riikidest partnerite usaldust. </w:t>
      </w:r>
      <w:r>
        <w:rPr>
          <w:rFonts w:ascii="Times New Roman" w:hAnsi="Times New Roman"/>
          <w:noProof/>
          <w:color w:val="000000"/>
          <w:sz w:val="24"/>
        </w:rPr>
        <w:t>Ümberasustamine pakub neile, kellel on õigus rahvusvahelisele kaitsele, turvalise võimaluse liikud</w:t>
      </w:r>
      <w:r>
        <w:rPr>
          <w:rFonts w:ascii="Times New Roman" w:hAnsi="Times New Roman"/>
          <w:noProof/>
          <w:color w:val="000000"/>
          <w:sz w:val="24"/>
        </w:rPr>
        <w:t xml:space="preserve">a Euroopasse. Olemasoleva ELi ümberasustamiskava kohaselt on 20 liikmesriiki lubanud pakkuda 2019. oktoobriks üle 50 000 ümberasustamiskoha neile, kes abi kõige rohkem vajavad. Üle 24 000 inimese on juba ELis varjupaiga saanud. Näiteks käimasolev enam kui </w:t>
      </w:r>
      <w:r>
        <w:rPr>
          <w:rFonts w:ascii="Times New Roman" w:hAnsi="Times New Roman"/>
          <w:noProof/>
          <w:color w:val="000000"/>
          <w:sz w:val="24"/>
        </w:rPr>
        <w:t>2 000 inimese ümberasustamine Liibüast on olnud keskse tähtsusega selles, et EL suutis koostöös ÜRO Pagulaste Ülemvoliniku Ametiga ja Nigeeria ametiasutustega pakkuda kaitset neile, kes seda kõige rohkem vajavad. Liikmesriigid peavad tööd jätkama ja tagama</w:t>
      </w:r>
      <w:r>
        <w:rPr>
          <w:rFonts w:ascii="Times New Roman" w:hAnsi="Times New Roman"/>
          <w:noProof/>
          <w:color w:val="000000"/>
          <w:sz w:val="24"/>
        </w:rPr>
        <w:t>, et antud lubadused täidetakse enne oktoobris olevat tähtaega.</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Pagulaste ja rändajate kaitse väljaspool ELi on olnud üks ELi poliitika keskseid teemasid alates 2015. aastast. Kavade raames on toetatud miljoneid inimesi, rahuldades nende põhivajadusi ja p</w:t>
      </w:r>
      <w:r>
        <w:rPr>
          <w:rFonts w:ascii="Times New Roman" w:hAnsi="Times New Roman"/>
          <w:noProof/>
          <w:color w:val="000000"/>
          <w:sz w:val="24"/>
        </w:rPr>
        <w:t xml:space="preserve">arandades nende inimeste elukvaliteeti, kes on olnud sunnitud põgenema konfliktide eest kodumaal. </w:t>
      </w:r>
      <w:r>
        <w:rPr>
          <w:rFonts w:ascii="Times New Roman" w:hAnsi="Times New Roman"/>
          <w:noProof/>
          <w:sz w:val="24"/>
        </w:rPr>
        <w:t>Eelkõige Süüria pikaleveninud kriisi tõttu on riigis 13 miljonit ja naaberriikides 5,6 miljonit inimest, kelle humanitaarabivajadus on väga suur.</w:t>
      </w:r>
    </w:p>
    <w:p w:rsidR="00F105EB" w:rsidRDefault="00F105EB">
      <w:pPr>
        <w:jc w:val="both"/>
        <w:rPr>
          <w:rFonts w:ascii="Times New Roman" w:hAnsi="Times New Roman"/>
          <w:noProof/>
          <w:color w:val="000000"/>
          <w:sz w:val="24"/>
          <w:szCs w:val="24"/>
        </w:rPr>
      </w:pPr>
    </w:p>
    <w:p w:rsidR="00F105EB" w:rsidRDefault="00A73D31">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Türgi pagul</w:t>
      </w:r>
      <w:r>
        <w:rPr>
          <w:rFonts w:ascii="Times New Roman" w:hAnsi="Times New Roman"/>
          <w:noProof/>
          <w:color w:val="000000"/>
          <w:sz w:val="24"/>
        </w:rPr>
        <w:t>asrahastu raames antav ELi toetus on mõeldud selleks, et tulla toime keerulise ülesandega majutada Türgis ligi 4 miljonit pagulast. 2018. aasta lõpuks oli tänu humanitaarabile saanud programmi „Hädaolukorra sotsiaalne turvavõrk“ raames abi 1,5 miljonit kõi</w:t>
      </w:r>
      <w:r>
        <w:rPr>
          <w:rFonts w:ascii="Times New Roman" w:hAnsi="Times New Roman"/>
          <w:noProof/>
          <w:color w:val="000000"/>
          <w:sz w:val="24"/>
        </w:rPr>
        <w:t>ge haavatavamat pagulast ja üle 410 000 õpilase on saanud koolis käia</w:t>
      </w:r>
      <w:r>
        <w:rPr>
          <w:rStyle w:val="FootnoteReference"/>
          <w:rFonts w:ascii="Times New Roman" w:hAnsi="Times New Roman"/>
          <w:noProof/>
          <w:sz w:val="24"/>
        </w:rPr>
        <w:footnoteReference w:id="43"/>
      </w:r>
      <w:r>
        <w:rPr>
          <w:rFonts w:ascii="Times New Roman" w:hAnsi="Times New Roman"/>
          <w:noProof/>
          <w:color w:val="000000"/>
          <w:sz w:val="24"/>
        </w:rPr>
        <w:t>.</w:t>
      </w:r>
      <w:r>
        <w:rPr>
          <w:rFonts w:ascii="Times New Roman" w:hAnsi="Times New Roman"/>
          <w:noProof/>
          <w:sz w:val="24"/>
        </w:rPr>
        <w:t xml:space="preserve"> 600 000 last oli saanud abi integreerumisel Türgi koolisüsteemiga. Toetust oli antud nelja miljoni esmatasandi tervishoiukonsultatsiooni jaoks ja vaktsineeritud oli üle 500 000 Süüria </w:t>
      </w:r>
      <w:r>
        <w:rPr>
          <w:rFonts w:ascii="Times New Roman" w:hAnsi="Times New Roman"/>
          <w:noProof/>
          <w:sz w:val="24"/>
        </w:rPr>
        <w:t>lapse. Teisest 3 miljardi euro suurusest osamaksest on nüüd eraldatud 1,2 miljardit eurot.</w:t>
      </w:r>
    </w:p>
    <w:p w:rsidR="00F105EB" w:rsidRDefault="00A73D31">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2018. aastal täitis EL Brüsseli teisel konverentsil „Süüria ja piirkonna tuleviku toetamine“ antud lubaduse suurendada ELi ja liikmesriikide kogutoetust kriisijärgse</w:t>
      </w:r>
      <w:r>
        <w:rPr>
          <w:rFonts w:ascii="Times New Roman" w:hAnsi="Times New Roman"/>
          <w:noProof/>
          <w:sz w:val="24"/>
        </w:rPr>
        <w:t>l ajal ligi 17 miljardi euroni, muutes ELi suurimaks abiandjaks. Lisaks Türgile on EL andnud olulist humanitaarabi riigisisestele põgenikele Süürias ning pagulastele ja vastuvõtvatele kogukondadele Jordaanias ja Liibanonis, samuti on abi antud Iraagis ja E</w:t>
      </w:r>
      <w:r>
        <w:rPr>
          <w:rFonts w:ascii="Times New Roman" w:hAnsi="Times New Roman"/>
          <w:noProof/>
          <w:sz w:val="24"/>
        </w:rPr>
        <w:t>giptuses. Kokku toetas Süüria kriisile reageerimiseks loodud Euroopa Liidu piirkondlik usaldusfond 2018. aastal ligikaudu 2 miljonit Süüria pagulast ja vastuvõtvaid kogukondi</w:t>
      </w:r>
      <w:r>
        <w:rPr>
          <w:rStyle w:val="FootnoteReference"/>
          <w:rFonts w:ascii="Times New Roman" w:hAnsi="Times New Roman"/>
          <w:noProof/>
          <w:color w:val="000000"/>
          <w:sz w:val="24"/>
        </w:rPr>
        <w:footnoteReference w:id="44"/>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Lähenev Brüsseli kolmas konverents on 2019. aastal tähtsaim rahastajate kohtumi</w:t>
      </w:r>
      <w:r>
        <w:rPr>
          <w:rFonts w:ascii="Times New Roman" w:hAnsi="Times New Roman"/>
          <w:noProof/>
          <w:sz w:val="24"/>
        </w:rPr>
        <w:t>ne Süüria kriisi leevendamiseks ja EL kavatseb jääda eelmistel aastatel esitatud rahastamislubaduste juurde.</w:t>
      </w:r>
    </w:p>
    <w:p w:rsidR="00F105EB" w:rsidRDefault="00A73D31">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Piirkondlike arengu- ja kaitseprogrammide kaudu, mis keskenduvad Põhja-Aafrikale ja Aafrika Sarve piirkonnale, toetatakse palju pagulasi vastu võtv</w:t>
      </w:r>
      <w:r>
        <w:rPr>
          <w:rFonts w:ascii="Times New Roman" w:hAnsi="Times New Roman"/>
          <w:noProof/>
          <w:color w:val="000000"/>
          <w:sz w:val="24"/>
        </w:rPr>
        <w:t>aid kolmandaid riike, et rahuldada pagulaste kaitse- ja arengualaseid vajadusi</w:t>
      </w:r>
      <w:r>
        <w:rPr>
          <w:rStyle w:val="FootnoteReference"/>
          <w:rFonts w:ascii="Times New Roman" w:hAnsi="Times New Roman"/>
          <w:noProof/>
          <w:color w:val="000000"/>
          <w:sz w:val="24"/>
        </w:rPr>
        <w:footnoteReference w:id="45"/>
      </w:r>
      <w:r>
        <w:rPr>
          <w:rFonts w:ascii="Times New Roman" w:hAnsi="Times New Roman"/>
          <w:noProof/>
          <w:color w:val="000000"/>
          <w:sz w:val="24"/>
        </w:rPr>
        <w:t>.</w:t>
      </w:r>
    </w:p>
    <w:p w:rsidR="00F105EB" w:rsidRDefault="00A73D31">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Kaitse on ka üks ELi Aafrika jaoks mõeldud hädaolukorra usaldusfondi rahastamisprioriteetidest. Fond täiendab humanitaarabi ja aitab rahuldada sunniviisiliselt ümber asustatud</w:t>
      </w:r>
      <w:r>
        <w:rPr>
          <w:rFonts w:ascii="Times New Roman" w:hAnsi="Times New Roman"/>
          <w:noProof/>
          <w:color w:val="000000"/>
          <w:sz w:val="24"/>
        </w:rPr>
        <w:t xml:space="preserve"> elanike põhivajadusi. Ainuüksi Aafrika Sarve piirkonnas üle 4 miljoni pagulase ja hinnanguliselt 10 miljoni riigisisese põgeniku toetamise kaudu on usaldusfond aidanud pagulaste kogukondadel muutuda isemajandavaks ning samas on toetatud vastuvõtvaid koguk</w:t>
      </w:r>
      <w:r>
        <w:rPr>
          <w:rFonts w:ascii="Times New Roman" w:hAnsi="Times New Roman"/>
          <w:noProof/>
          <w:color w:val="000000"/>
          <w:sz w:val="24"/>
        </w:rPr>
        <w:t>ondi. Erilist tähelepanu pööratakse usaldusfondist rahastamise korral vajaliku stabiilsuse edendamisele Somaalias ja Sudaanis.</w:t>
      </w: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Sundränne on üleilmne nähtus, mis vajab üleilmseid lahendusi. Toimivad varjupaigasüsteemid on kesksel kohal nii kolmandatest riik</w:t>
      </w:r>
      <w:r>
        <w:rPr>
          <w:rFonts w:ascii="Times New Roman" w:hAnsi="Times New Roman"/>
          <w:noProof/>
          <w:color w:val="000000"/>
          <w:sz w:val="24"/>
        </w:rPr>
        <w:t>idest partnerite jaoks kui ka ELis. EL peaks kasutama üleilmse pagulasi käsitleva kokkuleppe antud hoogu selleks, et ka edaspidi kasutada olemasolevaid ELi raamistikke, et aidata kolmandaid riike pakulaste toetamisel väljaspool ELi.</w:t>
      </w:r>
    </w:p>
    <w:p w:rsidR="00F105EB" w:rsidRDefault="00F105EB">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F105EB">
        <w:tc>
          <w:tcPr>
            <w:tcW w:w="9286" w:type="dxa"/>
            <w:shd w:val="clear" w:color="auto" w:fill="1F497D" w:themeFill="text2"/>
          </w:tcPr>
          <w:p w:rsidR="00F105EB" w:rsidRDefault="00A73D31">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 xml:space="preserve">Järgmised peamised </w:t>
            </w:r>
            <w:r>
              <w:rPr>
                <w:rFonts w:ascii="Times New Roman" w:hAnsi="Times New Roman"/>
                <w:b/>
                <w:noProof/>
                <w:color w:val="FFFFFF" w:themeColor="background1"/>
                <w:sz w:val="24"/>
              </w:rPr>
              <w:t>sammud</w:t>
            </w:r>
          </w:p>
        </w:tc>
      </w:tr>
      <w:tr w:rsidR="00F105EB">
        <w:tc>
          <w:tcPr>
            <w:tcW w:w="9286" w:type="dxa"/>
            <w:shd w:val="clear" w:color="auto" w:fill="C6D9F1" w:themeFill="text2" w:themeFillTint="33"/>
          </w:tcPr>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Euroopa Parlament ja nõukogu peaksid võtma vastu </w:t>
            </w:r>
            <w:r>
              <w:rPr>
                <w:rFonts w:ascii="Times New Roman" w:eastAsiaTheme="minorHAnsi" w:hAnsi="Times New Roman"/>
                <w:b/>
                <w:i/>
                <w:noProof/>
                <w:color w:val="000000"/>
                <w:sz w:val="24"/>
              </w:rPr>
              <w:t>uue õigusraamistiku</w:t>
            </w:r>
            <w:r>
              <w:rPr>
                <w:rFonts w:ascii="Times New Roman" w:eastAsiaTheme="minorHAnsi" w:hAnsi="Times New Roman"/>
                <w:noProof/>
                <w:color w:val="000000"/>
                <w:sz w:val="24"/>
              </w:rPr>
              <w:t>, mida on vaja Euroopa ühise varjupaigasüsteemi rakendamiseks, et tulla toime tulevaste ülesannetega. Nende ettepanekute menetlemine on lõpusirgel ja need tuleks enne Euroopa Parla</w:t>
            </w:r>
            <w:r>
              <w:rPr>
                <w:rFonts w:ascii="Times New Roman" w:eastAsiaTheme="minorHAnsi" w:hAnsi="Times New Roman"/>
                <w:noProof/>
                <w:color w:val="000000"/>
                <w:sz w:val="24"/>
              </w:rPr>
              <w:t>mendi valimisi vastu võtta.</w:t>
            </w:r>
          </w:p>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Liikmesriigid peaksid tagama, et lubadused 50 000 inimese </w:t>
            </w:r>
            <w:r>
              <w:rPr>
                <w:rFonts w:ascii="Times New Roman" w:eastAsiaTheme="minorHAnsi" w:hAnsi="Times New Roman"/>
                <w:b/>
                <w:i/>
                <w:noProof/>
                <w:color w:val="000000"/>
                <w:sz w:val="24"/>
              </w:rPr>
              <w:t>ümberasustamiseks</w:t>
            </w:r>
            <w:r>
              <w:rPr>
                <w:rFonts w:ascii="Times New Roman" w:eastAsiaTheme="minorHAnsi" w:hAnsi="Times New Roman"/>
                <w:noProof/>
                <w:color w:val="000000"/>
                <w:sz w:val="24"/>
              </w:rPr>
              <w:t xml:space="preserve"> täidetakse enne 2019. aasta oktoobris olevat tähtaega.</w:t>
            </w:r>
          </w:p>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EL ja liikmesriigid peaksid säilitama toetuse, mis on vajalik </w:t>
            </w:r>
            <w:r>
              <w:rPr>
                <w:rFonts w:ascii="Times New Roman" w:eastAsiaTheme="minorHAnsi" w:hAnsi="Times New Roman"/>
                <w:b/>
                <w:i/>
                <w:noProof/>
                <w:color w:val="000000"/>
                <w:sz w:val="24"/>
              </w:rPr>
              <w:t>pagulaste ja rändajate kaitseks kol</w:t>
            </w:r>
            <w:r>
              <w:rPr>
                <w:rFonts w:ascii="Times New Roman" w:eastAsiaTheme="minorHAnsi" w:hAnsi="Times New Roman"/>
                <w:b/>
                <w:i/>
                <w:noProof/>
                <w:color w:val="000000"/>
                <w:sz w:val="24"/>
              </w:rPr>
              <w:t>mandates riikides</w:t>
            </w:r>
            <w:r>
              <w:rPr>
                <w:rFonts w:ascii="Times New Roman" w:eastAsiaTheme="minorHAnsi" w:hAnsi="Times New Roman"/>
                <w:noProof/>
                <w:color w:val="000000"/>
                <w:sz w:val="24"/>
              </w:rPr>
              <w:t>, sealhulgas jääma Brüsseli kolmandal Süüria-teemalisel konverentsil varasemate rahastamislubaduste juurde.</w:t>
            </w:r>
          </w:p>
        </w:tc>
      </w:tr>
    </w:tbl>
    <w:p w:rsidR="00F105EB" w:rsidRDefault="00F105EB">
      <w:pPr>
        <w:jc w:val="both"/>
        <w:rPr>
          <w:rFonts w:ascii="Times New Roman" w:hAnsi="Times New Roman"/>
          <w:noProof/>
          <w:color w:val="000000"/>
          <w:sz w:val="24"/>
          <w:szCs w:val="24"/>
        </w:rPr>
      </w:pPr>
    </w:p>
    <w:p w:rsidR="00F105EB" w:rsidRDefault="00F105EB">
      <w:pPr>
        <w:jc w:val="both"/>
        <w:rPr>
          <w:rFonts w:ascii="Times New Roman" w:hAnsi="Times New Roman"/>
          <w:noProof/>
          <w:color w:val="000000"/>
          <w:sz w:val="24"/>
          <w:szCs w:val="24"/>
        </w:rPr>
      </w:pPr>
    </w:p>
    <w:p w:rsidR="00F105EB" w:rsidRDefault="00A73D31">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Seaduslik ränne ja integratsioon </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Seaduslikud rändevõimalused on ELi rändehalduse oluline element, sest need hoiavad ära ebasea</w:t>
      </w:r>
      <w:r>
        <w:rPr>
          <w:rFonts w:ascii="Times New Roman" w:hAnsi="Times New Roman"/>
          <w:noProof/>
          <w:color w:val="000000"/>
          <w:sz w:val="24"/>
        </w:rPr>
        <w:t>duslike rändeteede kasutamise ja näitavad ELi pühendumust tõelistele pikaajalistele partnerlustele. Need on olulised ka selleks, et EL suudaks rahuldada praegust ja tulevast vajadust teatavate oskustega töötajate järele. Seaduslik ränne toimub hoolikalt vä</w:t>
      </w:r>
      <w:r>
        <w:rPr>
          <w:rFonts w:ascii="Times New Roman" w:hAnsi="Times New Roman"/>
          <w:noProof/>
          <w:color w:val="000000"/>
          <w:sz w:val="24"/>
        </w:rPr>
        <w:t>lja töötatud ELi tasandi õigusraamistikus, mis käsitleb kolmandate riikide kodanike vastuvõtmise tingimusi, menetlusi ja õigusi, ning liikmesriigid otsustavad, kui palju kolmandate riikide kodanikke nad võtavad vastu majanduslikel põhjustel. Selle valdkonn</w:t>
      </w:r>
      <w:r>
        <w:rPr>
          <w:rFonts w:ascii="Times New Roman" w:hAnsi="Times New Roman"/>
          <w:noProof/>
          <w:color w:val="000000"/>
          <w:sz w:val="24"/>
        </w:rPr>
        <w:t>a tähtsaim ettepanek vaadata läbi sinise kaardi direktiiv on praegu ummikseisus. Komisjon kavatseb varsti esitada seaduslikku rännet reguleeriva raamistiku ulatusliku hindamise (toimivuskontroll) tulemused, et nende üle saaks toimuda arutelu.</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Vahepeal on </w:t>
      </w:r>
      <w:r>
        <w:rPr>
          <w:rFonts w:ascii="Times New Roman" w:hAnsi="Times New Roman"/>
          <w:noProof/>
          <w:color w:val="000000"/>
          <w:sz w:val="24"/>
        </w:rPr>
        <w:t>hakatud ellu viima või valmistatakse ette mitut töörände katseprojekti. Need on oluline osa seadusliku rände uue lähenemisviisi ettevalmistamiseks tehtavast tööst. Sellised katseprojektid võimaldavad katsetada ja rakendada uusi struktuure ja lähenemisviise</w:t>
      </w:r>
      <w:r>
        <w:rPr>
          <w:rFonts w:ascii="Times New Roman" w:hAnsi="Times New Roman"/>
          <w:noProof/>
          <w:color w:val="000000"/>
          <w:sz w:val="24"/>
        </w:rPr>
        <w:t xml:space="preserve">, et hallata seaduslikku rännet koos peamiste partnerriikidega tulemuslikumalt. Projektid, kuhu on kaasatud Belgia ja Leedu, Maroko ja Nigeeria, ühendavad IT-sektoris oskuste nappuse vähendamise ja pärast projekti lõppu potentsiaalse taasintegreerimisega. </w:t>
      </w:r>
      <w:r>
        <w:rPr>
          <w:rFonts w:ascii="Times New Roman" w:hAnsi="Times New Roman"/>
          <w:noProof/>
          <w:color w:val="000000"/>
          <w:sz w:val="24"/>
        </w:rPr>
        <w:t>Praegu hinnatakse Hispaania ja Prantsusmaa projektiettepanekuid koostööks Põhja-Aafrika riikidega. Need konkreetsed projektid lisanduvad seadusliku rände piirkondlikule programmile, mille liikuvuskavades osaleb Saksamaa koos väljavalitud Põhja-Aafrika riik</w:t>
      </w:r>
      <w:r>
        <w:rPr>
          <w:rFonts w:ascii="Times New Roman" w:hAnsi="Times New Roman"/>
          <w:noProof/>
          <w:color w:val="000000"/>
          <w:sz w:val="24"/>
        </w:rPr>
        <w:t>idega ja mis võeti vastu 2018. aasta detsembris.</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 xml:space="preserve">Integratsioon on rändeprotsessis oluline etapp, mille jooksul tuleb tagada, et riigis viibimise õigust omavate inimeste oskusi ja pädevusi kasutatakse ja arendatakse nii, et neist saaksid kasu kõik, kuid </w:t>
      </w:r>
      <w:r>
        <w:rPr>
          <w:rFonts w:ascii="Times New Roman" w:hAnsi="Times New Roman"/>
          <w:noProof/>
          <w:color w:val="000000"/>
          <w:sz w:val="24"/>
        </w:rPr>
        <w:t>samuti tagada kaasav ja sidus ühiskond. Seaduslikult riigis viibivate kolmandate riikide kodanike edukas integratsioon on seega otsustava tähtsusega, et ränne toimiks nii majanduslikult kui ka sotsiaalselt, arvestades kolmandate riikide kodanike ja ELi kod</w:t>
      </w:r>
      <w:r>
        <w:rPr>
          <w:rFonts w:ascii="Times New Roman" w:hAnsi="Times New Roman"/>
          <w:noProof/>
          <w:color w:val="000000"/>
          <w:sz w:val="24"/>
        </w:rPr>
        <w:t>anike vahelisi erinevusi tööhõives, vaesuse määras ja juurdepääsul põhiteenustele, nagu haridus ja tervishoid. Seaduslikult riigis viibivate kolmandate riikide kodanike ja rändetaustaga inimeste integratsiooni toetamine on kesksel kohal 2021.–2027. aastaks</w:t>
      </w:r>
      <w:r>
        <w:rPr>
          <w:rFonts w:ascii="Times New Roman" w:hAnsi="Times New Roman"/>
          <w:noProof/>
          <w:color w:val="000000"/>
          <w:sz w:val="24"/>
        </w:rPr>
        <w:t xml:space="preserve"> kavandatud mitmeaastases finantsraamistikus</w:t>
      </w:r>
      <w:r>
        <w:rPr>
          <w:rStyle w:val="FootnoteReference"/>
          <w:rFonts w:ascii="Times New Roman" w:hAnsi="Times New Roman"/>
          <w:noProof/>
          <w:sz w:val="24"/>
        </w:rPr>
        <w:footnoteReference w:id="46"/>
      </w:r>
      <w:r>
        <w:rPr>
          <w:rFonts w:ascii="Times New Roman" w:hAnsi="Times New Roman"/>
          <w:noProof/>
          <w:color w:val="000000"/>
          <w:sz w:val="24"/>
        </w:rPr>
        <w:t>.</w:t>
      </w:r>
      <w:r>
        <w:rPr>
          <w:rFonts w:ascii="Times New Roman" w:hAnsi="Times New Roman"/>
          <w:noProof/>
          <w:sz w:val="24"/>
        </w:rPr>
        <w:t xml:space="preserve"> Meetmed, mis üldiselt keskenduvad integratsiooni varastele etappidele, sisaldaksid algtaseme keeleõpet, kodanikuõpetust ja ühtse kontaktpunktina toimivaid nõuandekeskusi</w:t>
      </w:r>
      <w:r>
        <w:rPr>
          <w:rStyle w:val="FootnoteReference"/>
          <w:rFonts w:ascii="Times New Roman" w:hAnsi="Times New Roman"/>
          <w:noProof/>
          <w:sz w:val="24"/>
        </w:rPr>
        <w:footnoteReference w:id="47"/>
      </w:r>
      <w:r>
        <w:rPr>
          <w:rFonts w:ascii="Times New Roman" w:hAnsi="Times New Roman"/>
          <w:noProof/>
          <w:sz w:val="24"/>
        </w:rPr>
        <w:t xml:space="preserve">. Muud meetmed hõlmaksid </w:t>
      </w:r>
      <w:r>
        <w:rPr>
          <w:rFonts w:ascii="Times New Roman" w:hAnsi="Times New Roman"/>
          <w:noProof/>
          <w:sz w:val="24"/>
        </w:rPr>
        <w:t>süstemaatilisemat integreerimist tööturule</w:t>
      </w:r>
      <w:r>
        <w:rPr>
          <w:rStyle w:val="FootnoteReference"/>
          <w:rFonts w:ascii="Times New Roman" w:hAnsi="Times New Roman"/>
          <w:noProof/>
          <w:sz w:val="24"/>
        </w:rPr>
        <w:footnoteReference w:id="48"/>
      </w:r>
      <w:r>
        <w:rPr>
          <w:rFonts w:ascii="Times New Roman" w:hAnsi="Times New Roman"/>
          <w:noProof/>
          <w:sz w:val="24"/>
        </w:rPr>
        <w:t xml:space="preserve"> ning kolmandate riikide kodanike ja rändetaustaga inimeste sotsiaalset kaasamist</w:t>
      </w:r>
      <w:r>
        <w:rPr>
          <w:rStyle w:val="FootnoteReference"/>
          <w:rFonts w:ascii="Times New Roman" w:hAnsi="Times New Roman"/>
          <w:noProof/>
          <w:sz w:val="24"/>
        </w:rPr>
        <w:footnoteReference w:id="49"/>
      </w:r>
      <w:r>
        <w:rPr>
          <w:rFonts w:ascii="Times New Roman" w:hAnsi="Times New Roman"/>
          <w:noProof/>
          <w:sz w:val="24"/>
        </w:rPr>
        <w:t>.</w:t>
      </w:r>
    </w:p>
    <w:p w:rsidR="00F105EB" w:rsidRDefault="00F105EB">
      <w:pPr>
        <w:jc w:val="both"/>
        <w:rPr>
          <w:rFonts w:ascii="Times New Roman" w:hAnsi="Times New Roman"/>
          <w:noProof/>
          <w:color w:val="000000"/>
          <w:sz w:val="24"/>
          <w:szCs w:val="24"/>
        </w:rPr>
      </w:pPr>
    </w:p>
    <w:p w:rsidR="00F105EB" w:rsidRDefault="00A73D31">
      <w:pPr>
        <w:jc w:val="both"/>
        <w:rPr>
          <w:rFonts w:ascii="Times New Roman" w:hAnsi="Times New Roman"/>
          <w:noProof/>
          <w:color w:val="000000"/>
          <w:sz w:val="24"/>
          <w:szCs w:val="24"/>
        </w:rPr>
      </w:pPr>
      <w:r>
        <w:rPr>
          <w:rFonts w:ascii="Times New Roman" w:hAnsi="Times New Roman"/>
          <w:noProof/>
          <w:color w:val="000000"/>
          <w:sz w:val="24"/>
        </w:rPr>
        <w:t>Veel üks oluline aspekt on tööalase ärakasutamise ennetamine ja võitlus selle vastu, mis on samuti üks ebaseadusliku rände tõmbe</w:t>
      </w:r>
      <w:r>
        <w:rPr>
          <w:rFonts w:ascii="Times New Roman" w:hAnsi="Times New Roman"/>
          <w:noProof/>
          <w:color w:val="000000"/>
          <w:sz w:val="24"/>
        </w:rPr>
        <w:t>tegureid. EL õigusnormid keelavad võtta tööle riigis ebaseaduslikult viibivaid kolmandate riikide kodanikke, sealhulgas neid, kes töötavad ekspluateerivates töötingimustes, ja nõuavad miinimumstandardeid, et hoida ära ja avastada rikkumisi ja määrata nende</w:t>
      </w:r>
      <w:r>
        <w:rPr>
          <w:rFonts w:ascii="Times New Roman" w:hAnsi="Times New Roman"/>
          <w:noProof/>
          <w:color w:val="000000"/>
          <w:sz w:val="24"/>
        </w:rPr>
        <w:t xml:space="preserve"> eest karistus.</w:t>
      </w:r>
    </w:p>
    <w:p w:rsidR="00F105EB" w:rsidRDefault="00F105EB">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F105EB">
        <w:tc>
          <w:tcPr>
            <w:tcW w:w="9286" w:type="dxa"/>
            <w:shd w:val="clear" w:color="auto" w:fill="1F497D" w:themeFill="text2"/>
          </w:tcPr>
          <w:p w:rsidR="00F105EB" w:rsidRDefault="00A73D31">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Järgmised peamised sammud</w:t>
            </w:r>
          </w:p>
        </w:tc>
      </w:tr>
      <w:tr w:rsidR="00F105EB">
        <w:tc>
          <w:tcPr>
            <w:tcW w:w="9286" w:type="dxa"/>
            <w:shd w:val="clear" w:color="auto" w:fill="C6D9F1" w:themeFill="text2" w:themeFillTint="33"/>
          </w:tcPr>
          <w:p w:rsidR="00F105EB" w:rsidRDefault="00A73D31">
            <w:pPr>
              <w:numPr>
                <w:ilvl w:val="0"/>
                <w:numId w:val="68"/>
              </w:numPr>
              <w:ind w:left="360"/>
              <w:contextualSpacing/>
              <w:jc w:val="both"/>
              <w:rPr>
                <w:rFonts w:ascii="Times New Roman" w:hAnsi="Times New Roman"/>
                <w:noProof/>
                <w:sz w:val="24"/>
                <w:szCs w:val="24"/>
              </w:rPr>
            </w:pPr>
            <w:r>
              <w:rPr>
                <w:rFonts w:ascii="Times New Roman" w:hAnsi="Times New Roman"/>
                <w:noProof/>
                <w:sz w:val="24"/>
              </w:rPr>
              <w:t>Komisjon viib lõpule seaduslikku rännet reguleeriva raamistiku ulatusliku hindamise (</w:t>
            </w:r>
            <w:r>
              <w:rPr>
                <w:rFonts w:ascii="Times New Roman" w:hAnsi="Times New Roman"/>
                <w:b/>
                <w:i/>
                <w:noProof/>
                <w:sz w:val="24"/>
              </w:rPr>
              <w:t>toimivuskontroll</w:t>
            </w:r>
            <w:r>
              <w:rPr>
                <w:rFonts w:ascii="Times New Roman" w:hAnsi="Times New Roman"/>
                <w:noProof/>
                <w:sz w:val="24"/>
              </w:rPr>
              <w:t>) ja algatab selle tulemuste üle sidusrühmadega arutelu.</w:t>
            </w:r>
          </w:p>
          <w:p w:rsidR="00F105EB" w:rsidRDefault="00A73D31">
            <w:pPr>
              <w:numPr>
                <w:ilvl w:val="0"/>
                <w:numId w:val="68"/>
              </w:numPr>
              <w:ind w:left="360"/>
              <w:contextualSpacing/>
              <w:jc w:val="both"/>
              <w:rPr>
                <w:rFonts w:ascii="Times New Roman" w:hAnsi="Times New Roman"/>
                <w:noProof/>
                <w:sz w:val="24"/>
                <w:szCs w:val="24"/>
              </w:rPr>
            </w:pPr>
            <w:r>
              <w:rPr>
                <w:rFonts w:ascii="Times New Roman" w:hAnsi="Times New Roman"/>
                <w:noProof/>
                <w:sz w:val="24"/>
              </w:rPr>
              <w:t>Liikmesriigid peaksid ELi toetusel tõhustama seaduslik</w:t>
            </w:r>
            <w:r>
              <w:rPr>
                <w:rFonts w:ascii="Times New Roman" w:hAnsi="Times New Roman"/>
                <w:noProof/>
                <w:sz w:val="24"/>
              </w:rPr>
              <w:t xml:space="preserve">u rände katseprojektide rakendamist: nad peaksid suurendama toetust uutele projektidele ja looma sünergiaid liikmesriikide rakendatavate projektide vahel. </w:t>
            </w:r>
          </w:p>
          <w:p w:rsidR="00F105EB" w:rsidRDefault="00A73D31">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Euroopa Parlament ja nõukogu peaksid tagama toetuse </w:t>
            </w:r>
            <w:r>
              <w:rPr>
                <w:rFonts w:ascii="Times New Roman" w:hAnsi="Times New Roman"/>
                <w:b/>
                <w:i/>
                <w:noProof/>
                <w:sz w:val="24"/>
              </w:rPr>
              <w:t>integratsioonimeetmetele järgmise mitmeaastase f</w:t>
            </w:r>
            <w:r>
              <w:rPr>
                <w:rFonts w:ascii="Times New Roman" w:hAnsi="Times New Roman"/>
                <w:b/>
                <w:i/>
                <w:noProof/>
                <w:sz w:val="24"/>
              </w:rPr>
              <w:t>inantsraamistiku raames</w:t>
            </w:r>
            <w:r>
              <w:rPr>
                <w:rFonts w:ascii="Times New Roman" w:hAnsi="Times New Roman"/>
                <w:noProof/>
                <w:sz w:val="24"/>
              </w:rPr>
              <w:t xml:space="preserve">. </w:t>
            </w:r>
          </w:p>
          <w:p w:rsidR="00F105EB" w:rsidRDefault="00A73D31">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EL peaks kasutama uute rahastamisprogrammide loodud võimalust parandada koordineerimist, rändajate oskuste vastavusse viimist tööturu vajadustega ja järelevalvet liikmesriikides rakendatavate </w:t>
            </w:r>
            <w:r>
              <w:rPr>
                <w:rFonts w:ascii="Times New Roman" w:hAnsi="Times New Roman"/>
                <w:b/>
                <w:i/>
                <w:noProof/>
                <w:sz w:val="24"/>
              </w:rPr>
              <w:t>integratsioonimeetmete</w:t>
            </w:r>
            <w:r>
              <w:rPr>
                <w:rFonts w:ascii="Times New Roman" w:hAnsi="Times New Roman"/>
                <w:noProof/>
                <w:sz w:val="24"/>
              </w:rPr>
              <w:t xml:space="preserve"> üle.</w:t>
            </w:r>
          </w:p>
        </w:tc>
      </w:tr>
    </w:tbl>
    <w:p w:rsidR="00A73D31" w:rsidRDefault="00A73D31">
      <w:r>
        <w:br w:type="page"/>
      </w:r>
    </w:p>
    <w:p w:rsidR="00F105EB" w:rsidRDefault="00A73D31">
      <w:pPr>
        <w:pStyle w:val="ListParagraph"/>
        <w:numPr>
          <w:ilvl w:val="0"/>
          <w:numId w:val="2"/>
        </w:numPr>
        <w:jc w:val="both"/>
        <w:rPr>
          <w:rFonts w:ascii="Times New Roman" w:hAnsi="Times New Roman"/>
          <w:b/>
          <w:noProof/>
          <w:sz w:val="24"/>
          <w:szCs w:val="24"/>
        </w:rPr>
      </w:pPr>
      <w:bookmarkStart w:id="1" w:name="_GoBack"/>
      <w:bookmarkEnd w:id="1"/>
      <w:r>
        <w:rPr>
          <w:rFonts w:ascii="Times New Roman" w:hAnsi="Times New Roman"/>
          <w:b/>
          <w:noProof/>
          <w:sz w:val="24"/>
        </w:rPr>
        <w:t>KOKKUVÕTE</w:t>
      </w:r>
    </w:p>
    <w:p w:rsidR="00F105EB" w:rsidRDefault="00F105EB">
      <w:pPr>
        <w:jc w:val="both"/>
        <w:rPr>
          <w:rFonts w:ascii="Times New Roman" w:hAnsi="Times New Roman"/>
          <w:noProof/>
          <w:sz w:val="24"/>
          <w:szCs w:val="24"/>
        </w:rPr>
      </w:pPr>
    </w:p>
    <w:p w:rsidR="00F105EB" w:rsidRDefault="00A73D31">
      <w:pPr>
        <w:jc w:val="both"/>
        <w:rPr>
          <w:rFonts w:ascii="Times New Roman" w:hAnsi="Times New Roman"/>
          <w:noProof/>
          <w:sz w:val="24"/>
        </w:rPr>
      </w:pPr>
      <w:r>
        <w:rPr>
          <w:rFonts w:ascii="Times New Roman" w:hAnsi="Times New Roman"/>
          <w:noProof/>
          <w:sz w:val="24"/>
        </w:rPr>
        <w:t xml:space="preserve">Rändesurve püsiv tugevnemine ja ebastabiilsuse oht väljaspool ELi piire tähendavad, et ränne on ka edaspidi üks peamisi ELi ees seisvaid lahendamist vajavaid ülesandeid. Seetõttu peavad ELil olema vahendid, mida ta tulevastel aastatel vajab: ulatuslik </w:t>
      </w:r>
      <w:r>
        <w:rPr>
          <w:rFonts w:ascii="Times New Roman" w:hAnsi="Times New Roman"/>
          <w:noProof/>
          <w:sz w:val="24"/>
        </w:rPr>
        <w:t>partnerlus nii päritolu- kui ka transiidiriikidega, vajalikud rahalised vahendid ja õigusraamistik ning operatiivne suutlikkus, mis peegeldab nõuetekohaselt solidaarsuse ja vastutuse tasakaalu, mis peab olema ELi tervikliku lähenemisviisi keskmes. Komisjon</w:t>
      </w:r>
      <w:r>
        <w:rPr>
          <w:rFonts w:ascii="Times New Roman" w:hAnsi="Times New Roman"/>
          <w:noProof/>
          <w:sz w:val="24"/>
        </w:rPr>
        <w:t xml:space="preserve"> on seisukohal, et kui EL tahab probleemid lahendada, peab ta vastu võtma ettepanekud Euroopa ühise varjupaigasüsteemi reformimiseks ja Euroopa piiri- ja rannikuvalve uuendamiseks ning tagama järgmise mitmeaastase finantsraamistiku raames piisava rahastami</w:t>
      </w:r>
      <w:r>
        <w:rPr>
          <w:rFonts w:ascii="Times New Roman" w:hAnsi="Times New Roman"/>
          <w:noProof/>
          <w:sz w:val="24"/>
        </w:rPr>
        <w:t>se, püüeldes alati kõrgetasemeliste eesmärkide poole.</w:t>
      </w:r>
    </w:p>
    <w:p w:rsidR="00F105EB" w:rsidRDefault="00F105EB">
      <w:pPr>
        <w:jc w:val="both"/>
        <w:rPr>
          <w:rFonts w:ascii="Times New Roman" w:hAnsi="Times New Roman"/>
          <w:noProof/>
          <w:sz w:val="24"/>
        </w:rPr>
      </w:pPr>
    </w:p>
    <w:p w:rsidR="00F105EB" w:rsidRDefault="00A73D31">
      <w:pPr>
        <w:pStyle w:val="ListParagraph"/>
        <w:ind w:left="0"/>
        <w:jc w:val="both"/>
        <w:rPr>
          <w:rFonts w:ascii="Times New Roman" w:hAnsi="Times New Roman"/>
          <w:noProof/>
          <w:sz w:val="24"/>
        </w:rPr>
      </w:pPr>
      <w:r>
        <w:rPr>
          <w:rFonts w:ascii="Times New Roman" w:hAnsi="Times New Roman"/>
          <w:noProof/>
          <w:sz w:val="24"/>
        </w:rPr>
        <w:t xml:space="preserve">Vaja on terviklikku lähenemisviisi, mis hõlmab väljaspool ELi asuvate partneritega välispiiril võetavaid meetmeid, aga ka ELi-siseseid meetmeid. Range piiri- ja rändepoliitika on selgelt seotud meie </w:t>
      </w:r>
      <w:r>
        <w:rPr>
          <w:rFonts w:ascii="Times New Roman" w:hAnsi="Times New Roman"/>
          <w:noProof/>
          <w:sz w:val="24"/>
        </w:rPr>
        <w:t>suutlikkusega säilitada Schengeni ala eelised. Praegu toimub piirikontroll kuue Schengeni riigi sisepiiridel</w:t>
      </w:r>
      <w:r>
        <w:rPr>
          <w:rStyle w:val="FootnoteReference"/>
          <w:rFonts w:ascii="Times New Roman" w:hAnsi="Times New Roman"/>
          <w:noProof/>
          <w:sz w:val="24"/>
        </w:rPr>
        <w:footnoteReference w:id="50"/>
      </w:r>
      <w:r>
        <w:rPr>
          <w:rFonts w:ascii="Times New Roman" w:hAnsi="Times New Roman"/>
          <w:noProof/>
          <w:sz w:val="24"/>
        </w:rPr>
        <w:t xml:space="preserve">. Komisjon on näinud ette, kuidas tugevdada julgeolekut proportsionaalsete politseikontrollide ja koostöö abil, ilma et oleks vaja piirikontrolle, </w:t>
      </w:r>
      <w:r>
        <w:rPr>
          <w:rFonts w:ascii="Times New Roman" w:hAnsi="Times New Roman"/>
          <w:noProof/>
          <w:sz w:val="24"/>
        </w:rPr>
        <w:t>ning teinud ettepaneku muuta õigusnorme, mis käsitlevad piirikontrolli ajutist taaskehtestamist sisepiiril</w:t>
      </w:r>
      <w:r>
        <w:rPr>
          <w:rStyle w:val="FootnoteReference"/>
          <w:rFonts w:ascii="Times New Roman" w:hAnsi="Times New Roman"/>
          <w:noProof/>
          <w:sz w:val="24"/>
        </w:rPr>
        <w:footnoteReference w:id="51"/>
      </w:r>
      <w:r>
        <w:rPr>
          <w:rFonts w:ascii="Times New Roman" w:hAnsi="Times New Roman"/>
          <w:noProof/>
          <w:sz w:val="24"/>
        </w:rPr>
        <w:t>. Võttes arvesse kõiki jõupingutusi välispiiride haldamise parandamiseks ja ebaseaduslike saabujate arvu vähenemist, on aeg teha olukorrast kokkuvõte</w:t>
      </w:r>
      <w:r>
        <w:rPr>
          <w:rFonts w:ascii="Times New Roman" w:hAnsi="Times New Roman"/>
          <w:noProof/>
          <w:sz w:val="24"/>
        </w:rPr>
        <w:t xml:space="preserve"> eesmärgiga kaotada kontroll sisepiiridel ja taastada täielikult toimiv Schengeni ala.</w:t>
      </w:r>
    </w:p>
    <w:p w:rsidR="00F105EB" w:rsidRDefault="00F105EB">
      <w:pPr>
        <w:jc w:val="both"/>
        <w:rPr>
          <w:rFonts w:ascii="Times New Roman" w:hAnsi="Times New Roman"/>
          <w:noProof/>
          <w:color w:val="000000"/>
          <w:sz w:val="24"/>
          <w:szCs w:val="24"/>
        </w:rPr>
      </w:pPr>
    </w:p>
    <w:p w:rsidR="00F105EB" w:rsidRDefault="00A73D31">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Euroopa rände tegevuskava vastuvõtmisele järgnenud neli aastat on näidanud, et olukord nõuab pidevat otsusekindlat tegutsemist tervikliku lähenemisviisi kõikides valdko</w:t>
      </w:r>
      <w:r>
        <w:rPr>
          <w:rFonts w:ascii="Times New Roman" w:hAnsi="Times New Roman"/>
          <w:noProof/>
          <w:color w:val="000000"/>
          <w:sz w:val="24"/>
        </w:rPr>
        <w:t>ndades. Ühised meetmed ning liikmesriikide ja ELi ühised jõupingutused koostöös partneritega, kes ei kuulu ELi, on andnud tulemusi ja on ainus võimalus rände paremaks haldamiseks ning selle tagamiseks, et ELi väärtused jääksid meie rändepoliitika nurgakivi</w:t>
      </w:r>
      <w:r>
        <w:rPr>
          <w:rFonts w:ascii="Times New Roman" w:hAnsi="Times New Roman"/>
          <w:noProof/>
          <w:color w:val="000000"/>
          <w:sz w:val="24"/>
        </w:rPr>
        <w:t>ks. Seda ELi kodanikud Euroopa Liidult ootavadki.</w:t>
      </w:r>
    </w:p>
    <w:sectPr w:rsidR="00F105EB">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EB" w:rsidRDefault="00A73D31">
      <w:r>
        <w:separator/>
      </w:r>
    </w:p>
  </w:endnote>
  <w:endnote w:type="continuationSeparator" w:id="0">
    <w:p w:rsidR="00F105EB" w:rsidRDefault="00A73D31">
      <w:r>
        <w:continuationSeparator/>
      </w:r>
    </w:p>
  </w:endnote>
  <w:endnote w:type="continuationNotice" w:id="1">
    <w:p w:rsidR="00F105EB" w:rsidRDefault="00F1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A73D31">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F105EB" w:rsidRDefault="00A73D31">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16</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EB" w:rsidRDefault="00A73D31">
      <w:r>
        <w:separator/>
      </w:r>
    </w:p>
  </w:footnote>
  <w:footnote w:type="continuationSeparator" w:id="0">
    <w:p w:rsidR="00F105EB" w:rsidRDefault="00A73D31">
      <w:r>
        <w:continuationSeparator/>
      </w:r>
    </w:p>
  </w:footnote>
  <w:footnote w:type="continuationNotice" w:id="1">
    <w:p w:rsidR="00F105EB" w:rsidRDefault="00F105EB"/>
  </w:footnote>
  <w:footnote w:id="2">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13.5.2015.</w:t>
      </w:r>
    </w:p>
  </w:footnote>
  <w:footnote w:id="3">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Lisaks ELi arenguprogrammide raames antavale toetusele.</w:t>
      </w:r>
    </w:p>
  </w:footnote>
  <w:footnote w:id="4">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Liikmesriigid esitavad praegu oma rakendamisaruandeid, mis hõlmavad 2018. aastal võetud meetmeid. Paljusid pagulasi ja seaduslikke rändajaid on toetatud ka Euroopa Sotsiaalfondi ja Euroopa Regionaalarengu Fondi raames rakendatavatest integratsiooniprogramm</w:t>
      </w:r>
      <w:r>
        <w:rPr>
          <w:rFonts w:ascii="Times New Roman" w:hAnsi="Times New Roman"/>
          <w:sz w:val="18"/>
        </w:rPr>
        <w:t xml:space="preserve">idest. </w:t>
      </w:r>
    </w:p>
  </w:footnote>
  <w:footnote w:id="5">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Põgenike hulka kuuluvad pagulased ja riigisisesed põgenikud. Samuti toetatakse vastuvõtvaid kogukondi.</w:t>
      </w:r>
      <w:r>
        <w:rPr>
          <w:rFonts w:ascii="Times New Roman" w:hAnsi="Times New Roman"/>
          <w:sz w:val="18"/>
        </w:rPr>
        <w:t xml:space="preserve"> ELi humanitaarabi antakse kooskõlas humanitaarabi põhimõtetega, milleks on inimlikkus, neutraalsus, erapooletus ja sõltumatus.</w:t>
      </w:r>
    </w:p>
  </w:footnote>
  <w:footnote w:id="6">
    <w:p w:rsidR="00F105EB" w:rsidRDefault="00A73D31">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Sellega kaasne</w:t>
      </w:r>
      <w:r>
        <w:rPr>
          <w:rFonts w:ascii="Times New Roman" w:hAnsi="Times New Roman"/>
          <w:color w:val="000000"/>
          <w:sz w:val="18"/>
        </w:rPr>
        <w:t>b 13 miljardi euro suurune rahaline toetus ainuüksi ELi eelarvest ning ka liidu välistegevuse usaldusfondide ja Türgi pagulasrahastu kaudu tehtav töö.</w:t>
      </w:r>
    </w:p>
  </w:footnote>
  <w:footnote w:id="7">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Kõikide andmete allikas on Euroopa Piiri- ja Rannikuvalve Amet, kui ei ole teisiti märgitud.</w:t>
      </w:r>
    </w:p>
  </w:footnote>
  <w:footnote w:id="8">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Hispaani</w:t>
      </w:r>
      <w:r>
        <w:rPr>
          <w:rFonts w:ascii="Times New Roman" w:hAnsi="Times New Roman"/>
          <w:sz w:val="18"/>
        </w:rPr>
        <w:t>a ametiasutuste andmed.</w:t>
      </w:r>
    </w:p>
  </w:footnote>
  <w:footnote w:id="9">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ÜRO Pagulaste Ülemvoliniku Ameti andmed.</w:t>
      </w:r>
    </w:p>
  </w:footnote>
  <w:footnote w:id="10">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Alates 21. märtsist 2016 on Kreekast Türgisse tagasi saadetud 1 836 rändajat ELi-Türgi avalduse alusel ja 601 rändajat Kreeka-Türgi kahepoolse protokolli alusel.</w:t>
      </w:r>
    </w:p>
  </w:footnote>
  <w:footnote w:id="11">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Rahvusvahelise </w:t>
      </w:r>
      <w:r>
        <w:rPr>
          <w:rFonts w:ascii="Times New Roman" w:hAnsi="Times New Roman"/>
          <w:sz w:val="18"/>
        </w:rPr>
        <w:t>Migratsiooniorganisatsiooni andmed.</w:t>
      </w:r>
    </w:p>
  </w:footnote>
  <w:footnote w:id="12">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Euroopa Varjupaigaküsimuste Tugiameti esialgsed andmed 2018. aasta kohta.</w:t>
      </w:r>
    </w:p>
  </w:footnote>
  <w:footnote w:id="13">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Hoolimata taotluste arvu vähenemisest viiendiku võrra on Saksamaa endiselt peamine sihtriik ning Prantsusmaal ja Hispaanias esitatud taotluste</w:t>
      </w:r>
      <w:r>
        <w:rPr>
          <w:rFonts w:ascii="Times New Roman" w:hAnsi="Times New Roman"/>
          <w:sz w:val="18"/>
        </w:rPr>
        <w:t xml:space="preserve"> arv suurenes oluliselt.</w:t>
      </w:r>
    </w:p>
  </w:footnote>
  <w:footnote w:id="14">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„Päringutabamus“ tähendab andmebaasis salvestatud sõrmejälgede andmete võrdlemisel liikmesriigi edastatud andmetega kindlaks tehtud vastavust või vastavusi. Päringutabamuste arv ei vasta inimeste arvule.</w:t>
      </w:r>
    </w:p>
  </w:footnote>
  <w:footnote w:id="15">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Riigid, kus registreeri</w:t>
      </w:r>
      <w:r>
        <w:rPr>
          <w:rFonts w:ascii="Times New Roman" w:hAnsi="Times New Roman"/>
          <w:sz w:val="18"/>
        </w:rPr>
        <w:t>ti kõige rohkem ebaseaduslikult viibivaid muus liikmesriigis varem registreeritud varjupaigataotlejaid, olid Belgia ja Saksamaa.</w:t>
      </w:r>
    </w:p>
  </w:footnote>
  <w:footnote w:id="16">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Lisaks sellele on antud 14,5 miljonit eurot, et parandada rände haldamist piirkondlikul tasandil, eesmärgiga tegeleda rändaj</w:t>
      </w:r>
      <w:r>
        <w:rPr>
          <w:rFonts w:ascii="Times New Roman" w:hAnsi="Times New Roman"/>
          <w:sz w:val="18"/>
        </w:rPr>
        <w:t>ate, tagasipöördujate ja välismaal elavate marokolastega.</w:t>
      </w:r>
      <w:r>
        <w:rPr>
          <w:rFonts w:ascii="Times New Roman" w:hAnsi="Times New Roman"/>
          <w:color w:val="000000"/>
          <w:sz w:val="18"/>
        </w:rPr>
        <w:t xml:space="preserve"> Praegu elluviidavate programmide kogumaksumus on 232 miljonit eurot.</w:t>
      </w:r>
    </w:p>
  </w:footnote>
  <w:footnote w:id="17">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Euroopa piiri- ja rannikuvalve JORA andmete (ühisoperatsioonide teabeedastusrakendus) kohaselt hoidsid Maroko ametiasutused 201</w:t>
      </w:r>
      <w:r>
        <w:rPr>
          <w:rFonts w:ascii="Times New Roman" w:hAnsi="Times New Roman"/>
          <w:sz w:val="18"/>
        </w:rPr>
        <w:t>8. aastal ära ligi 15 000 ebaseadusliku rändaja lahkumise Marokost meritsi. Maroko ametiasutused võtavad ka ennetavaid meetmeid sisemaal. Maroko siseministeeriumi hinnangul hoiti 2018. aastal ära ligikaudu 88 761 rändaja lahkumine Marokost.</w:t>
      </w:r>
    </w:p>
  </w:footnote>
  <w:footnote w:id="18">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C(2015) 7293 </w:t>
      </w:r>
      <w:r>
        <w:rPr>
          <w:rFonts w:ascii="Times New Roman" w:hAnsi="Times New Roman"/>
          <w:sz w:val="18"/>
        </w:rPr>
        <w:t>final, 20.10.2015.</w:t>
      </w:r>
    </w:p>
  </w:footnote>
  <w:footnote w:id="19">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Sellega täiendatakse praegusi ELi rahastatavaid programme, mis toetavad rände haldamist, piirihaldust, võitlust inimkaubanduse ja kuritegelike võrgustikega ning terrorismivastast võitlust.</w:t>
      </w:r>
    </w:p>
  </w:footnote>
  <w:footnote w:id="20">
    <w:p w:rsidR="00F105EB" w:rsidRDefault="00A73D31">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 xml:space="preserve">Seda on kavas arutada Euroopa </w:t>
      </w:r>
      <w:r>
        <w:rPr>
          <w:rFonts w:ascii="Times New Roman" w:hAnsi="Times New Roman"/>
          <w:sz w:val="18"/>
        </w:rPr>
        <w:t>naabruspoliitika rahastamisvahendi komitee järgmisel kohtumisel 2019. aasta aprillis.</w:t>
      </w:r>
    </w:p>
  </w:footnote>
  <w:footnote w:id="21">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Ühinenud Rahvaste Organisatsiooni Pagulaste Ülemvoliniku Ameti ja Rahvusvahelise Migratsiooniorganisatsiooni hinnang.</w:t>
      </w:r>
    </w:p>
  </w:footnote>
  <w:footnote w:id="22">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Järgneb ümberasustamine Belgiasse, Kanadasse, So</w:t>
      </w:r>
      <w:r>
        <w:rPr>
          <w:rFonts w:ascii="Times New Roman" w:hAnsi="Times New Roman"/>
          <w:sz w:val="18"/>
        </w:rPr>
        <w:t>ome, Prantsusmaale, Saksamaale, Madalmaadesse, Norrasse, Rootsi, Šveitsi, Ühendkuningriiki ja Ameerika Ühendriikidesse. Lisaks sellele on UNHCR evakueerinud Itaaliasse ja Rumeenias asuvasse erakorralise transiidi keskusesse kokku 3 175 inimest.</w:t>
      </w:r>
    </w:p>
  </w:footnote>
  <w:footnote w:id="23">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Hiljutine</w:t>
      </w:r>
      <w:r>
        <w:rPr>
          <w:rFonts w:ascii="Times New Roman" w:hAnsi="Times New Roman"/>
          <w:sz w:val="18"/>
        </w:rPr>
        <w:t xml:space="preserve"> toetus on hõlmanud tõlketeenuste ulatuslikumat osutamist, vastuvõtusuutlikkuse suurendamist ja sõjaväearstide lähetamist ning 2019. aasta finantsplaneeringu vastuvõtmist, et pakkuda nõuetekohaseid vastuvõtutingimusi ja tagada toetus Kreeka mandriosas (vt </w:t>
      </w:r>
      <w:r>
        <w:rPr>
          <w:rFonts w:ascii="Times New Roman" w:hAnsi="Times New Roman"/>
          <w:sz w:val="18"/>
        </w:rPr>
        <w:t xml:space="preserve">järgmine joonealune märkus). </w:t>
      </w:r>
    </w:p>
  </w:footnote>
  <w:footnote w:id="24">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Viimane toetus, mis anti 2018. aasta detsembris, sisaldas muu hulgas 190 miljonit eurot selleks, et toetada programmi „Erakorraline toetus lõimumiseks ja majutuseks“ (ESTIA), mida viib ellu UNHCR, ja 61 miljonit eurot kohape</w:t>
      </w:r>
      <w:r>
        <w:rPr>
          <w:rFonts w:ascii="Times New Roman" w:hAnsi="Times New Roman"/>
          <w:noProof/>
          <w:sz w:val="18"/>
        </w:rPr>
        <w:t>alsele tugiprogrammile, mida viivad ellu Rahvusvaheline Migratsiooniorganisatsioon (IOM) ja ÜRO Lastefond (UNICEF), Kreeka mandriosas asuvate vastuvõtukohtade toetamise jätkamiseks. 2019. aasta märtsis lõpeb erakorralise toetuse rahastamisvahendi rakendami</w:t>
      </w:r>
      <w:r>
        <w:rPr>
          <w:rFonts w:ascii="Times New Roman" w:hAnsi="Times New Roman"/>
          <w:noProof/>
          <w:sz w:val="18"/>
        </w:rPr>
        <w:t>ne. Peamiste projektide jätkumist 2019. aastal Kreekas toetatakse edaspidi muudest ELi allikatest.</w:t>
      </w:r>
    </w:p>
  </w:footnote>
  <w:footnote w:id="25">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Tähtsaimate rühmade hulka kuuluvad haavatavad isikud, sealhulgas saatjata alaealised, süürlased ja ametliku riikliku statistika põhjal madala varjupaigatao</w:t>
      </w:r>
      <w:r>
        <w:rPr>
          <w:rFonts w:ascii="Times New Roman" w:hAnsi="Times New Roman"/>
          <w:sz w:val="18"/>
        </w:rPr>
        <w:t>tluste tunnustamise määraga riikide kodanikud.</w:t>
      </w:r>
    </w:p>
  </w:footnote>
  <w:footnote w:id="26">
    <w:p w:rsidR="00F105EB" w:rsidRDefault="00A73D31">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798 final, 4.12.2018.</w:t>
      </w:r>
    </w:p>
  </w:footnote>
  <w:footnote w:id="27">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COM(2016) 385 final, 7.6.2016.</w:t>
      </w:r>
    </w:p>
  </w:footnote>
  <w:footnote w:id="28">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Tegevkomiteede heaks kiidetud projektide kogumaksumus on ligikaudu 3,6 miljardit eurot. </w:t>
      </w:r>
      <w:r>
        <w:rPr>
          <w:rFonts w:ascii="Times New Roman" w:hAnsi="Times New Roman"/>
          <w:sz w:val="18"/>
        </w:rPr>
        <w:t>Praeguseks on allkirjastatud 393 lepingut, mille kog</w:t>
      </w:r>
      <w:r>
        <w:rPr>
          <w:rFonts w:ascii="Times New Roman" w:hAnsi="Times New Roman"/>
          <w:sz w:val="18"/>
        </w:rPr>
        <w:t>umaksumus on üle 2,6 miljardi euro.</w:t>
      </w:r>
    </w:p>
  </w:footnote>
  <w:footnote w:id="29">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Garantiide lõplikud summad ja nende jagunemine tuleb kokku leppida garantiilepingutes, millele peavad alla kirjutama arengupangad ja Euroopa Komisjon. </w:t>
      </w:r>
    </w:p>
  </w:footnote>
  <w:footnote w:id="30">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Dokument 15250/18, 6.12.2018.</w:t>
      </w:r>
    </w:p>
  </w:footnote>
  <w:footnote w:id="31">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285 final, 27. mai 201</w:t>
      </w:r>
      <w:r>
        <w:rPr>
          <w:rFonts w:ascii="Times New Roman" w:hAnsi="Times New Roman"/>
          <w:sz w:val="18"/>
        </w:rPr>
        <w:t>5.</w:t>
      </w:r>
    </w:p>
  </w:footnote>
  <w:footnote w:id="32">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Rahastati Varjupaiga-, Rände- ja Integratsioonifondi kaudu.</w:t>
      </w:r>
    </w:p>
  </w:footnote>
  <w:footnote w:id="33">
    <w:p w:rsidR="00F105EB" w:rsidRDefault="00A73D31">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Etioopia, Jordaania, Liibanon, Mali, Maroko, Niger, Nigeeria, Pakistan, Senegal, Serbia, Sudaan, Tuneesia.</w:t>
      </w:r>
    </w:p>
  </w:footnote>
  <w:footnote w:id="34">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16.5.2018.</w:t>
      </w:r>
      <w:r>
        <w:tab/>
      </w:r>
    </w:p>
  </w:footnote>
  <w:footnote w:id="35">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Korraldati ELi poliitikatsükli / EMPACTi (ku</w:t>
      </w:r>
      <w:r>
        <w:rPr>
          <w:rFonts w:ascii="Times New Roman" w:hAnsi="Times New Roman"/>
          <w:sz w:val="18"/>
        </w:rPr>
        <w:t xml:space="preserve">ritegevusega seotud ohte käsitlev valdkondadevaheline Euroopa platvorm) raames. </w:t>
      </w:r>
    </w:p>
  </w:footnote>
  <w:footnote w:id="36">
    <w:p w:rsidR="00F105EB" w:rsidRDefault="00A73D31">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ja C(2017) 1600</w:t>
      </w:r>
      <w:r>
        <w:rPr>
          <w:rFonts w:ascii="Times New Roman" w:hAnsi="Times New Roman"/>
          <w:color w:val="000000"/>
          <w:sz w:val="18"/>
        </w:rPr>
        <w:t xml:space="preserve">, mille aluseks oli </w:t>
      </w:r>
      <w:r>
        <w:rPr>
          <w:rFonts w:ascii="Times New Roman" w:hAnsi="Times New Roman"/>
          <w:sz w:val="18"/>
        </w:rPr>
        <w:t>COM(2015) 453</w:t>
      </w:r>
      <w:r>
        <w:rPr>
          <w:rFonts w:ascii="Times New Roman" w:hAnsi="Times New Roman"/>
          <w:color w:val="000000"/>
          <w:sz w:val="18"/>
        </w:rPr>
        <w:t xml:space="preserve">. </w:t>
      </w:r>
    </w:p>
  </w:footnote>
  <w:footnote w:id="37">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28. novembri 2018. aasta määrus (EL) 2018/1861, milles käsitletakse Schengeni infosüsteemi (SIS) loomist, </w:t>
      </w:r>
      <w:r>
        <w:rPr>
          <w:rFonts w:ascii="Times New Roman" w:hAnsi="Times New Roman"/>
          <w:sz w:val="18"/>
        </w:rPr>
        <w:t>toimimist ja kasutamist piirikontrolli valdkonnas, ning 28. novembri 2018. aasta määrus (EL) 2018/1860 Schengeni infosüsteemi kasutamise kohta ebaseaduslikult riigis viibivate kolmandate riikide kodanike tagasisaatmiseks.</w:t>
      </w:r>
    </w:p>
  </w:footnote>
  <w:footnote w:id="38">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Seda saaks suurendada uue </w:t>
      </w:r>
      <w:r>
        <w:rPr>
          <w:rFonts w:ascii="Times New Roman" w:hAnsi="Times New Roman"/>
          <w:sz w:val="18"/>
        </w:rPr>
        <w:t>ettepanekuga Euroopa piiri- ja rannikuvalve kohta (COM(2018) 631 final, 12.9.2018).</w:t>
      </w:r>
    </w:p>
  </w:footnote>
  <w:footnote w:id="39">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9.12.2018.</w:t>
      </w:r>
    </w:p>
  </w:footnote>
  <w:footnote w:id="40">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Tagasi- ja väljasaatmise lubamatus tähendab, et inimest ei saa saata tagasi riiki, kus sellel inimesel on põhjus karta tagakiusamist. </w:t>
      </w:r>
    </w:p>
  </w:footnote>
  <w:footnote w:id="41">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Allikad: Euroopa Piiri- ja Rannikuvalve Amet ja operatsioon Sophia.</w:t>
      </w:r>
    </w:p>
  </w:footnote>
  <w:footnote w:id="42">
    <w:p w:rsidR="00F105EB" w:rsidRDefault="00A73D31">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COM(2018) 798 final, 4.12.2018.</w:t>
      </w:r>
    </w:p>
  </w:footnote>
  <w:footnote w:id="43">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Tingimuslike haridusotstarbeliste sularahaülekannete programmi (CCTE) raames.</w:t>
      </w:r>
    </w:p>
  </w:footnote>
  <w:footnote w:id="44">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Usaldusfondi eelarve oli 2018. aasta lõpus 1,6 miljardit eurot; seda ra</w:t>
      </w:r>
      <w:r>
        <w:rPr>
          <w:rFonts w:ascii="Times New Roman" w:hAnsi="Times New Roman"/>
          <w:sz w:val="18"/>
        </w:rPr>
        <w:t>hastatakse 22 liikmesriigi ja Türgi poolt ning ELi eelarvest.</w:t>
      </w:r>
      <w:r>
        <w:rPr>
          <w:rFonts w:ascii="Times New Roman" w:hAnsi="Times New Roman"/>
          <w:color w:val="000000"/>
          <w:sz w:val="18"/>
        </w:rPr>
        <w:t xml:space="preserve"> 94 % on eraldatud, 74 % lepingutega kaetud ja 690 miljonit eurot välja makstud. </w:t>
      </w:r>
      <w:r>
        <w:rPr>
          <w:rFonts w:ascii="Times New Roman" w:hAnsi="Times New Roman"/>
          <w:sz w:val="18"/>
        </w:rPr>
        <w:t>Strateegilises vahehinnangus soovitati, et ELi usaldusfondi volitusi pikendataks kauemaks kui 2019. aasta detsembr</w:t>
      </w:r>
      <w:r>
        <w:rPr>
          <w:rFonts w:ascii="Times New Roman" w:hAnsi="Times New Roman"/>
          <w:sz w:val="18"/>
        </w:rPr>
        <w:t>ini.</w:t>
      </w:r>
    </w:p>
  </w:footnote>
  <w:footnote w:id="45">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Rahastatakse Varjupaiga-, Rände- ja Integratsioonifondi kaudu.</w:t>
      </w:r>
      <w:r>
        <w:rPr>
          <w:rFonts w:ascii="Times New Roman" w:hAnsi="Times New Roman"/>
          <w:color w:val="000000"/>
          <w:sz w:val="18"/>
        </w:rPr>
        <w:t xml:space="preserve"> Alates 2015. aastast on tehtud kättesaadavaks ligikaudu 37 miljonit eurot projektide jaoks, mis keskenduvad kaitsele Põhja-Aafrikas, ja 27,5 miljonit projektide jaoks Aafrika Sarve piirk</w:t>
      </w:r>
      <w:r>
        <w:rPr>
          <w:rFonts w:ascii="Times New Roman" w:hAnsi="Times New Roman"/>
          <w:color w:val="000000"/>
          <w:sz w:val="18"/>
        </w:rPr>
        <w:t>onnas.</w:t>
      </w:r>
      <w:r>
        <w:rPr>
          <w:rFonts w:ascii="Times New Roman" w:hAnsi="Times New Roman"/>
          <w:color w:val="000000"/>
          <w:sz w:val="24"/>
        </w:rPr>
        <w:t xml:space="preserve"> </w:t>
      </w:r>
    </w:p>
  </w:footnote>
  <w:footnote w:id="46">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Komisjoni ettepanekus nähakse seitsme fondi jaoks ette ühised sätted, mis peaksid tagama parema sünergia ja seega suurema tõhususe seaduslikult riigis viibivate kolmandate riikide kodanike ja rändetaustaga inimeste integreerimisel.</w:t>
      </w:r>
    </w:p>
  </w:footnote>
  <w:footnote w:id="47">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Enamasti Var</w:t>
      </w:r>
      <w:r>
        <w:rPr>
          <w:rFonts w:ascii="Times New Roman" w:hAnsi="Times New Roman"/>
          <w:sz w:val="18"/>
        </w:rPr>
        <w:t>jupaiga- ja Rändefondi raames. Muud meetmed hõlmaksid abi sellistes valdkondades nagu eluase ja tervishoid ning vastuvõtva ühiskonnaga suhtluse edendamist.</w:t>
      </w:r>
    </w:p>
  </w:footnote>
  <w:footnote w:id="48">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Nende hulka kuuluvad kutsealane keeleõpe, kutsehariduse ja -õppe programmid, meetmed, millega toet</w:t>
      </w:r>
      <w:r>
        <w:rPr>
          <w:rFonts w:ascii="Times New Roman" w:hAnsi="Times New Roman"/>
          <w:sz w:val="18"/>
        </w:rPr>
        <w:t>atakse tegutsemist füüsilisest isikust ettevõtjana, naiste aktiivsuse määra suurendamine, sotsiaalne kaasatus jne vastavalt konkreetsetele eesmärkidele, mis on sätestatud õigusakti ettepanekus Euroopa Sotsiaalfond+ kohta.</w:t>
      </w:r>
    </w:p>
  </w:footnote>
  <w:footnote w:id="49">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Eelkõige 25 % vahendite sihtotst</w:t>
      </w:r>
      <w:r>
        <w:rPr>
          <w:rFonts w:ascii="Times New Roman" w:hAnsi="Times New Roman"/>
          <w:sz w:val="18"/>
        </w:rPr>
        <w:t>arbe määramise kaudu, nagu kavandatud Euroopa Sotsiaalfond+ raames sotsiaalse kaasatuse jaoks. Euroopa Regionaalarengu Fondist saab toetada ka investeeringuid uutesse vastuvõtukohtadesse ja sotsiaalmajutusse ning mahajäänud linna- ja maapiirkondade taastam</w:t>
      </w:r>
      <w:r>
        <w:rPr>
          <w:rFonts w:ascii="Times New Roman" w:hAnsi="Times New Roman"/>
          <w:sz w:val="18"/>
        </w:rPr>
        <w:t>isse.</w:t>
      </w:r>
    </w:p>
  </w:footnote>
  <w:footnote w:id="50">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Austrias, Saksamaal, Taanis, Rootsis ja Norras rändekriisi ja teisese rändega seotud põhjuste tõttu. Prantsusmaal peamiselt terrorismiohu tõttu. </w:t>
      </w:r>
    </w:p>
  </w:footnote>
  <w:footnote w:id="51">
    <w:p w:rsidR="00F105EB" w:rsidRDefault="00A73D31">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12.5.2017, ja C(2017) 6560 final, 27.9.2017, ning COM(2017) 571 final, 27.9.2017</w:t>
      </w:r>
      <w:r>
        <w:rPr>
          <w:rFonts w:ascii="Times New Roman" w:hAnsi="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B" w:rsidRDefault="00F1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B8E5F4F-B9BE-4C60-8AE0-BC5D35333EF8"/>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üssel,"/>
    <w:docVar w:name="LW_EMISSION_SUFFIX" w:val=" "/>
    <w:docVar w:name="LW_ID_DOCTYPE_NONLW" w:val="CP-009"/>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duaruanne Euroopa rände tegevuskava rakendamise kohta"/>
    <w:docVar w:name="LW_TYPE.DOC.CP" w:val="KOMISJONI TEATIS"/>
    <w:docVar w:name="LW_TYPE.DOC.CP.USERTEXT" w:val="EUROOPA PARLAMENDILE, EUROOPA ÜLEMKOGULE JA NÕUKOGULE"/>
  </w:docVars>
  <w:rsids>
    <w:rsidRoot w:val="00F105EB"/>
    <w:rsid w:val="00A73D31"/>
    <w:rsid w:val="00F105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E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et-EE"/>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5CFB15-05DB-49BB-BAB7-61B3DA83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6296</Words>
  <Characters>46592</Characters>
  <Application>Microsoft Office Word</Application>
  <DocSecurity>0</DocSecurity>
  <Lines>751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