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1A8F0F9-042B-4CB8-83C9-870B9F0BA85B"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Motivi e obiettivi della proposta</w:t>
      </w:r>
    </w:p>
    <w:p>
      <w:pPr>
        <w:pBdr>
          <w:top w:val="nil"/>
          <w:left w:val="nil"/>
          <w:bottom w:val="nil"/>
          <w:right w:val="nil"/>
          <w:between w:val="nil"/>
          <w:bar w:val="nil"/>
        </w:pBdr>
        <w:spacing w:before="0" w:after="240"/>
        <w:rPr>
          <w:rFonts w:eastAsia="Arial Unicode MS"/>
          <w:noProof/>
        </w:rPr>
      </w:pPr>
      <w:r>
        <w:rPr>
          <w:noProof/>
        </w:rPr>
        <w:t>Il 30 marzo 2007</w:t>
      </w:r>
      <w:r>
        <w:rPr>
          <w:rStyle w:val="FootnoteReference"/>
          <w:noProof/>
        </w:rPr>
        <w:footnoteReference w:id="1"/>
      </w:r>
      <w:r>
        <w:rPr>
          <w:noProof/>
        </w:rPr>
        <w:t xml:space="preserve"> è entrato in vigore l'accordo di partenariato nel settore della pesca tra la Comunità europea e la Repubblica del Capo Verde</w:t>
      </w:r>
      <w:r>
        <w:rPr>
          <w:rStyle w:val="FootnoteReference"/>
          <w:noProof/>
        </w:rPr>
        <w:footnoteReference w:id="2"/>
      </w:r>
      <w:r>
        <w:rPr>
          <w:noProof/>
        </w:rPr>
        <w:t xml:space="preserve"> (di seguito, l'"accordo"). Il protocollo attuale dell'accordo è entrato in vigore il 23 dicembre 2014 e giunge a scadenza il 22 dicembre 2018. </w:t>
      </w:r>
    </w:p>
    <w:p>
      <w:pPr>
        <w:pBdr>
          <w:top w:val="nil"/>
          <w:left w:val="nil"/>
          <w:bottom w:val="nil"/>
          <w:right w:val="nil"/>
          <w:between w:val="nil"/>
          <w:bar w:val="nil"/>
        </w:pBdr>
        <w:spacing w:before="0" w:after="240"/>
        <w:rPr>
          <w:rFonts w:eastAsia="Arial Unicode MS"/>
          <w:noProof/>
        </w:rPr>
      </w:pPr>
      <w:r>
        <w:rPr>
          <w:noProof/>
        </w:rPr>
        <w:t>Sulla base delle direttive di negoziato pertinenti</w:t>
      </w:r>
      <w:r>
        <w:rPr>
          <w:rStyle w:val="FootnoteReference"/>
          <w:noProof/>
        </w:rPr>
        <w:footnoteReference w:id="3"/>
      </w:r>
      <w:r>
        <w:rPr>
          <w:noProof/>
        </w:rPr>
        <w:t>, la Commissione ha condotto negoziati con il governo della Repubblica del Capo Verde (di seguito, "Capo Verde") ai fini della conclusione di un nuovo protocollo dell'accordo. Al termine dei negoziati, il 12 ottobre 2018 è stato siglato un nuovo protocollo che copre un periodo di cinque anni a decorrere dalla data di applicazione provvisoria, ossia dalla data della firma, come stabilito dall'articolo 15 dello stesso.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Coerenza con le disposizioni vigenti nel settore normativo interessato</w:t>
      </w:r>
    </w:p>
    <w:p>
      <w:pPr>
        <w:pBdr>
          <w:top w:val="nil"/>
          <w:left w:val="nil"/>
          <w:bottom w:val="nil"/>
          <w:right w:val="nil"/>
          <w:between w:val="nil"/>
          <w:bar w:val="nil"/>
        </w:pBdr>
        <w:spacing w:before="0"/>
        <w:rPr>
          <w:noProof/>
        </w:rPr>
      </w:pPr>
      <w:r>
        <w:rPr>
          <w:noProof/>
        </w:rPr>
        <w:t>In linea con le priorità della riforma della politica della pesca</w:t>
      </w:r>
      <w:r>
        <w:rPr>
          <w:rStyle w:val="FootnoteReference"/>
          <w:noProof/>
        </w:rPr>
        <w:footnoteReference w:id="4"/>
      </w:r>
      <w:r>
        <w:rPr>
          <w:noProof/>
        </w:rPr>
        <w:t xml:space="preserve">, il nuovo protocollo offre possibilità di pesca alle navi dell'Unione nelle acque del Capo Verde, sulla base dei migliori pareri scientifici disponibili e nel rispetto delle raccomandazioni della Commissione internazionale per la conservazione dei tonnidi dell'Atlantico (ICCAT). Esso tiene conto, in particolare, dei risultati di una valutazione dell'ultimo protocollo (2014-2018) e di una valutazione prospettica dell'opportunità di concluderne uno nuovo, entrambe effettuate da esperti esterni. Il protocollo consentirà inoltre all'Unione europea e al Capo Verde di collaborare più strettamente al fine di promuovere lo sfruttamento responsabile delle risorse alieutiche nelle acque capoverdiane e di sostenere gli sforzi del Capo Verde volti a sviluppare l'economia blu, nell'interesse di entrambe le parti. </w:t>
      </w:r>
    </w:p>
    <w:p>
      <w:pPr>
        <w:pBdr>
          <w:top w:val="nil"/>
          <w:left w:val="nil"/>
          <w:bottom w:val="nil"/>
          <w:right w:val="nil"/>
          <w:between w:val="nil"/>
          <w:bar w:val="nil"/>
        </w:pBdr>
        <w:spacing w:before="0"/>
        <w:rPr>
          <w:noProof/>
        </w:rPr>
      </w:pPr>
      <w:r>
        <w:rPr>
          <w:noProof/>
        </w:rPr>
        <w:t>Il protocollo prevede possibilità di pesca nelle categorie seguenti:</w:t>
      </w:r>
    </w:p>
    <w:p>
      <w:pPr>
        <w:pBdr>
          <w:top w:val="nil"/>
          <w:left w:val="nil"/>
          <w:bottom w:val="nil"/>
          <w:right w:val="nil"/>
          <w:between w:val="nil"/>
          <w:bar w:val="nil"/>
        </w:pBdr>
        <w:spacing w:before="0"/>
        <w:rPr>
          <w:noProof/>
        </w:rPr>
      </w:pPr>
      <w:r>
        <w:rPr>
          <w:noProof/>
        </w:rPr>
        <w:t>28 tonniere congelatrici con reti a circuizione;</w:t>
      </w:r>
    </w:p>
    <w:p>
      <w:pPr>
        <w:pBdr>
          <w:top w:val="nil"/>
          <w:left w:val="nil"/>
          <w:bottom w:val="nil"/>
          <w:right w:val="nil"/>
          <w:between w:val="nil"/>
          <w:bar w:val="nil"/>
        </w:pBdr>
        <w:spacing w:before="0"/>
        <w:rPr>
          <w:noProof/>
        </w:rPr>
      </w:pPr>
      <w:r>
        <w:rPr>
          <w:noProof/>
        </w:rPr>
        <w:t>27 pescherecci con palangari di superficie;</w:t>
      </w:r>
    </w:p>
    <w:p>
      <w:pPr>
        <w:pBdr>
          <w:top w:val="nil"/>
          <w:left w:val="nil"/>
          <w:bottom w:val="nil"/>
          <w:right w:val="nil"/>
          <w:between w:val="nil"/>
          <w:bar w:val="nil"/>
        </w:pBdr>
        <w:spacing w:before="0" w:after="240"/>
        <w:rPr>
          <w:rFonts w:eastAsia="Arial Unicode MS"/>
          <w:noProof/>
        </w:rPr>
      </w:pPr>
      <w:r>
        <w:rPr>
          <w:noProof/>
        </w:rPr>
        <w:t>14 tonniere con lenze e canne.</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Coerenza con le altre normative dell'Unione</w:t>
      </w:r>
    </w:p>
    <w:p>
      <w:pPr>
        <w:pBdr>
          <w:top w:val="nil"/>
          <w:left w:val="nil"/>
          <w:bottom w:val="nil"/>
          <w:right w:val="nil"/>
          <w:between w:val="nil"/>
          <w:bar w:val="nil"/>
        </w:pBdr>
        <w:spacing w:before="0" w:after="240"/>
        <w:rPr>
          <w:noProof/>
        </w:rPr>
      </w:pPr>
      <w:r>
        <w:rPr>
          <w:noProof/>
        </w:rPr>
        <w:t>La negoziazione di un nuovo protocollo dell'accordo di partenariato nel settore della pesca con il Capo Verde si colloca nel quadro dell'azione esterna dell'UE nei confronti dei paesi ACP e tiene conto, in particolare, degli obiettivi dell'Unione in materia di rispetto dei principi democratici e dei diritti dell'uomo.</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keepNext/>
        <w:rPr>
          <w:noProof/>
          <w:sz w:val="22"/>
        </w:rPr>
      </w:pPr>
      <w:r>
        <w:rPr>
          <w:noProof/>
        </w:rPr>
        <w:t xml:space="preserve">La base giuridica scelta è il trattato sul funzionamento dell'Unione europea che, all'articolo 43, paragrafo 2, stabilisce la politica comune della pesca e, all'articolo 218, paragrafo 5, stabilisce la tappa pertinente della procedura per la negoziazione e la conclusione di accordi tra l'Unione e i paesi terzi. </w:t>
      </w:r>
    </w:p>
    <w:p>
      <w:pPr>
        <w:pStyle w:val="ManualHeading2"/>
        <w:rPr>
          <w:rFonts w:eastAsia="Arial Unicode MS"/>
          <w:noProof/>
          <w:u w:color="000000"/>
          <w:bdr w:val="nil"/>
        </w:rPr>
      </w:pPr>
      <w:r>
        <w:rPr>
          <w:noProof/>
        </w:rPr>
        <w:t>•</w:t>
      </w:r>
      <w:r>
        <w:rPr>
          <w:noProof/>
        </w:rPr>
        <w:tab/>
        <w:t>Sussidiarietà (per la competenza non esclusiva)</w:t>
      </w:r>
    </w:p>
    <w:p>
      <w:pPr>
        <w:keepNext/>
        <w:rPr>
          <w:noProof/>
          <w:sz w:val="22"/>
        </w:rPr>
      </w:pPr>
      <w:r>
        <w:rPr>
          <w:noProof/>
        </w:rPr>
        <w:t>La proposta è di competenza esclusiva dell'Unione europea.</w:t>
      </w:r>
    </w:p>
    <w:p>
      <w:pPr>
        <w:pStyle w:val="ManualHeading2"/>
        <w:rPr>
          <w:rFonts w:eastAsia="Arial Unicode MS"/>
          <w:noProof/>
          <w:u w:color="000000"/>
          <w:bdr w:val="nil"/>
        </w:rPr>
      </w:pPr>
      <w:r>
        <w:rPr>
          <w:noProof/>
        </w:rPr>
        <w:t>•</w:t>
      </w:r>
      <w:r>
        <w:rPr>
          <w:noProof/>
        </w:rPr>
        <w:tab/>
        <w:t>Proporzionalità</w:t>
      </w:r>
    </w:p>
    <w:p>
      <w:pPr>
        <w:keepNext/>
        <w:rPr>
          <w:noProof/>
          <w:sz w:val="22"/>
        </w:rPr>
      </w:pPr>
      <w:r>
        <w:rPr>
          <w:noProof/>
        </w:rPr>
        <w:t xml:space="preserve">La proposta è commisurata all'obiettivo di istituire un quadro di governance giuridica, ambientale, economica e sociale per le attività di pesca condotte dalle navi dell'Unione nelle acque dei paesi terzi, stabilito all'articolo 31 del regolamento sulla politica comune della pesca. Essa è conforme a tali disposizioni e alle disposizioni in materia di assistenza finanziaria ai paesi terzi di cui all'articolo 32 del medesimo regolamento.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rPr>
          <w:noProof/>
        </w:rPr>
      </w:pPr>
      <w:r>
        <w:rPr>
          <w:noProof/>
        </w:rPr>
        <w:t>Nel 2018 la Commissione ha effettuato una valutazione ex post del protocollo attualmente vigente dell'accordo di partenariato nel settore della pesca con il Capo Verde e una valutazione ex ante di un eventuale rinnovo di tale protocollo. Le conclusioni della valutazione sono esposte in un documento di lavoro distinto</w:t>
      </w:r>
      <w:r>
        <w:rPr>
          <w:rStyle w:val="FootnoteReference"/>
          <w:noProof/>
        </w:rPr>
        <w:footnoteReference w:id="5"/>
      </w:r>
      <w:r>
        <w:rPr>
          <w:noProof/>
        </w:rPr>
        <w:t>.</w:t>
      </w:r>
    </w:p>
    <w:p>
      <w:pPr>
        <w:rPr>
          <w:noProof/>
        </w:rPr>
      </w:pPr>
      <w:r>
        <w:rPr>
          <w:noProof/>
        </w:rPr>
        <w:t>Secondo le conclusioni della valutazione, il settore della pesca tonniera dell'UE è fortemente interessato alla pesca nel Capo Verde e il rinnovo del protocollo contribuirebbe a rafforzare il monitoraggio, il controllo e la sorveglianza e a migliorare la gestione delle attività di pesca nella regione. L'importanza di Mindelo (isola di São Vicente), che costituisce uno dei principali porti di sbarco e siti di trasformazione dell'Africa occidentale, contribuisce alla pertinenza del nuovo protocollo, sia per il settore della pesca tonniera dell'UE che per il paese partner.</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 quadro della valutazione sono stati consultati gli Stati membri, rappresentanti del settore, organizzazioni internazionali della società civile nonché l'amministrazione della pesca e rappresentanti della società civile del Capo Verde. Le consultazioni si sono svolte anche nell'ambito del Consiglio consultivo per la flotta oceanica.</w:t>
      </w:r>
    </w:p>
    <w:p>
      <w:pPr>
        <w:pStyle w:val="ManualHeading2"/>
        <w:rPr>
          <w:rFonts w:eastAsia="Arial Unicode MS"/>
          <w:noProof/>
          <w:u w:color="000000"/>
          <w:bdr w:val="nil"/>
        </w:rPr>
      </w:pPr>
      <w:r>
        <w:rPr>
          <w:noProof/>
        </w:rPr>
        <w:t>•</w:t>
      </w:r>
      <w:r>
        <w:rPr>
          <w:noProof/>
        </w:rPr>
        <w:tab/>
        <w:t>Ricorso al parere di esperti</w:t>
      </w:r>
    </w:p>
    <w:p>
      <w:pPr>
        <w:spacing w:before="0" w:after="240"/>
        <w:rPr>
          <w:noProof/>
        </w:rPr>
      </w:pPr>
      <w:r>
        <w:rPr>
          <w:noProof/>
        </w:rPr>
        <w:t xml:space="preserve">La Commissione si è avvalsa di un consulente indipendente per le valutazioni ex ante ed ex post, conformemente alle disposizioni di cui all'articolo 31, paragrafo 10, del regolamento sulla politica comune della pesca. </w:t>
      </w:r>
    </w:p>
    <w:p>
      <w:pPr>
        <w:pStyle w:val="ManualHeading1"/>
        <w:rPr>
          <w:noProof/>
        </w:rPr>
      </w:pPr>
      <w:r>
        <w:rPr>
          <w:noProof/>
        </w:rPr>
        <w:t>4.</w:t>
      </w:r>
      <w:r>
        <w:rPr>
          <w:noProof/>
        </w:rPr>
        <w:tab/>
        <w:t>INCIDENZA SUL BILANCIO</w:t>
      </w:r>
    </w:p>
    <w:p>
      <w:pPr>
        <w:keepNext/>
        <w:rPr>
          <w:noProof/>
        </w:rPr>
      </w:pPr>
      <w:r>
        <w:rPr>
          <w:noProof/>
        </w:rPr>
        <w:t>La contropartita finanziaria annua dell'Unione europea, pari a 750 000 EUR, si basa su:</w:t>
      </w:r>
    </w:p>
    <w:p>
      <w:pPr>
        <w:rPr>
          <w:noProof/>
        </w:rPr>
      </w:pPr>
      <w:r>
        <w:rPr>
          <w:noProof/>
        </w:rPr>
        <w:t xml:space="preserve">a) un quantitativo di riferimento di 8 000 tonnellate annue, per il quale è stato fissato un importo pari a 400 000 EUR all'anno per diritti di accesso per tutta la durata del protocollo; </w:t>
      </w:r>
    </w:p>
    <w:p>
      <w:pPr>
        <w:rPr>
          <w:noProof/>
        </w:rPr>
      </w:pPr>
      <w:r>
        <w:rPr>
          <w:noProof/>
        </w:rPr>
        <w:t>b) un sostegno allo sviluppo della politica settoriale della pesca e dell'economia blu del Capo Verde per un importo pari a 350 000 EUR all'anno per tutta la durata del protocollo. Tale sostegno risponde agli obiettivi della politica nazionale in materia di gestione sostenibile delle risorse alieutiche continentali e marittime del Capo Verde per tutta la durata del protocollo.</w:t>
      </w:r>
    </w:p>
    <w:p>
      <w:pPr>
        <w:rPr>
          <w:noProof/>
        </w:rPr>
      </w:pPr>
      <w:r>
        <w:rPr>
          <w:noProof/>
        </w:rPr>
        <w:t>L'importo annuo degli stanziamenti di impegno e di pagamento è stabilito nel corso della procedura annuale di bilancio, compresa la linea di riserva per i protocolli non ancora entrati in vigore all'inizio dell'anno</w:t>
      </w:r>
      <w:r>
        <w:rPr>
          <w:rStyle w:val="FootnoteReference"/>
          <w:noProof/>
        </w:rPr>
        <w:footnoteReference w:id="6"/>
      </w:r>
      <w:r>
        <w:rPr>
          <w:noProof/>
        </w:rPr>
        <w:t>.</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rPr>
          <w:noProof/>
        </w:rPr>
      </w:pPr>
      <w:r>
        <w:rPr>
          <w:noProof/>
        </w:rPr>
        <w:t>Le modalità di monitoraggio sono indicate nel protocollo.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2019/0071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firma, a nome dell'Unione, e all'applicazione provvisoria del protocollo di attuazione dell'accordo di partenariato nel settore della pesca tra la Comunità europea e la Repubblica del Capo Verde (2019-2024)</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2, in combinato disposto con l'articolo 218, paragrafo 5,</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19 dicembre 2006 il Consiglio ha adottato il regolamento (CE) n. 2027/2006</w:t>
      </w:r>
      <w:r>
        <w:rPr>
          <w:rStyle w:val="FootnoteReference"/>
          <w:noProof/>
        </w:rPr>
        <w:footnoteReference w:id="7"/>
      </w:r>
      <w:r>
        <w:rPr>
          <w:noProof/>
        </w:rPr>
        <w:t xml:space="preserve"> relativo alla conclusione dell'accordo di partenariato nel settore della pesca tra la Comunità europea e la Repubblica del Capo Verde</w:t>
      </w:r>
      <w:r>
        <w:rPr>
          <w:rStyle w:val="FootnoteReference"/>
          <w:noProof/>
        </w:rPr>
        <w:footnoteReference w:id="8"/>
      </w:r>
      <w:r>
        <w:rPr>
          <w:noProof/>
        </w:rPr>
        <w:t xml:space="preserve"> (di seguito, l'"accordo"), accordo entrato in vigore il 30 marzo 2007, in seguito tacitamente rinnovato e tuttora vigente.</w:t>
      </w:r>
    </w:p>
    <w:p>
      <w:pPr>
        <w:pStyle w:val="ManualConsidrant"/>
        <w:rPr>
          <w:noProof/>
        </w:rPr>
      </w:pPr>
      <w:r>
        <w:t>(2)</w:t>
      </w:r>
      <w:r>
        <w:tab/>
      </w:r>
      <w:r>
        <w:rPr>
          <w:noProof/>
        </w:rPr>
        <w:t>L'ultimo protocollo dell'accordo giunge a scadenza il 22 dicembre 2018.</w:t>
      </w:r>
    </w:p>
    <w:p>
      <w:pPr>
        <w:pStyle w:val="ManualConsidrant"/>
        <w:rPr>
          <w:noProof/>
        </w:rPr>
      </w:pPr>
      <w:r>
        <w:t>(3)</w:t>
      </w:r>
      <w:r>
        <w:tab/>
      </w:r>
      <w:r>
        <w:rPr>
          <w:noProof/>
        </w:rPr>
        <w:t>La Commissione ha negoziato, a nome dell'Unione europea, un nuovo protocollo di attuazione dell'accordo (di seguito, il "protocollo"). In esito ai negoziati, il protocollo è stato siglato il 12 ottobre 2018.</w:t>
      </w:r>
    </w:p>
    <w:p>
      <w:pPr>
        <w:pStyle w:val="ManualConsidrant"/>
        <w:rPr>
          <w:noProof/>
        </w:rPr>
      </w:pPr>
      <w:r>
        <w:t>(4)</w:t>
      </w:r>
      <w:r>
        <w:tab/>
      </w:r>
      <w:r>
        <w:rPr>
          <w:noProof/>
        </w:rPr>
        <w:t>L'obiettivo del protocollo è consentire all'Unione europea e alla Repubblica del Capo Verde di collaborare più strettamente per promuovere una politica sostenibile della pesca, lo sfruttamento responsabile delle risorse alieutiche nelle acque del Capo Verde e gli sforzi compiuti da tale paese per lo sviluppo dell'economia blu.</w:t>
      </w:r>
    </w:p>
    <w:p>
      <w:pPr>
        <w:pStyle w:val="ManualConsidrant"/>
        <w:rPr>
          <w:noProof/>
        </w:rPr>
      </w:pPr>
      <w:r>
        <w:t>(5)</w:t>
      </w:r>
      <w:r>
        <w:tab/>
      </w:r>
      <w:r>
        <w:rPr>
          <w:noProof/>
        </w:rPr>
        <w:t>È pertanto opportuno autorizzare la firma del protocollo, con riserva della sua conclusione in data successiva.</w:t>
      </w:r>
    </w:p>
    <w:p>
      <w:pPr>
        <w:pStyle w:val="ManualConsidrant"/>
        <w:rPr>
          <w:noProof/>
        </w:rPr>
      </w:pPr>
      <w:r>
        <w:t>(6)</w:t>
      </w:r>
      <w:r>
        <w:tab/>
      </w:r>
      <w:r>
        <w:rPr>
          <w:noProof/>
        </w:rPr>
        <w:t>Al fine di garantire un rapido avvio delle attività di pesca delle navi dell'Unione, il protocollo dovrebbe essere applicato in via provvisoria a decorrere dalla firma, in attesa della sua entrata in vigore,</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L'Unione autorizza la firma del protocollo di attuazione dell'accordo di partenariato nel settore della pesca tra la Comunità europea e la Repubblica del Capo Verde (2019-2024) (di seguito, il "protocollo"), con riserva della sua conclusione.</w:t>
      </w:r>
    </w:p>
    <w:p>
      <w:pPr>
        <w:rPr>
          <w:noProof/>
        </w:rPr>
      </w:pPr>
      <w:r>
        <w:rPr>
          <w:noProof/>
        </w:rPr>
        <w:t>Il testo del protocollo è allegato alla presente decisione.</w:t>
      </w:r>
    </w:p>
    <w:p>
      <w:pPr>
        <w:pStyle w:val="Titrearticle"/>
        <w:rPr>
          <w:noProof/>
        </w:rPr>
      </w:pPr>
      <w:r>
        <w:rPr>
          <w:noProof/>
        </w:rPr>
        <w:t xml:space="preserve">Articolo 2 </w:t>
      </w:r>
    </w:p>
    <w:p>
      <w:pPr>
        <w:rPr>
          <w:noProof/>
        </w:rPr>
      </w:pPr>
      <w:r>
        <w:rPr>
          <w:noProof/>
        </w:rPr>
        <w:t xml:space="preserve">Il Segretariato generale del Consiglio definisce lo strumento dei pieni poteri per la firma del protocollo, con riserva della sua conclusione, per la persona o le persone indicate dal negoziatore del protocollo stesso. </w:t>
      </w:r>
    </w:p>
    <w:p>
      <w:pPr>
        <w:pStyle w:val="Titrearticle"/>
        <w:rPr>
          <w:noProof/>
        </w:rPr>
      </w:pPr>
      <w:r>
        <w:rPr>
          <w:noProof/>
        </w:rPr>
        <w:t>Articolo 3</w:t>
      </w:r>
    </w:p>
    <w:p>
      <w:pPr>
        <w:keepNext/>
        <w:rPr>
          <w:noProof/>
        </w:rPr>
      </w:pPr>
      <w:r>
        <w:rPr>
          <w:noProof/>
        </w:rPr>
        <w:t>Il protocollo è applicato in via provvisoria conformemente al suo articolo 15, a decorrere dalla data della firma, in attesa della sua entrata in vigore.</w:t>
      </w:r>
    </w:p>
    <w:p>
      <w:pPr>
        <w:pStyle w:val="Titrearticle"/>
        <w:rPr>
          <w:noProof/>
        </w:rPr>
      </w:pPr>
      <w:r>
        <w:rPr>
          <w:noProof/>
        </w:rPr>
        <w:t>Articolo 4</w:t>
      </w:r>
    </w:p>
    <w:p>
      <w:pPr>
        <w:keepNext/>
        <w:rPr>
          <w:noProof/>
        </w:rPr>
      </w:pPr>
      <w:r>
        <w:rPr>
          <w:noProof/>
        </w:rPr>
        <w:t xml:space="preserve">La presente decisione entra in vigore il giorno successivo alla pubblicazione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w:t>
      </w:r>
    </w:p>
    <w:p>
      <w:pPr>
        <w:pStyle w:val="ManualHeading2"/>
        <w:rPr>
          <w:b w:val="0"/>
          <w:noProof/>
        </w:rPr>
      </w:pPr>
      <w:r>
        <w:rPr>
          <w:noProof/>
        </w:rPr>
        <w:tab/>
      </w:r>
      <w:r>
        <w:rPr>
          <w:b w:val="0"/>
          <w:noProof/>
        </w:rPr>
        <w:t>1.3.</w:t>
      </w:r>
      <w:r>
        <w:rPr>
          <w:noProof/>
        </w:rPr>
        <w:tab/>
      </w:r>
      <w:r>
        <w:rPr>
          <w:b w:val="0"/>
          <w:noProof/>
        </w:rPr>
        <w:t xml:space="preserve">La proposta/iniziativa riguarda: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3"/>
        <w:rPr>
          <w:noProof/>
        </w:rPr>
      </w:pPr>
      <w:r>
        <w:rPr>
          <w:noProof/>
        </w:rPr>
        <w:tab/>
        <w:t>1.4.1.</w:t>
      </w:r>
      <w:r>
        <w:rPr>
          <w:noProof/>
        </w:rPr>
        <w:tab/>
        <w:t>Obiettivi generali</w:t>
      </w:r>
    </w:p>
    <w:p>
      <w:pPr>
        <w:pStyle w:val="ManualHeading3"/>
        <w:rPr>
          <w:noProof/>
        </w:rPr>
      </w:pPr>
      <w:r>
        <w:rPr>
          <w:noProof/>
        </w:rPr>
        <w:tab/>
        <w:t>1.4.2.</w:t>
      </w:r>
      <w:r>
        <w:rPr>
          <w:noProof/>
        </w:rPr>
        <w:tab/>
        <w:t>Obiettivi specifici</w:t>
      </w:r>
    </w:p>
    <w:p>
      <w:pPr>
        <w:pStyle w:val="ManualHeading3"/>
        <w:rPr>
          <w:noProof/>
        </w:rPr>
      </w:pPr>
      <w:r>
        <w:rPr>
          <w:noProof/>
        </w:rPr>
        <w:tab/>
        <w:t>1.4.3.</w:t>
      </w:r>
      <w:r>
        <w:rPr>
          <w:noProof/>
        </w:rPr>
        <w:tab/>
        <w:t>Risultati e incidenza previsti</w:t>
      </w:r>
    </w:p>
    <w:p>
      <w:pPr>
        <w:pStyle w:val="ManualHeading3"/>
        <w:rPr>
          <w:noProof/>
        </w:rPr>
      </w:pPr>
      <w:r>
        <w:rPr>
          <w:noProof/>
        </w:rPr>
        <w:tab/>
        <w:t>1.4.4.</w:t>
      </w:r>
      <w:r>
        <w:rPr>
          <w:noProof/>
        </w:rPr>
        <w:tab/>
        <w:t>Indicatori di prestazione</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3"/>
        <w:rPr>
          <w:noProof/>
        </w:rPr>
      </w:pPr>
      <w:r>
        <w:rPr>
          <w:noProof/>
        </w:rPr>
        <w:tab/>
        <w:t>1.5.1.</w:t>
      </w:r>
      <w:r>
        <w:rPr>
          <w:noProof/>
        </w:rPr>
        <w:tab/>
        <w:t>Necessità nel breve e lungo termine, compreso un calendario dettagliato per fasi di attuazione dell'iniziativa</w:t>
      </w:r>
    </w:p>
    <w:p>
      <w:pPr>
        <w:pStyle w:val="ManualHeading3"/>
        <w:rPr>
          <w:noProof/>
        </w:rPr>
      </w:pPr>
      <w:r>
        <w:rPr>
          <w:noProof/>
        </w:rPr>
        <w:tab/>
        <w:t>1.5.2.</w:t>
      </w:r>
      <w:r>
        <w:rPr>
          <w:noProof/>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Style w:val="ManualHeading3"/>
        <w:rPr>
          <w:noProof/>
        </w:rPr>
      </w:pPr>
      <w:r>
        <w:rPr>
          <w:noProof/>
        </w:rPr>
        <w:tab/>
        <w:t>1.5.3.</w:t>
      </w:r>
      <w:r>
        <w:rPr>
          <w:noProof/>
        </w:rPr>
        <w:tab/>
        <w:t>Insegnamenti tratti da esperienze analoghe</w:t>
      </w:r>
    </w:p>
    <w:p>
      <w:pPr>
        <w:pStyle w:val="ManualHeading3"/>
        <w:rPr>
          <w:noProof/>
        </w:rPr>
      </w:pPr>
      <w:r>
        <w:rPr>
          <w:noProof/>
        </w:rPr>
        <w:tab/>
        <w:t>1.5.4.</w:t>
      </w:r>
      <w:r>
        <w:rPr>
          <w:noProof/>
        </w:rPr>
        <w:tab/>
        <w:t>Compatibilità con il quadro finanziario pluriennale ed eventuali sinergie con altri strumenti pertinenti</w:t>
      </w:r>
    </w:p>
    <w:p>
      <w:pPr>
        <w:pStyle w:val="ManualHeading3"/>
        <w:rPr>
          <w:noProof/>
        </w:rPr>
      </w:pPr>
      <w:r>
        <w:rPr>
          <w:noProof/>
        </w:rPr>
        <w:tab/>
        <w:t>1.5.5.</w:t>
      </w:r>
      <w:r>
        <w:rPr>
          <w:noProof/>
        </w:rPr>
        <w:tab/>
        <w:t>Valutazione delle varie opzioni di finanziamento disponibili, comprese le possibilità di riassegnazione</w:t>
      </w:r>
    </w:p>
    <w:p>
      <w:pPr>
        <w:pStyle w:val="ManualHeading2"/>
        <w:rPr>
          <w:b w:val="0"/>
          <w:noProof/>
        </w:rPr>
      </w:pPr>
      <w:r>
        <w:rPr>
          <w:noProof/>
        </w:rPr>
        <w:tab/>
      </w:r>
      <w:r>
        <w:rPr>
          <w:b w:val="0"/>
          <w:noProof/>
        </w:rPr>
        <w:t>1.6.</w:t>
      </w:r>
      <w:r>
        <w:rPr>
          <w:noProof/>
        </w:rPr>
        <w:tab/>
      </w:r>
      <w:r>
        <w:rPr>
          <w:b w:val="0"/>
          <w:noProof/>
        </w:rPr>
        <w:t>Durata e incidenza finanziaria della proposta/iniziativa</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Modalità di gestione previste</w:t>
      </w:r>
      <w:r>
        <w:rPr>
          <w:noProof/>
        </w:rPr>
        <w:tab/>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Sistema di gestione e di controllo</w:t>
      </w:r>
    </w:p>
    <w:p>
      <w:pPr>
        <w:pStyle w:val="ManualHeading3"/>
        <w:rPr>
          <w:noProof/>
        </w:rPr>
      </w:pPr>
      <w:r>
        <w:rPr>
          <w:noProof/>
        </w:rPr>
        <w:tab/>
        <w:t>2.2.1.</w:t>
      </w:r>
      <w:r>
        <w:rPr>
          <w:noProof/>
        </w:rPr>
        <w:tab/>
        <w:t>Giustificazione della o delle modalità di gestione, del meccanismo o dei meccanismi di attuazione del finanziamento, delle modalità di pagamento e della strategia di controllo proposti</w:t>
      </w:r>
    </w:p>
    <w:p>
      <w:pPr>
        <w:pStyle w:val="ManualHeading3"/>
        <w:rPr>
          <w:noProof/>
        </w:rPr>
      </w:pPr>
      <w:r>
        <w:rPr>
          <w:noProof/>
        </w:rPr>
        <w:tab/>
        <w:t>2.2.2.</w:t>
      </w:r>
      <w:r>
        <w:rPr>
          <w:noProof/>
        </w:rPr>
        <w:tab/>
        <w:t>Informazioni concernenti i rischi individuati e il sistema o i sistemi di controllo interno per ridurli</w:t>
      </w:r>
    </w:p>
    <w:p>
      <w:pPr>
        <w:pStyle w:val="ManualHeading3"/>
        <w:rPr>
          <w:noProof/>
        </w:rPr>
      </w:pPr>
      <w:r>
        <w:rPr>
          <w:noProof/>
        </w:rPr>
        <w:tab/>
        <w:t>2.2.3.</w:t>
      </w:r>
      <w:r>
        <w:rPr>
          <w:noProof/>
        </w:rPr>
        <w:tab/>
        <w:t>Stima e giustificazione del rapporto costo/efficacia dei controlli (rapporto "costi del controllo ÷ valore dei fondi gestiti") e valutazione dei livelli di rischio di errore previsti (al pagamento e alla chiusura)</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finanziaria prevista della proposta sugli stanziamenti</w:t>
      </w:r>
    </w:p>
    <w:p>
      <w:pPr>
        <w:pStyle w:val="ManualHeading3"/>
        <w:rPr>
          <w:noProof/>
        </w:rPr>
      </w:pPr>
      <w:r>
        <w:rPr>
          <w:noProof/>
        </w:rPr>
        <w:tab/>
        <w:t>3.2.1.</w:t>
      </w:r>
      <w:r>
        <w:rPr>
          <w:noProof/>
        </w:rPr>
        <w:tab/>
        <w:t xml:space="preserve">Sintesi dell'incidenza prevista sugli stanziamenti operativi </w:t>
      </w:r>
    </w:p>
    <w:p>
      <w:pPr>
        <w:pStyle w:val="ManualHeading3"/>
        <w:rPr>
          <w:noProof/>
        </w:rPr>
      </w:pPr>
      <w:r>
        <w:rPr>
          <w:noProof/>
        </w:rPr>
        <w:tab/>
        <w:t>3.2.2.</w:t>
      </w:r>
      <w:r>
        <w:rPr>
          <w:noProof/>
        </w:rPr>
        <w:tab/>
        <w:t xml:space="preserve">Risultati previsti finanziati con gli stanziamenti operativi </w:t>
      </w:r>
    </w:p>
    <w:p>
      <w:pPr>
        <w:pStyle w:val="ManualHeading3"/>
        <w:rPr>
          <w:noProof/>
        </w:rPr>
      </w:pPr>
      <w:r>
        <w:rPr>
          <w:noProof/>
        </w:rPr>
        <w:tab/>
        <w:t>3.2.3.</w:t>
      </w:r>
      <w:r>
        <w:rPr>
          <w:noProof/>
        </w:rPr>
        <w:tab/>
        <w:t>Sintesi dell'incidenza prevista sugli stanziamenti amministrativi</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pPr>
      <w:r>
        <w:rPr>
          <w:noProof/>
        </w:rPr>
        <w:tab/>
      </w:r>
      <w:r>
        <w:rPr>
          <w:b w:val="0"/>
          <w:noProof/>
        </w:rPr>
        <w:t>3.3.</w:t>
      </w:r>
      <w:r>
        <w:rPr>
          <w:noProof/>
        </w:rPr>
        <w:tab/>
      </w:r>
      <w:r>
        <w:rPr>
          <w:b w:val="0"/>
          <w:noProof/>
        </w:rPr>
        <w:t>Incidenza prevista sulle entrate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SCHEDA FINANZIARIA LEGISLATIVA</w:t>
      </w:r>
    </w:p>
    <w:p>
      <w:pPr>
        <w:pStyle w:val="ManualHeading1"/>
        <w:rPr>
          <w:noProof/>
        </w:rPr>
      </w:pPr>
      <w:bookmarkStart w:id="1" w:name="_Toc514938007"/>
      <w:bookmarkStart w:id="2" w:name="_Toc520485025"/>
      <w:r>
        <w:t>1.</w:t>
      </w:r>
      <w:r>
        <w:tab/>
      </w:r>
      <w:r>
        <w:rPr>
          <w:noProof/>
        </w:rPr>
        <w:t>CONTESTO DELLA PROPOSTA/INIZIATIVA</w:t>
      </w:r>
      <w:bookmarkEnd w:id="1"/>
      <w:bookmarkEnd w:id="2"/>
      <w:r>
        <w:rPr>
          <w:noProof/>
        </w:rPr>
        <w:t xml:space="preserve"> </w:t>
      </w:r>
    </w:p>
    <w:p>
      <w:pPr>
        <w:pStyle w:val="ManualHeading2"/>
        <w:rPr>
          <w:noProof/>
        </w:rPr>
      </w:pPr>
      <w:bookmarkStart w:id="3" w:name="_Toc514938008"/>
      <w:bookmarkStart w:id="4" w:name="_Toc520485026"/>
      <w:r>
        <w:t>1.1.</w:t>
      </w:r>
      <w:r>
        <w:tab/>
      </w:r>
      <w:r>
        <w:rPr>
          <w:noProof/>
        </w:rPr>
        <w:t>Titolo della proposta/iniziativa</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Proposta di decisione del Consiglio relativa alla firma, a nome dell'Unione, e all'applicazione provvisoria del protocollo di attuazione dell'accordo di partenariato nel settore della pesca tra la Comunità europea e la Repubblica del Capo Verde</w:t>
      </w:r>
    </w:p>
    <w:p>
      <w:pPr>
        <w:pStyle w:val="ManualHeading2"/>
        <w:rPr>
          <w:noProof/>
        </w:rPr>
      </w:pPr>
      <w:bookmarkStart w:id="5" w:name="_Toc514938011"/>
      <w:bookmarkStart w:id="6" w:name="_Toc520485027"/>
      <w:r>
        <w:t>1.2.</w:t>
      </w:r>
      <w:r>
        <w:tab/>
      </w:r>
      <w:r>
        <w:rPr>
          <w:noProof/>
        </w:rPr>
        <w:t>Settore/settori interessati</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Affari marittimi e pesca</w:t>
      </w:r>
    </w:p>
    <w:p>
      <w:pPr>
        <w:pStyle w:val="Text1"/>
        <w:pBdr>
          <w:top w:val="single" w:sz="4" w:space="1" w:color="auto"/>
          <w:left w:val="single" w:sz="4" w:space="4" w:color="auto"/>
          <w:bottom w:val="single" w:sz="4" w:space="1" w:color="auto"/>
          <w:right w:val="single" w:sz="4" w:space="4" w:color="auto"/>
        </w:pBdr>
        <w:rPr>
          <w:noProof/>
        </w:rPr>
      </w:pPr>
      <w:r>
        <w:rPr>
          <w:noProof/>
        </w:rPr>
        <w:t>11.03 – Contributi obbligatori alle organizzazioni regionali di gestione della pesca (ORGP) e ad altre organizzazioni internazionali e accordi di pesca sostenibile (APS)</w:t>
      </w:r>
    </w:p>
    <w:p>
      <w:pPr>
        <w:pStyle w:val="Text1"/>
        <w:pBdr>
          <w:top w:val="single" w:sz="4" w:space="1" w:color="auto"/>
          <w:left w:val="single" w:sz="4" w:space="4" w:color="auto"/>
          <w:bottom w:val="single" w:sz="4" w:space="1" w:color="auto"/>
          <w:right w:val="single" w:sz="4" w:space="4" w:color="auto"/>
        </w:pBdr>
        <w:rPr>
          <w:noProof/>
        </w:rPr>
      </w:pPr>
      <w:r>
        <w:rPr>
          <w:noProof/>
        </w:rPr>
        <w:t>11.03.01 - Istituzione di un contesto di governance per le attività di pesca condotte dai pescherecci dell'Unione nelle acque dei paesi terzi</w:t>
      </w:r>
    </w:p>
    <w:p>
      <w:pPr>
        <w:pStyle w:val="ManualHeading2"/>
        <w:rPr>
          <w:bCs/>
          <w:noProof/>
          <w:szCs w:val="24"/>
        </w:rPr>
      </w:pPr>
      <w:bookmarkStart w:id="7" w:name="_Toc514938014"/>
      <w:bookmarkStart w:id="8" w:name="_Toc520485028"/>
      <w:r>
        <w:t>1.3.</w:t>
      </w:r>
      <w:r>
        <w:tab/>
      </w:r>
      <w:r>
        <w:rPr>
          <w:noProof/>
        </w:rPr>
        <w:t>La proposta/iniziativa riguarda:</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nuova azione a seguito di un progetto pilota/un'azione preparatoria</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la fusione o il riorientamento di una o più azioni verso un'altra/una nuova azione</w:t>
      </w:r>
      <w:r>
        <w:rPr>
          <w:noProof/>
        </w:rPr>
        <w:t xml:space="preserve"> </w:t>
      </w:r>
    </w:p>
    <w:p>
      <w:pPr>
        <w:pStyle w:val="ManualHeading2"/>
        <w:rPr>
          <w:bCs/>
          <w:noProof/>
          <w:szCs w:val="24"/>
        </w:rPr>
      </w:pPr>
      <w:bookmarkStart w:id="9" w:name="_Toc514938015"/>
      <w:bookmarkStart w:id="10" w:name="_Toc520485029"/>
      <w:r>
        <w:t>1.4.</w:t>
      </w:r>
      <w:r>
        <w:tab/>
      </w:r>
      <w:r>
        <w:rPr>
          <w:noProof/>
        </w:rPr>
        <w:t>Obiettivi</w:t>
      </w:r>
      <w:bookmarkEnd w:id="9"/>
      <w:bookmarkEnd w:id="10"/>
    </w:p>
    <w:p>
      <w:pPr>
        <w:pStyle w:val="ManualHeading3"/>
        <w:rPr>
          <w:noProof/>
        </w:rPr>
      </w:pPr>
      <w:bookmarkStart w:id="11" w:name="_Toc514938016"/>
      <w:bookmarkStart w:id="12" w:name="_Toc520485030"/>
      <w:r>
        <w:t>1.4.1.</w:t>
      </w:r>
      <w:r>
        <w:tab/>
      </w:r>
      <w:r>
        <w:rPr>
          <w:noProof/>
        </w:rPr>
        <w:t>Obiettivi generali</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La negoziazione e la conclusione di accordi di partenariato per una pesca sostenibile (APPS) con paesi terzi rispondono all'obiettivo generale di permettere l'accesso dei pescherecci dell'Unione europea alle zone di pesca di paesi terzi e di sviluppare con tali paesi relazioni di partenariato volte a promuovere lo sfruttamento sostenibile delle risorse alieutiche al di fuori delle acque dell'Unione.</w:t>
      </w:r>
    </w:p>
    <w:p>
      <w:pPr>
        <w:pStyle w:val="Text1"/>
        <w:pBdr>
          <w:top w:val="single" w:sz="4" w:space="1" w:color="auto"/>
          <w:left w:val="single" w:sz="4" w:space="4" w:color="auto"/>
          <w:bottom w:val="single" w:sz="4" w:space="1" w:color="auto"/>
          <w:right w:val="single" w:sz="4" w:space="4" w:color="auto"/>
        </w:pBdr>
        <w:rPr>
          <w:noProof/>
        </w:rPr>
      </w:pPr>
      <w:r>
        <w:rPr>
          <w:noProof/>
        </w:rPr>
        <w:t>Gli APPS garantiscono inoltre la coerenza fra i principi che regolano la politica comune della pesca e gli impegni derivanti da altre politiche europee [sfruttamento sostenibile delle risorse dei paesi terzi, lotta contro la pesca illegale, non dichiarata e non regolamentata (INN), integrazione dei paesi partner nell'economia globale, migliore gestione delle attività di pesca a livello politico e finanziario].</w:t>
      </w:r>
    </w:p>
    <w:p>
      <w:pPr>
        <w:pStyle w:val="ManualHeading3"/>
        <w:rPr>
          <w:bCs/>
          <w:noProof/>
          <w:szCs w:val="24"/>
        </w:rPr>
      </w:pPr>
      <w:bookmarkStart w:id="13" w:name="_Toc514938018"/>
      <w:bookmarkStart w:id="14" w:name="_Toc520485031"/>
      <w:r>
        <w:t>1.4.2.</w:t>
      </w:r>
      <w:r>
        <w:tab/>
      </w:r>
      <w:r>
        <w:rPr>
          <w:noProof/>
        </w:rPr>
        <w:t>Obiettivi specifici</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w:t>
      </w:r>
    </w:p>
    <w:p>
      <w:pPr>
        <w:pStyle w:val="Text1"/>
        <w:pBdr>
          <w:top w:val="single" w:sz="4" w:space="1" w:color="auto"/>
          <w:left w:val="single" w:sz="4" w:space="4" w:color="auto"/>
          <w:bottom w:val="single" w:sz="4" w:space="1" w:color="auto"/>
          <w:right w:val="single" w:sz="4" w:space="4" w:color="auto"/>
        </w:pBdr>
        <w:rPr>
          <w:noProof/>
        </w:rPr>
      </w:pPr>
      <w:r>
        <w:rPr>
          <w:noProof/>
        </w:rPr>
        <w:t>Contribuire alla pesca sostenibile nelle acque al di fuori dell'Unione, mantenere la presenza europea nelle attività di pesca d'altura e tutelare gli interessi del settore europeo della pesca e dei consumatori tramite la negoziazione e la conclusione di APPS con Stati costieri, in coerenza con altre politiche europee.</w:t>
      </w:r>
    </w:p>
    <w:p>
      <w:pPr>
        <w:pStyle w:val="Text1"/>
        <w:keepNext/>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Affari marittimi e pesca: istituzione di un contesto di governance per le attività di pesca condotte dai pescherecci dell'Unione nelle acque dei paesi terzi (APS) (linea di bilancio 11.03.01).</w:t>
      </w:r>
    </w:p>
    <w:p>
      <w:pPr>
        <w:pStyle w:val="ManualHeading3"/>
        <w:rPr>
          <w:noProof/>
        </w:rPr>
      </w:pPr>
      <w:bookmarkStart w:id="15" w:name="_Toc514938019"/>
      <w:bookmarkStart w:id="16" w:name="_Toc520485032"/>
      <w:r>
        <w:t>1.4.3.</w:t>
      </w:r>
      <w:r>
        <w:tab/>
      </w:r>
      <w:r>
        <w:rPr>
          <w:noProof/>
        </w:rPr>
        <w:t>Risultati e incidenza previsti</w:t>
      </w:r>
      <w:bookmarkEnd w:id="15"/>
      <w:bookmarkEnd w:id="16"/>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La conclusione del protocollo consente di istituire un partenariato strategico nel settore della pesca tra l'Unione europea e il Capo Verde. La conclusione del protocollo creerà possibilità di pesca per le navi dell'Unione nelle acque capoverdiane.</w:t>
      </w:r>
    </w:p>
    <w:p>
      <w:pPr>
        <w:pStyle w:val="Text1"/>
        <w:pBdr>
          <w:top w:val="single" w:sz="4" w:space="1" w:color="auto"/>
          <w:left w:val="single" w:sz="4" w:space="4" w:color="auto"/>
          <w:bottom w:val="single" w:sz="4" w:space="1" w:color="auto"/>
          <w:right w:val="single" w:sz="4" w:space="4" w:color="auto"/>
        </w:pBdr>
        <w:rPr>
          <w:noProof/>
        </w:rPr>
      </w:pPr>
      <w:r>
        <w:rPr>
          <w:noProof/>
        </w:rPr>
        <w:t>Il protocollo contribuirà inoltre a una migliore gestione e conservazione delle risorse alieutiche tramite un sostegno finanziario (sostegno settoriale) all'attuazione dei programmi adottati a livello nazionale dal paese partner, in particolare per quanto riguarda la sorveglianza e la lotta contro la pesca illegale e il sostegno al settore della pesca artigianale.</w:t>
      </w:r>
    </w:p>
    <w:p>
      <w:pPr>
        <w:pStyle w:val="Text1"/>
        <w:pBdr>
          <w:top w:val="single" w:sz="4" w:space="1" w:color="auto"/>
          <w:left w:val="single" w:sz="4" w:space="4" w:color="auto"/>
          <w:bottom w:val="single" w:sz="4" w:space="1" w:color="auto"/>
          <w:right w:val="single" w:sz="4" w:space="4" w:color="auto"/>
        </w:pBdr>
        <w:rPr>
          <w:noProof/>
        </w:rPr>
      </w:pPr>
      <w:r>
        <w:rPr>
          <w:noProof/>
        </w:rPr>
        <w:t>Infine, il protocollo contribuirà allo sviluppo dell'economia blu del Capo Verde, promuovendo la crescita connessa alle attività marittime e lo sfruttamento sostenibile delle risorse marine.</w:t>
      </w:r>
    </w:p>
    <w:p>
      <w:pPr>
        <w:pStyle w:val="ManualHeading3"/>
        <w:rPr>
          <w:noProof/>
          <w:szCs w:val="24"/>
        </w:rPr>
      </w:pPr>
      <w:bookmarkStart w:id="17" w:name="_Toc514938023"/>
      <w:bookmarkStart w:id="18" w:name="_Toc520485033"/>
      <w:r>
        <w:t>1.4.4.</w:t>
      </w:r>
      <w:r>
        <w:tab/>
      </w:r>
      <w:r>
        <w:rPr>
          <w:noProof/>
        </w:rPr>
        <w:t>Indicatori di prestazione</w:t>
      </w:r>
      <w:bookmarkEnd w:id="17"/>
      <w:bookmarkEnd w:id="18"/>
    </w:p>
    <w:p>
      <w:pPr>
        <w:pStyle w:val="Text1"/>
        <w:rPr>
          <w:i/>
          <w:noProof/>
          <w:sz w:val="20"/>
        </w:rPr>
      </w:pPr>
      <w:r>
        <w:rPr>
          <w:i/>
          <w:noProof/>
          <w:sz w:val="20"/>
        </w:rPr>
        <w:t>Precisare gli indicatori con cui monitorare progressi e risultati</w:t>
      </w:r>
    </w:p>
    <w:p>
      <w:pPr>
        <w:pStyle w:val="Text1"/>
        <w:pBdr>
          <w:top w:val="single" w:sz="4" w:space="1" w:color="auto"/>
          <w:left w:val="single" w:sz="4" w:space="4" w:color="auto"/>
          <w:bottom w:val="single" w:sz="4" w:space="1" w:color="auto"/>
          <w:right w:val="single" w:sz="4" w:space="4" w:color="auto"/>
        </w:pBdr>
        <w:rPr>
          <w:noProof/>
        </w:rPr>
      </w:pPr>
      <w:r>
        <w:rPr>
          <w:noProof/>
        </w:rPr>
        <w:t>Tasso di utilizzo delle possibilità di pesca (percentuale annua delle autorizzazioni di pesca utilizzate rispetto alla disponibilità offerta dal protocollo).</w:t>
      </w:r>
    </w:p>
    <w:p>
      <w:pPr>
        <w:pStyle w:val="Text1"/>
        <w:pBdr>
          <w:top w:val="single" w:sz="4" w:space="1" w:color="auto"/>
          <w:left w:val="single" w:sz="4" w:space="4" w:color="auto"/>
          <w:bottom w:val="single" w:sz="4" w:space="1" w:color="auto"/>
          <w:right w:val="single" w:sz="4" w:space="4" w:color="auto"/>
        </w:pBdr>
        <w:rPr>
          <w:noProof/>
        </w:rPr>
      </w:pPr>
      <w:r>
        <w:rPr>
          <w:noProof/>
        </w:rPr>
        <w:t>Dati relativi alle catture (raccolta e analisi) e al valore commerciale dell'accordo.</w:t>
      </w:r>
    </w:p>
    <w:p>
      <w:pPr>
        <w:pStyle w:val="Text1"/>
        <w:pBdr>
          <w:top w:val="single" w:sz="4" w:space="1" w:color="auto"/>
          <w:left w:val="single" w:sz="4" w:space="4" w:color="auto"/>
          <w:bottom w:val="single" w:sz="4" w:space="1" w:color="auto"/>
          <w:right w:val="single" w:sz="4" w:space="4" w:color="auto"/>
        </w:pBdr>
        <w:rPr>
          <w:noProof/>
        </w:rPr>
      </w:pPr>
      <w:r>
        <w:rPr>
          <w:noProof/>
        </w:rPr>
        <w:t>Contributo all'occupazione e al valore aggiunto nell'Unione nonché alla stabilizzazione del mercato dell'Unione (a livello aggregato con altri APPS).</w:t>
      </w:r>
    </w:p>
    <w:p>
      <w:pPr>
        <w:pStyle w:val="Text1"/>
        <w:pBdr>
          <w:top w:val="single" w:sz="4" w:space="1" w:color="auto"/>
          <w:left w:val="single" w:sz="4" w:space="4" w:color="auto"/>
          <w:bottom w:val="single" w:sz="4" w:space="1" w:color="auto"/>
          <w:right w:val="single" w:sz="4" w:space="4" w:color="auto"/>
        </w:pBdr>
        <w:rPr>
          <w:noProof/>
        </w:rPr>
      </w:pPr>
      <w:r>
        <w:rPr>
          <w:noProof/>
        </w:rPr>
        <w:t>Contributo al miglioramento della ricerca, del monitoraggio e del controllo delle attività di pesca da parte del paese partner e allo sviluppo del settore della pesca, in particolare della pesca artigianale.</w:t>
      </w:r>
    </w:p>
    <w:p>
      <w:pPr>
        <w:pStyle w:val="ManualHeading2"/>
        <w:rPr>
          <w:bCs/>
          <w:noProof/>
          <w:szCs w:val="24"/>
        </w:rPr>
      </w:pPr>
      <w:bookmarkStart w:id="19" w:name="_Toc514938025"/>
      <w:bookmarkStart w:id="20" w:name="_Toc520485034"/>
      <w:r>
        <w:t>1.5.</w:t>
      </w:r>
      <w:r>
        <w:tab/>
      </w:r>
      <w:r>
        <w:rPr>
          <w:noProof/>
        </w:rPr>
        <w:t>Motivazione della proposta/iniziativa</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Necessità nel breve e lungo termine, compreso un calendario dettagliato per fasi di attuazione dell'iniziativa</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È previsto che il nuovo protocollo si applichi in via provvisoria a decorrere dalla data della firma, al fine di limitare l'interruzione delle operazioni di pesca condotte nell'ambito del protocollo attuale.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nuovo protocollo fornirà un quadro per le attività di pesca della flotta dell'Unione nella zona di pesca del Capo Verde e permetterà agli armatori dell'UE di chiedere autorizzazioni per l'esercizio della pesca in tale zona. Il nuovo protocollo rafforza inoltre la cooperazione tra l'UE e il Capo Verde al fine di promuovere lo sviluppo di una politica di pesca sostenibile. Esso prevede in particolare la sorveglianza delle navi tramite VMS e la comunicazione per via elettronica dei dati relativi alle catture. Il sostegno settoriale offerto dal protocollo assisterà il Capo verde nel quadro della sua strategia nazionale in materia di pesca, in particolare per quanto riguarda la lotta contro la pesca INN. </w:t>
      </w:r>
    </w:p>
    <w:p>
      <w:pPr>
        <w:pStyle w:val="ManualHeading3"/>
        <w:rPr>
          <w:bCs/>
          <w:noProof/>
          <w:szCs w:val="24"/>
        </w:rPr>
      </w:pPr>
      <w:bookmarkStart w:id="23" w:name="_Toc514938029"/>
      <w:bookmarkStart w:id="24" w:name="_Toc520485036"/>
      <w:r>
        <w:t>1.5.2.</w:t>
      </w:r>
      <w:r>
        <w:tab/>
      </w:r>
      <w:r>
        <w:rPr>
          <w:noProof/>
        </w:rPr>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Se l'Unione non concludesse un nuovo protocollo, le sue navi non potrebbero operare, in quanto una clausola dell'accordo esclude l'esercizio di attività di pesca al di fuori di un quadro definito da un protocollo dell'accordo. Esiste pertanto un chiaro valore aggiunto per la flotta d'altura dell'UE. Il protocollo definisce inoltre un quadro per una cooperazione rafforzata tra l'Unione e il Capo Verde. </w:t>
      </w:r>
    </w:p>
    <w:p>
      <w:pPr>
        <w:pStyle w:val="ManualHeading3"/>
        <w:rPr>
          <w:noProof/>
        </w:rPr>
      </w:pPr>
      <w:bookmarkStart w:id="25" w:name="_Toc514938030"/>
      <w:bookmarkStart w:id="26" w:name="_Toc520485037"/>
      <w:r>
        <w:rPr>
          <w:noProof/>
        </w:rPr>
        <w:br w:type="page"/>
      </w:r>
      <w:r>
        <w:t>1.5.3.</w:t>
      </w:r>
      <w:r>
        <w:tab/>
      </w:r>
      <w:r>
        <w:rPr>
          <w:noProof/>
        </w:rPr>
        <w:t>Insegnamenti tratti da esperienze analoghe</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Le Parti hanno fissato un quantitativo di riferimento di 8 000 tonnellate/anno per i tonnidi e le specie affini, con possibilità di pesca per 28 tonniere congelatrici con reti a circuizione, 27 pescherecci con palangari di superficie e 14 tonniere con lenze e canne, sulla base dell'analisi delle catture storiche praticate nella zona di pesca del Capo Verde e delle catture recenti effettuate nel quadro di protocolli simili nella regione, nonché delle valutazioni e dei pareri scientifici disponibili. Il sostegno settoriale è stato fissato a un livello relativamente elevato per tener conto delle necessità in termini di rafforzamento delle capacità delle autorità capoverdiane responsabili della pesca e delle priorità della strategia nazionale nel settore della pesca, nonché dei piani intesi a promuovere lo sviluppo dell'economia blu in tale Stato costiero.</w:t>
      </w:r>
    </w:p>
    <w:p>
      <w:pPr>
        <w:pStyle w:val="ManualHeading3"/>
        <w:rPr>
          <w:noProof/>
        </w:rPr>
      </w:pPr>
      <w:bookmarkStart w:id="27" w:name="_Toc514938033"/>
      <w:bookmarkStart w:id="28" w:name="_Toc520485038"/>
      <w:r>
        <w:t>1.5.4.</w:t>
      </w:r>
      <w:r>
        <w:tab/>
      </w:r>
      <w:r>
        <w:rPr>
          <w:noProof/>
        </w:rPr>
        <w:t>Compatibilità con il quadro finanziario pluriennale ed eventuali sinergie con altri strumenti pertinenti</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I fondi assegnati a titolo di contropartita finanziaria per l'accesso nell'ambito dell'APP costituiscono entrate fruibili nel bilancio nazionale del Capo Verde. Tuttavia, i fondi destinati al sostegno settoriale sono assegnati (generalmente mediante iscrizione nella legge finanziaria annuale) al ministero della Pesca, il che costituisce una condizione per la conclusione e la sorveglianza degli APPS. Tali risorse finanziarie sono compatibili con altre fonti di finanziamento provenienti da altri finanziatori internazionali per l'attuazione di progetti e/o programmi realizzati a livello nazionale nel settore della pesca.</w:t>
      </w:r>
    </w:p>
    <w:p>
      <w:pPr>
        <w:pStyle w:val="ManualHeading3"/>
        <w:rPr>
          <w:noProof/>
        </w:rPr>
      </w:pPr>
      <w:bookmarkStart w:id="29" w:name="_Toc514938036"/>
      <w:bookmarkStart w:id="30" w:name="_Toc520485039"/>
      <w:r>
        <w:t>1.5.5.</w:t>
      </w:r>
      <w:r>
        <w:tab/>
      </w:r>
      <w:r>
        <w:rPr>
          <w:noProof/>
        </w:rPr>
        <w:t>Valutazione delle varie opzioni di finanziamento disponibili, comprese le possibilità di riassegnazione</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rPr>
      </w:pPr>
    </w:p>
    <w:p>
      <w:pPr>
        <w:pStyle w:val="ManualHeading2"/>
        <w:rPr>
          <w:bCs/>
          <w:noProof/>
          <w:szCs w:val="24"/>
        </w:rPr>
      </w:pPr>
      <w:bookmarkStart w:id="31" w:name="_Toc514938039"/>
      <w:bookmarkStart w:id="32" w:name="_Toc520485040"/>
      <w:r>
        <w:t>1.6.</w:t>
      </w:r>
      <w:r>
        <w:tab/>
      </w:r>
      <w:r>
        <w:rPr>
          <w:noProof/>
        </w:rPr>
        <w:t>Durata e incidenza finanziaria della proposta/iniziativa</w:t>
      </w:r>
      <w:bookmarkEnd w:id="31"/>
      <w:bookmarkEnd w:id="32"/>
    </w:p>
    <w:p>
      <w:pPr>
        <w:pStyle w:val="Text1"/>
        <w:rPr>
          <w:noProof/>
        </w:rPr>
      </w:pPr>
      <w:r>
        <w:rPr>
          <w:b/>
          <w:noProof/>
        </w:rPr>
        <w:t>X</w:t>
      </w:r>
      <w:r>
        <w:rPr>
          <w:b/>
          <w:i/>
          <w:noProof/>
        </w:rPr>
        <w:t xml:space="preserve"> </w:t>
      </w:r>
      <w:r>
        <w:rPr>
          <w:b/>
          <w:noProof/>
        </w:rPr>
        <w:t xml:space="preserve">durata limitata </w:t>
      </w:r>
    </w:p>
    <w:p>
      <w:pPr>
        <w:pStyle w:val="ListDash2"/>
        <w:rPr>
          <w:noProof/>
        </w:rPr>
      </w:pPr>
      <w:r>
        <w:rPr>
          <w:noProof/>
        </w:rPr>
        <w:t>X</w:t>
      </w:r>
      <w:r>
        <w:rPr>
          <w:noProof/>
        </w:rPr>
        <w:tab/>
        <w:t xml:space="preserve">in vigore dal 2019 al 2024 </w:t>
      </w:r>
    </w:p>
    <w:p>
      <w:pPr>
        <w:pStyle w:val="ListDash2"/>
        <w:rPr>
          <w:noProof/>
        </w:rPr>
      </w:pPr>
      <w:r>
        <w:rPr>
          <w:noProof/>
        </w:rPr>
        <w:t>X</w:t>
      </w:r>
      <w:r>
        <w:rPr>
          <w:noProof/>
        </w:rPr>
        <w:tab/>
        <w:t xml:space="preserve">incidenza finanziaria dal 2019 al 2024 per gli stanziamenti di impegno e dal 2019 al 2024 per gli stanziamenti di pagamento </w:t>
      </w:r>
    </w:p>
    <w:p>
      <w:pPr>
        <w:pStyle w:val="Text1"/>
        <w:rPr>
          <w:noProof/>
        </w:rPr>
      </w:pPr>
      <w:r>
        <w:rPr>
          <w:noProof/>
        </w:rPr>
        <w:sym w:font="Wingdings" w:char="F0A8"/>
      </w:r>
      <w:r>
        <w:rPr>
          <w:b/>
          <w:i/>
          <w:noProof/>
        </w:rPr>
        <w:t xml:space="preserve">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bookmarkStart w:id="33" w:name="_Toc514938040"/>
      <w:bookmarkStart w:id="34" w:name="_Toc520485041"/>
      <w:r>
        <w:t>1.7.</w:t>
      </w:r>
      <w:r>
        <w:tab/>
      </w:r>
      <w:r>
        <w:rPr>
          <w:noProof/>
        </w:rPr>
        <w:t>Modalità di gestione previste</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Gestione diretta</w:t>
      </w:r>
      <w:r>
        <w:rPr>
          <w:noProof/>
        </w:rPr>
        <w:t xml:space="preserve"> a opera della Commissione</w:t>
      </w:r>
    </w:p>
    <w:p>
      <w:pPr>
        <w:pStyle w:val="ListDash2"/>
        <w:rPr>
          <w:rFonts w:cs="EUAlbertina"/>
          <w:noProof/>
        </w:rPr>
      </w:pPr>
      <w:r>
        <w:rPr>
          <w:b/>
          <w:noProof/>
        </w:rPr>
        <w:t>X</w:t>
      </w:r>
      <w:r>
        <w:rPr>
          <w:noProof/>
        </w:rPr>
        <w:t xml:space="preserve"> a opera dei suoi servizi, compreso il suo personale presso 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loro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70 e 71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pStyle w:val="ListDash2"/>
        <w:rPr>
          <w:noProof/>
        </w:rPr>
      </w:pPr>
      <w:r>
        <w:rPr>
          <w:noProof/>
        </w:rPr>
        <w:sym w:font="Wingdings" w:char="F0A8"/>
      </w:r>
      <w:r>
        <w:rPr>
          <w:noProof/>
        </w:rPr>
        <w:t xml:space="preserve"> alle persone incaricate di attuare azioni specifiche della PESC a norma del titolo V del TUE 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t>[...]</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MISURE DI GESTIONE</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Disposizioni in materia di monitoraggio e di relazioni</w:t>
      </w:r>
      <w:bookmarkEnd w:id="37"/>
      <w:bookmarkEnd w:id="38"/>
      <w:r>
        <w:rPr>
          <w:noProof/>
        </w:rPr>
        <w:t xml:space="preserve"> </w:t>
      </w:r>
    </w:p>
    <w:p>
      <w:pPr>
        <w:pStyle w:val="Text1"/>
        <w:rPr>
          <w:i/>
          <w:noProof/>
          <w:sz w:val="20"/>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Commissione (DG MARE, in collaborazione con il proprio responsabile della pesca nella regione – Dakar, Senegal) garantirà una sorveglianza regolare dell'attuazione del protocollo per quanto riguarda l'uso, da parte degli operatori, delle possibilità di pesca, i dati relativi alle catture e il rispetto della condizionalità del sostegno settoriale. </w:t>
      </w:r>
    </w:p>
    <w:p>
      <w:pPr>
        <w:pBdr>
          <w:top w:val="single" w:sz="4" w:space="1" w:color="auto"/>
          <w:left w:val="single" w:sz="4" w:space="4" w:color="auto"/>
          <w:bottom w:val="single" w:sz="4" w:space="1" w:color="auto"/>
          <w:right w:val="single" w:sz="4" w:space="4" w:color="auto"/>
        </w:pBdr>
        <w:ind w:left="850"/>
        <w:rPr>
          <w:noProof/>
        </w:rPr>
      </w:pPr>
      <w:r>
        <w:rPr>
          <w:noProof/>
        </w:rPr>
        <w:t>L'APP prevede inoltre almeno una riunione annuale della commissione mista nel corso della quale la Commissione e il Capo Verde facciano il punto sull'attuazione dell'accordo e del relativo protocollo e apportino, se necessario, adeguamenti alla programmazione ed eventualmente alla contropartita finanziaria.</w:t>
      </w:r>
    </w:p>
    <w:p>
      <w:pPr>
        <w:pStyle w:val="ManualHeading2"/>
        <w:rPr>
          <w:bCs/>
          <w:noProof/>
          <w:szCs w:val="24"/>
        </w:rPr>
      </w:pPr>
      <w:bookmarkStart w:id="39" w:name="_Toc514938045"/>
      <w:bookmarkStart w:id="40" w:name="_Toc520485044"/>
      <w:r>
        <w:t>2.2.</w:t>
      </w:r>
      <w:r>
        <w:tab/>
      </w:r>
      <w:r>
        <w:rPr>
          <w:noProof/>
        </w:rPr>
        <w:t>Sistema di gestione e di controllo</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Giustificazione della o delle modalità di gestione, del meccanismo o dei meccanismi di attuazione del finanziamento, delle modalità di pagamento e della strategia di controllo proposti</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 xml:space="preserve">Il rischio individuato è che gli armatori dell'UE non facciano pieno utilizzo delle possibilità di pesca e che i fondi destinati al finanziamento della politica settoriale della pesca del Capo Verde siano sottoutilizzati o utilizzati in ritardo. </w:t>
      </w:r>
    </w:p>
    <w:p>
      <w:pPr>
        <w:pStyle w:val="ManualHeading3"/>
        <w:rPr>
          <w:bCs/>
          <w:noProof/>
          <w:szCs w:val="24"/>
        </w:rPr>
      </w:pPr>
      <w:bookmarkStart w:id="43" w:name="_Toc514938047"/>
      <w:bookmarkStart w:id="44" w:name="_Toc520485046"/>
      <w:r>
        <w:t>2.2.2.</w:t>
      </w:r>
      <w:r>
        <w:tab/>
      </w:r>
      <w:r>
        <w:rPr>
          <w:noProof/>
        </w:rPr>
        <w:t>Informazioni concernenti i rischi individuati e il sistema o i sistemi di controllo interno per ridurli</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Si intende promuovere un dialogo approfondito sulla programmazione e sull'attuazione della politica settoriale prevista dall'accordo e dal protocollo. Anche l'analisi congiunta dei risultati menzionata all'articolo 5 del protocollo rientra tra le modalità di controllo.</w:t>
      </w:r>
    </w:p>
    <w:p>
      <w:pPr>
        <w:pBdr>
          <w:top w:val="single" w:sz="4" w:space="1" w:color="auto"/>
          <w:left w:val="single" w:sz="4" w:space="4" w:color="auto"/>
          <w:bottom w:val="single" w:sz="4" w:space="1" w:color="auto"/>
          <w:right w:val="single" w:sz="4" w:space="4" w:color="auto"/>
        </w:pBdr>
        <w:ind w:left="850"/>
        <w:rPr>
          <w:noProof/>
        </w:rPr>
      </w:pPr>
      <w:r>
        <w:rPr>
          <w:noProof/>
        </w:rPr>
        <w:t>L'accordo e il protocollo contengono inoltre clausole specifiche per la loro sospensione, a particolari condizioni e in circostanze determinate.</w:t>
      </w:r>
    </w:p>
    <w:p>
      <w:pPr>
        <w:pStyle w:val="ManualHeading3"/>
        <w:rPr>
          <w:noProof/>
        </w:rPr>
      </w:pPr>
      <w:bookmarkStart w:id="45" w:name="_Toc514938048"/>
      <w:bookmarkStart w:id="46" w:name="_Toc520485047"/>
      <w:r>
        <w:rPr>
          <w:noProof/>
        </w:rPr>
        <w:br w:type="page"/>
      </w:r>
      <w:r>
        <w:t>2.2.3.</w:t>
      </w:r>
      <w:r>
        <w:tab/>
      </w:r>
      <w:r>
        <w:rPr>
          <w:noProof/>
        </w:rPr>
        <w:t>Stima e giustificazione del rapporto costo/efficacia dei controlli (rapporto "costi del controllo ÷ valore dei fondi gestiti") e valutazione dei livelli di rischio di errore previsti (al pagamento e alla chiusura)</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47" w:name="_Toc514938049"/>
      <w:bookmarkStart w:id="48" w:name="_Toc520485048"/>
      <w:r>
        <w:t>2.3.</w:t>
      </w:r>
      <w:r>
        <w:tab/>
      </w:r>
      <w:r>
        <w:rPr>
          <w:noProof/>
        </w:rPr>
        <w:t>Misure di prevenzione delle frodi e delle irregolarità</w:t>
      </w:r>
      <w:bookmarkEnd w:id="47"/>
      <w:bookmarkEnd w:id="48"/>
      <w:r>
        <w:rPr>
          <w:noProof/>
        </w:rPr>
        <w:t xml:space="preserve"> </w:t>
      </w:r>
    </w:p>
    <w:p>
      <w:pPr>
        <w:pStyle w:val="Text1"/>
        <w:rPr>
          <w:i/>
          <w:noProof/>
          <w:sz w:val="20"/>
        </w:rPr>
      </w:pPr>
      <w:r>
        <w:rPr>
          <w:i/>
          <w:noProof/>
          <w:sz w:val="20"/>
        </w:rPr>
        <w:t>Precisare le misure di prevenzione e tutela in vigore o previste, ad esempio strategia antifrode</w:t>
      </w:r>
    </w:p>
    <w:p>
      <w:pPr>
        <w:pStyle w:val="Text1"/>
        <w:pBdr>
          <w:top w:val="single" w:sz="4" w:space="1" w:color="auto"/>
          <w:left w:val="single" w:sz="4" w:space="4" w:color="auto"/>
          <w:bottom w:val="single" w:sz="4" w:space="1" w:color="auto"/>
          <w:right w:val="single" w:sz="4" w:space="4" w:color="auto"/>
        </w:pBdr>
        <w:rPr>
          <w:noProof/>
        </w:rPr>
      </w:pPr>
      <w:r>
        <w:rPr>
          <w:noProof/>
        </w:rPr>
        <w:t>La Commissione si impegna a promuovere un dialogo politico e una concertazione regolare con la Repubblica del Capo Verde al fine di migliorare la gestione dell'accordo e del protocollo e rafforzare il contributo dell'Unione alla gestione sostenibile delle risorse. Tutti i pagamenti effettuati dalla Commissione nell'ambito di un APP sono soggetti alle norme e alle procedure finanziarie e di bilancio generalmente applicate dalla Commissione. In particolare, i conti bancari dei paesi terzi sui quali sono versati gli importi della contropartita finanziaria sono identificati in modo esaustivo. A norma dell'articolo 4, paragrafo 6, del protocollo, la contropartita finanziaria per l'accesso è versata alla Tesoreria dello Stato del Capo Verde e la parte destinata allo sviluppo del settore è versata su un apposito conto aperto presso la banca della Tesoreria dello Stato del Capo Verde.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INCIDENZA FINANZIARIA PREVISTA DELLA PROPOSTA/INIZIATIVA</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Rubrica/rubriche del quadro finanziario pluriennale e linea/linee di bilancio di spesa interessate</w:t>
      </w:r>
      <w:bookmarkEnd w:id="51"/>
      <w:bookmarkEnd w:id="52"/>
      <w:r>
        <w:rPr>
          <w:noProof/>
        </w:rPr>
        <w:t xml:space="preserve"> </w:t>
      </w:r>
    </w:p>
    <w:p>
      <w:pPr>
        <w:pStyle w:val="ListBullet1"/>
        <w:rPr>
          <w:noProof/>
        </w:rPr>
      </w:pPr>
      <w:r>
        <w:rPr>
          <w:noProof/>
        </w:rPr>
        <w:t xml:space="preserve">Linee di bilancio esistenti </w:t>
      </w:r>
    </w:p>
    <w:p>
      <w:pPr>
        <w:pStyle w:val="Text1"/>
        <w:rPr>
          <w:i/>
          <w:noProof/>
        </w:rPr>
      </w:pPr>
      <w:r>
        <w:rPr>
          <w:i/>
          <w:noProof/>
          <w:u w:val="single"/>
        </w:rPr>
        <w:t>Secondo l'ordine</w:t>
      </w:r>
      <w:r>
        <w:rPr>
          <w:noProof/>
        </w:rPr>
        <w:t xml:space="preserve"> </w:t>
      </w:r>
      <w:r>
        <w:rPr>
          <w:i/>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r>
              <w:rPr>
                <w:rStyle w:val="FootnoteReference"/>
                <w:noProof/>
                <w:sz w:val="18"/>
              </w:rPr>
              <w:footnoteReference w:id="11"/>
            </w:r>
          </w:p>
        </w:tc>
        <w:tc>
          <w:tcPr>
            <w:tcW w:w="1076" w:type="dxa"/>
            <w:vAlign w:val="center"/>
          </w:tcPr>
          <w:p>
            <w:pPr>
              <w:jc w:val="center"/>
              <w:rPr>
                <w:noProof/>
              </w:rPr>
            </w:pPr>
            <w:r>
              <w:rPr>
                <w:noProof/>
                <w:sz w:val="18"/>
              </w:rPr>
              <w:t>di paesi EFTA</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Istituzione di un contesto di governance per le attività di pesca condotte dai pescherecci dell'Unione europea nelle acque dei paesi terzi (APS)</w:t>
            </w:r>
          </w:p>
        </w:tc>
        <w:tc>
          <w:tcPr>
            <w:tcW w:w="1080" w:type="dxa"/>
            <w:vAlign w:val="center"/>
          </w:tcPr>
          <w:p>
            <w:pPr>
              <w:jc w:val="center"/>
              <w:rPr>
                <w:noProof/>
                <w:color w:val="0000FF"/>
              </w:rPr>
            </w:pPr>
            <w:r>
              <w:rPr>
                <w:noProof/>
                <w:sz w:val="22"/>
              </w:rPr>
              <w:t>Diss.</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noProof/>
        </w:rPr>
        <w:t xml:space="preserve"> </w:t>
      </w:r>
      <w:r>
        <w:rPr>
          <w:i/>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p>
        </w:tc>
        <w:tc>
          <w:tcPr>
            <w:tcW w:w="107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SÌ/NO</w:t>
            </w:r>
          </w:p>
        </w:tc>
        <w:tc>
          <w:tcPr>
            <w:tcW w:w="1080" w:type="dxa"/>
            <w:vAlign w:val="center"/>
          </w:tcPr>
          <w:p>
            <w:pPr>
              <w:jc w:val="center"/>
              <w:rPr>
                <w:noProof/>
                <w:color w:val="0000FF"/>
                <w:sz w:val="20"/>
                <w:szCs w:val="20"/>
              </w:rPr>
            </w:pPr>
            <w:r>
              <w:rPr>
                <w:noProof/>
                <w:sz w:val="20"/>
              </w:rPr>
              <w:t>SÌ/NO</w:t>
            </w:r>
          </w:p>
        </w:tc>
        <w:tc>
          <w:tcPr>
            <w:tcW w:w="1084" w:type="dxa"/>
            <w:vAlign w:val="center"/>
          </w:tcPr>
          <w:p>
            <w:pPr>
              <w:jc w:val="center"/>
              <w:rPr>
                <w:noProof/>
                <w:color w:val="0000FF"/>
                <w:sz w:val="20"/>
                <w:szCs w:val="20"/>
              </w:rPr>
            </w:pPr>
            <w:r>
              <w:rPr>
                <w:noProof/>
                <w:sz w:val="20"/>
              </w:rPr>
              <w:t>SÌ/NO</w:t>
            </w:r>
          </w:p>
        </w:tc>
        <w:tc>
          <w:tcPr>
            <w:tcW w:w="1320" w:type="dxa"/>
            <w:vAlign w:val="center"/>
          </w:tcPr>
          <w:p>
            <w:pPr>
              <w:jc w:val="center"/>
              <w:rPr>
                <w:noProof/>
                <w:sz w:val="20"/>
                <w:szCs w:val="20"/>
              </w:rPr>
            </w:pPr>
            <w:r>
              <w:rPr>
                <w:noProof/>
                <w:sz w:val="20"/>
              </w:rPr>
              <w:t>SÌ/NO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Incidenza finanziaria prevista della proposta sugli stanziamenti</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Sintesi dell'incidenza prevista sugli stanziamenti operativi</w:t>
      </w:r>
      <w:bookmarkEnd w:id="55"/>
      <w:bookmarkEnd w:id="56"/>
      <w:r>
        <w:rPr>
          <w:noProof/>
        </w:rPr>
        <w:t xml:space="preserve"> </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t>X</w:t>
      </w:r>
      <w:r>
        <w:rPr>
          <w:noProof/>
        </w:rPr>
        <w:tab/>
        <w:t>La proposta/iniziativa comporta l'utilizzo di stanziamenti operativi, come spiegato di seguito</w:t>
      </w:r>
    </w:p>
    <w:p>
      <w:pPr>
        <w:jc w:val="right"/>
        <w:rPr>
          <w:noProof/>
          <w:sz w:val="18"/>
          <w:szCs w:val="18"/>
        </w:rPr>
      </w:pPr>
      <w:r>
        <w:rPr>
          <w:noProof/>
          <w:sz w:val="18"/>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p>
            <w:pPr>
              <w:spacing w:before="60" w:after="60"/>
              <w:jc w:val="center"/>
              <w:rPr>
                <w:noProof/>
              </w:rPr>
            </w:pPr>
            <w:r>
              <w:rPr>
                <w:noProof/>
                <w:sz w:val="22"/>
              </w:rPr>
              <w:t>2</w:t>
            </w:r>
          </w:p>
        </w:tc>
        <w:tc>
          <w:tcPr>
            <w:tcW w:w="7817" w:type="dxa"/>
            <w:vAlign w:val="center"/>
          </w:tcPr>
          <w:p>
            <w:pPr>
              <w:spacing w:before="60" w:after="60"/>
              <w:rPr>
                <w:noProof/>
              </w:rPr>
            </w:pPr>
            <w:r>
              <w:rPr>
                <w:noProof/>
              </w:rPr>
              <w:t>Crescita sostenibile: risorse naturali</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899" w:type="dxa"/>
            <w:vAlign w:val="center"/>
          </w:tcPr>
          <w:p>
            <w:pPr>
              <w:jc w:val="center"/>
              <w:rPr>
                <w:noProof/>
                <w:sz w:val="20"/>
              </w:rPr>
            </w:pPr>
            <w:r>
              <w:rPr>
                <w:noProof/>
                <w:sz w:val="20"/>
              </w:rPr>
              <w:t>Anno</w:t>
            </w:r>
            <w:r>
              <w:rPr>
                <w:noProof/>
                <w:sz w:val="22"/>
              </w:rPr>
              <w:br/>
            </w:r>
            <w:r>
              <w:rPr>
                <w:b/>
                <w:noProof/>
                <w:sz w:val="20"/>
              </w:rPr>
              <w:t>2022</w:t>
            </w:r>
          </w:p>
        </w:tc>
        <w:tc>
          <w:tcPr>
            <w:tcW w:w="1746"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Linea di bilancio</w:t>
            </w:r>
            <w:r>
              <w:rPr>
                <w:rStyle w:val="FootnoteReference"/>
                <w:noProof/>
                <w:sz w:val="20"/>
              </w:rPr>
              <w:footnoteReference w:id="14"/>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val="restart"/>
            <w:vAlign w:val="center"/>
          </w:tcPr>
          <w:p>
            <w:pPr>
              <w:rPr>
                <w:noProof/>
              </w:rPr>
            </w:pPr>
            <w:r>
              <w:rPr>
                <w:noProof/>
                <w:sz w:val="20"/>
              </w:rPr>
              <w:t>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Stanziamenti amministrativi finanziati dalla dotazione di programmi specifici</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TOTALE degli stanziamenti</w:t>
            </w:r>
            <w:r>
              <w:rPr>
                <w:noProof/>
                <w:sz w:val="22"/>
              </w:rPr>
              <w:br/>
            </w:r>
            <w:r>
              <w:rPr>
                <w:b/>
                <w:noProof/>
                <w:sz w:val="22"/>
              </w:rPr>
              <w:t>per la DG MARE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amministrativi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la RUBRICA &lt;2.&gt;</w:t>
            </w:r>
            <w:r>
              <w:rPr>
                <w:noProof/>
                <w:sz w:val="22"/>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bl>
    <w:p>
      <w:pPr>
        <w:spacing w:after="40"/>
        <w:rPr>
          <w:b/>
          <w:noProof/>
          <w:sz w:val="22"/>
          <w:u w:val="single"/>
        </w:rPr>
      </w:pPr>
      <w:r>
        <w:rPr>
          <w:b/>
          <w:noProof/>
          <w:sz w:val="22"/>
          <w:u w:val="single"/>
        </w:rPr>
        <w:t>Se la proposta/iniziativa incide su più rubriche operative, ricopiare nella sezione sotto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TOTALE degli stanziamenti operativi (tutte le rubriche operative)</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TOTALE degli stanziamenti amministrativi finanziati dalla dotazione di programmi specifici (tutte le rubriche operative)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77" w:type="dxa"/>
            <w:tcBorders>
              <w:right w:val="single" w:sz="4" w:space="0" w:color="auto"/>
            </w:tcBorders>
            <w:vAlign w:val="center"/>
          </w:tcPr>
          <w:p>
            <w:pPr>
              <w:spacing w:before="20" w:after="20"/>
              <w:jc w:val="right"/>
              <w:rPr>
                <w:b/>
                <w:noProof/>
                <w:sz w:val="20"/>
              </w:rPr>
            </w:pPr>
            <w:r>
              <w:rPr>
                <w:b/>
                <w:noProof/>
                <w:sz w:val="20"/>
              </w:rPr>
              <w:t>3,750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3,750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left"/>
        <w:rPr>
          <w:noProof/>
          <w:sz w:val="20"/>
        </w:rPr>
      </w:pPr>
      <w:r>
        <w:rPr>
          <w:noProof/>
        </w:rPr>
        <w:t>Sezione da compilare utilizzando i "dati di bilancio di natura amministrativa" che saranno introdotti nell'</w:t>
      </w:r>
      <w:hyperlink r:id="rId18">
        <w:r>
          <w:rPr>
            <w:rStyle w:val="Hyperlink"/>
            <w:noProof/>
          </w:rPr>
          <w:t>allegato della scheda finanziaria legislativa</w:t>
        </w:r>
      </w:hyperlink>
      <w:r>
        <w:rPr>
          <w:noProof/>
        </w:rPr>
        <w:t xml:space="preserve"> (allegato V delle norme interne), caricato su DECIDE a fini di consultazione interservizi</w:t>
      </w:r>
    </w:p>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868" w:type="dxa"/>
            <w:vAlign w:val="center"/>
          </w:tcPr>
          <w:p>
            <w:pPr>
              <w:jc w:val="center"/>
              <w:rPr>
                <w:b/>
                <w:noProof/>
                <w:sz w:val="18"/>
              </w:rPr>
            </w:pPr>
            <w:r>
              <w:rPr>
                <w:noProof/>
                <w:sz w:val="20"/>
              </w:rPr>
              <w:t>Anno</w:t>
            </w:r>
            <w:r>
              <w:rPr>
                <w:noProof/>
                <w:sz w:val="22"/>
              </w:rPr>
              <w:br/>
            </w:r>
            <w:r>
              <w:rPr>
                <w:b/>
                <w:noProof/>
                <w:sz w:val="20"/>
              </w:rPr>
              <w:t>2023</w:t>
            </w:r>
          </w:p>
        </w:tc>
        <w:tc>
          <w:tcPr>
            <w:tcW w:w="1777" w:type="dxa"/>
            <w:vAlign w:val="center"/>
          </w:tcPr>
          <w:p>
            <w:pPr>
              <w:jc w:val="center"/>
              <w:rPr>
                <w:b/>
                <w:noProof/>
                <w:sz w:val="20"/>
              </w:rPr>
            </w:pPr>
            <w:r>
              <w:rPr>
                <w:b/>
                <w:noProof/>
                <w:sz w:val="20"/>
              </w:rPr>
              <w:t>TOTALE</w:t>
            </w:r>
          </w:p>
        </w:tc>
      </w:tr>
      <w:tr>
        <w:trPr>
          <w:gridAfter w:val="8"/>
          <w:wAfter w:w="821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TOTALE DG </w:t>
            </w:r>
            <w:r>
              <w:rPr>
                <w:noProof/>
                <w:sz w:val="22"/>
              </w:rPr>
              <w:t>MARE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868" w:type="dxa"/>
            <w:vAlign w:val="center"/>
          </w:tcPr>
          <w:p>
            <w:pPr>
              <w:jc w:val="center"/>
              <w:rPr>
                <w:b/>
                <w:noProof/>
                <w:sz w:val="18"/>
              </w:rPr>
            </w:pPr>
            <w:r>
              <w:rPr>
                <w:noProof/>
                <w:sz w:val="20"/>
              </w:rPr>
              <w:t>Anno</w:t>
            </w:r>
            <w:r>
              <w:rPr>
                <w:noProof/>
                <w:sz w:val="22"/>
              </w:rPr>
              <w:br/>
            </w:r>
            <w:r>
              <w:rPr>
                <w:b/>
                <w:noProof/>
                <w:sz w:val="20"/>
              </w:rPr>
              <w:t>2023</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bl>
    <w:p>
      <w:pPr>
        <w:rPr>
          <w:noProof/>
        </w:rPr>
      </w:pPr>
    </w:p>
    <w:p>
      <w:pPr>
        <w:pStyle w:val="ManualHeading3"/>
        <w:rPr>
          <w:bCs/>
          <w:noProof/>
          <w:szCs w:val="24"/>
        </w:rPr>
      </w:pPr>
      <w:bookmarkStart w:id="57" w:name="_Toc514938054"/>
      <w:bookmarkStart w:id="58" w:name="_Toc520485053"/>
      <w:r>
        <w:t>3.2.2.</w:t>
      </w:r>
      <w:r>
        <w:tab/>
      </w:r>
      <w:r>
        <w:rPr>
          <w:noProof/>
        </w:rPr>
        <w:t>Risultati previsti finanziati con gli stanziamenti operativi</w:t>
      </w:r>
      <w:bookmarkEnd w:id="57"/>
      <w:bookmarkEnd w:id="58"/>
      <w:r>
        <w:rPr>
          <w:noProof/>
        </w:rPr>
        <w:t xml:space="preserve"> </w:t>
      </w:r>
    </w:p>
    <w:p>
      <w:pPr>
        <w:keepNext/>
        <w:jc w:val="right"/>
        <w:rPr>
          <w:noProof/>
          <w:sz w:val="20"/>
        </w:rPr>
      </w:pPr>
      <w:r>
        <w:rPr>
          <w:noProof/>
          <w:sz w:val="20"/>
        </w:rPr>
        <w:t>Stanziamenti di impegno in milioni di EUR (al terzo decimale)</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Anno</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Anno</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Anno</w:t>
            </w:r>
            <w:r>
              <w:rPr>
                <w:noProof/>
                <w:sz w:val="22"/>
              </w:rPr>
              <w:br/>
            </w:r>
            <w:r>
              <w:rPr>
                <w:b/>
                <w:noProof/>
                <w:sz w:val="18"/>
              </w:rPr>
              <w:t>2022</w:t>
            </w:r>
          </w:p>
        </w:tc>
        <w:tc>
          <w:tcPr>
            <w:tcW w:w="1200" w:type="dxa"/>
            <w:gridSpan w:val="3"/>
            <w:vAlign w:val="center"/>
          </w:tcPr>
          <w:p>
            <w:pPr>
              <w:jc w:val="center"/>
              <w:rPr>
                <w:noProof/>
                <w:sz w:val="18"/>
                <w:szCs w:val="18"/>
              </w:rPr>
            </w:pPr>
            <w:r>
              <w:rPr>
                <w:noProof/>
                <w:sz w:val="18"/>
              </w:rPr>
              <w:t>Anno</w:t>
            </w:r>
            <w:r>
              <w:rPr>
                <w:noProof/>
                <w:sz w:val="22"/>
              </w:rPr>
              <w:br/>
            </w: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TOTALE</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Accesso </w:t>
            </w:r>
          </w:p>
        </w:tc>
        <w:tc>
          <w:tcPr>
            <w:tcW w:w="720" w:type="dxa"/>
          </w:tcPr>
          <w:p>
            <w:pPr>
              <w:ind w:right="-29"/>
              <w:jc w:val="center"/>
              <w:rPr>
                <w:noProof/>
                <w:sz w:val="13"/>
                <w:szCs w:val="13"/>
              </w:rPr>
            </w:pPr>
            <w:r>
              <w:rPr>
                <w:noProof/>
                <w:sz w:val="13"/>
                <w:szCs w:val="13"/>
              </w:rPr>
              <w:t>Annuale</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0,400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2,000</w:t>
            </w:r>
          </w:p>
        </w:tc>
      </w:tr>
      <w:tr>
        <w:trPr>
          <w:gridAfter w:val="1"/>
          <w:wAfter w:w="12" w:type="dxa"/>
          <w:trHeight w:hRule="exact" w:val="369"/>
          <w:jc w:val="center"/>
        </w:trPr>
        <w:tc>
          <w:tcPr>
            <w:tcW w:w="1423" w:type="dxa"/>
          </w:tcPr>
          <w:p>
            <w:pPr>
              <w:ind w:right="-29"/>
              <w:jc w:val="center"/>
              <w:rPr>
                <w:noProof/>
                <w:sz w:val="18"/>
                <w:szCs w:val="18"/>
              </w:rPr>
            </w:pPr>
            <w:r>
              <w:rPr>
                <w:noProof/>
                <w:sz w:val="18"/>
              </w:rPr>
              <w:t>- Settoriale</w:t>
            </w:r>
          </w:p>
        </w:tc>
        <w:tc>
          <w:tcPr>
            <w:tcW w:w="720" w:type="dxa"/>
          </w:tcPr>
          <w:p>
            <w:pPr>
              <w:ind w:right="-29"/>
              <w:jc w:val="center"/>
              <w:rPr>
                <w:noProof/>
                <w:sz w:val="13"/>
                <w:szCs w:val="13"/>
              </w:rPr>
            </w:pPr>
            <w:r>
              <w:rPr>
                <w:noProof/>
                <w:sz w:val="13"/>
                <w:szCs w:val="13"/>
              </w:rPr>
              <w:t>Annuale</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0,350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1,750</w:t>
            </w:r>
          </w:p>
        </w:tc>
      </w:tr>
      <w:tr>
        <w:trPr>
          <w:gridAfter w:val="1"/>
          <w:wAfter w:w="12" w:type="dxa"/>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OBIETTIVO SPECIFICO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3,750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Sintesi dell'incidenza prevista sugli stanziamenti amministrativi</w:t>
      </w:r>
      <w:bookmarkEnd w:id="59"/>
      <w:bookmarkEnd w:id="60"/>
      <w:r>
        <w:rPr>
          <w:noProof/>
        </w:rPr>
        <w:t xml:space="preserve"> </w:t>
      </w:r>
    </w:p>
    <w:p>
      <w:pPr>
        <w:pStyle w:val="ListDash1"/>
        <w:rPr>
          <w:noProof/>
        </w:rPr>
      </w:pPr>
      <w:r>
        <w:rPr>
          <w:noProof/>
        </w:rPr>
        <w:t>X</w:t>
      </w:r>
      <w:r>
        <w:rPr>
          <w:noProof/>
        </w:rPr>
        <w:tab/>
        <w:t xml:space="preserve">La proposta/iniziativa non comporta l'utilizzo di stanziamenti amministrativi </w:t>
      </w:r>
    </w:p>
    <w:p>
      <w:pPr>
        <w:pStyle w:val="ListDash1"/>
        <w:rPr>
          <w:noProof/>
        </w:rPr>
      </w:pPr>
      <w:r>
        <w:rPr>
          <w:noProof/>
        </w:rPr>
        <w:sym w:font="Wingdings" w:char="F0A8"/>
      </w:r>
      <w:r>
        <w:rPr>
          <w:noProof/>
        </w:rPr>
        <w:tab/>
        <w:t>La proposta/iniziativa comporta l'utilizzo di stanziamenti amministrativi, come spiegato di seguito</w:t>
      </w:r>
    </w:p>
    <w:p>
      <w:pPr>
        <w:jc w:val="right"/>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19"/>
            </w:r>
            <w:r>
              <w:rPr>
                <w:noProof/>
                <w:sz w:val="22"/>
              </w:rPr>
              <w:br/>
            </w:r>
            <w:r>
              <w:rPr>
                <w:b/>
                <w:noProof/>
                <w:sz w:val="16"/>
              </w:rPr>
              <w:t xml:space="preserve">del quadro finanziario pluriennale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Fabbisogno previsto di risorse umane </w:t>
      </w:r>
    </w:p>
    <w:p>
      <w:pPr>
        <w:pStyle w:val="ListDash1"/>
        <w:rPr>
          <w:noProof/>
        </w:rPr>
      </w:pPr>
      <w:r>
        <w:rPr>
          <w:noProof/>
        </w:rPr>
        <w:t>X</w:t>
      </w:r>
      <w:r>
        <w:rPr>
          <w:noProof/>
        </w:rPr>
        <w:tab/>
        <w:t xml:space="preserve">La proposta/iniziativa non comporta l'utilizzo di risorse umane </w:t>
      </w:r>
    </w:p>
    <w:p>
      <w:pPr>
        <w:pStyle w:val="ListDash1"/>
        <w:rPr>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Posti della tabella dell'organico (funzionari e agenti temporanei)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JPD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rPr>
              <w:t>Attuazione del protocollo (pagamenti, accesso alle acque del Capo Verde da parte delle navi dell'Unione, trattamento delle autorizzazioni di pesca), preparazione e follow-up delle riunioni della commissione mista, preparazione del rinnovo del protocollo, valutazione esterna, procedure legislative, negoziati.</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rPr>
              <w:t>Attuazione del protocollo: contatti con le autorità del Capo Verde per l'accesso delle navi dell'Unione alle acque capoverdiane, trattamento delle autorizzazioni di pesca, preparazione e follow-up delle riunioni della commissione mista, in particolare attuazione del sostegno settoriale.</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Compatibilità con il quadro finanziario pluriennale attuale</w:t>
      </w:r>
      <w:bookmarkEnd w:id="61"/>
      <w:bookmarkEnd w:id="62"/>
      <w:r>
        <w:rPr>
          <w:noProof/>
        </w:rPr>
        <w:t xml:space="preserve"> </w:t>
      </w:r>
    </w:p>
    <w:p>
      <w:pPr>
        <w:pStyle w:val="Text1"/>
        <w:rPr>
          <w:noProof/>
        </w:rPr>
      </w:pPr>
      <w:r>
        <w:rPr>
          <w:noProof/>
        </w:rPr>
        <w:t>La proposta/iniziativa:</w:t>
      </w:r>
    </w:p>
    <w:p>
      <w:pPr>
        <w:pStyle w:val="ListDash1"/>
        <w:rPr>
          <w:noProof/>
        </w:rPr>
      </w:pPr>
      <w:r>
        <w:rPr>
          <w:noProof/>
        </w:rPr>
        <w:t>X</w:t>
      </w:r>
      <w:r>
        <w:rPr>
          <w:noProof/>
        </w:rPr>
        <w:tab/>
        <w:t>può essere interamente finanziata mediante riassegnazione all'interno della pertinente rubrica del quadro finanziario pluriennale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Riguarda l'utilizzo della linea di riserva (capitolo 40).</w:t>
      </w:r>
    </w:p>
    <w:p>
      <w:pPr>
        <w:pStyle w:val="ListDash1"/>
        <w:rPr>
          <w:noProof/>
        </w:rPr>
      </w:pPr>
      <w:r>
        <w:rPr>
          <w:noProof/>
        </w:rPr>
        <w:sym w:font="Wingdings" w:char="F0A8"/>
      </w:r>
      <w:r>
        <w:rPr>
          <w:noProof/>
        </w:rPr>
        <w:tab/>
        <w:t>comporta l'uso del margine non assegnato della pertinente rubrica del QFP e/o l'uso degli strumenti speciali definiti nel regolamento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gli importi corrispondenti e gli strumenti proposti.</w:t>
      </w:r>
    </w:p>
    <w:p>
      <w:pPr>
        <w:pStyle w:val="ListDash1"/>
        <w:rPr>
          <w:noProof/>
        </w:rPr>
      </w:pPr>
      <w:r>
        <w:rPr>
          <w:noProof/>
        </w:rPr>
        <w:sym w:font="Wingdings" w:char="F0A8"/>
      </w:r>
      <w:r>
        <w:rPr>
          <w:noProof/>
        </w:rPr>
        <w:tab/>
        <w:t>comporta una revisione del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ManualHeading3"/>
        <w:rPr>
          <w:bCs/>
          <w:noProof/>
          <w:szCs w:val="24"/>
        </w:rPr>
      </w:pPr>
      <w:bookmarkStart w:id="63" w:name="_Toc514938058"/>
      <w:bookmarkStart w:id="64" w:name="_Toc520485056"/>
      <w:r>
        <w:t>3.2.5.</w:t>
      </w:r>
      <w:r>
        <w:tab/>
      </w:r>
      <w:r>
        <w:rPr>
          <w:noProof/>
        </w:rPr>
        <w:t>Partecipazione di terzi al finanziamento</w:t>
      </w:r>
      <w:bookmarkEnd w:id="63"/>
      <w:bookmarkEnd w:id="64"/>
      <w:r>
        <w:rPr>
          <w:noProof/>
        </w:rPr>
        <w:t xml:space="preserve"> </w:t>
      </w:r>
    </w:p>
    <w:p>
      <w:pPr>
        <w:pStyle w:val="Text1"/>
        <w:rPr>
          <w:noProof/>
        </w:rPr>
      </w:pPr>
      <w:r>
        <w:rPr>
          <w:noProof/>
        </w:rPr>
        <w:t>La proposta/iniziativa:</w:t>
      </w:r>
    </w:p>
    <w:p>
      <w:pPr>
        <w:pStyle w:val="ListDash1"/>
        <w:rPr>
          <w:noProof/>
        </w:rPr>
      </w:pPr>
      <w:r>
        <w:rPr>
          <w:noProof/>
        </w:rPr>
        <w:t>X</w:t>
      </w:r>
      <w:r>
        <w:rPr>
          <w:noProof/>
        </w:rPr>
        <w:tab/>
        <w:t>non prevede cofinanziamenti da terzi</w:t>
      </w:r>
    </w:p>
    <w:p>
      <w:pPr>
        <w:pStyle w:val="ListDash1"/>
        <w:rPr>
          <w:noProof/>
        </w:rPr>
      </w:pPr>
      <w:r>
        <w:rPr>
          <w:noProof/>
        </w:rPr>
        <w:sym w:font="Wingdings" w:char="F0A8"/>
      </w:r>
      <w:r>
        <w:rPr>
          <w:noProof/>
        </w:rPr>
        <w:tab/>
        <w:t>prevede il cofinanziamento da terzi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Incidenza prevista sulle entrate</w:t>
      </w:r>
      <w:bookmarkEnd w:id="65"/>
      <w:bookmarkEnd w:id="66"/>
      <w:r>
        <w:rPr>
          <w:noProof/>
        </w:rPr>
        <w:t xml:space="preserve"> </w:t>
      </w:r>
    </w:p>
    <w:p>
      <w:pPr>
        <w:pStyle w:val="ListDash1"/>
        <w:rPr>
          <w:noProof/>
        </w:rPr>
      </w:pPr>
      <w:r>
        <w:rPr>
          <w:noProof/>
        </w:rPr>
        <w:t>X</w:t>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su altre entrate</w:t>
      </w:r>
    </w:p>
    <w:p>
      <w:pPr>
        <w:pStyle w:val="ListNumberLevel3"/>
        <w:rPr>
          <w:noProof/>
        </w:rPr>
      </w:pPr>
      <w:r>
        <w:rPr>
          <w:noProof/>
        </w:rPr>
        <w:t>indicare se le entrate sono destinate a linee di spesa specifiche </w:t>
      </w:r>
      <w:r>
        <w:rPr>
          <w:noProof/>
        </w:rPr>
        <w:sym w:font="Wingdings" w:char="F0A8"/>
      </w:r>
      <w:r>
        <w:rPr>
          <w:noProof/>
        </w:rPr>
        <w:tab/>
      </w:r>
    </w:p>
    <w:p>
      <w:pPr>
        <w:ind w:left="4320"/>
        <w:rPr>
          <w:noProof/>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325" w:type="dxa"/>
            <w:vMerge w:val="restart"/>
            <w:vAlign w:val="center"/>
          </w:tcPr>
          <w:p>
            <w:pPr>
              <w:jc w:val="center"/>
              <w:rPr>
                <w:noProof/>
                <w:sz w:val="18"/>
              </w:rPr>
            </w:pPr>
            <w:r>
              <w:rPr>
                <w:noProof/>
                <w:sz w:val="18"/>
              </w:rPr>
              <w:t>Stanziamenti disponibili per l'esercizio in corso</w:t>
            </w:r>
          </w:p>
        </w:tc>
        <w:tc>
          <w:tcPr>
            <w:tcW w:w="7151" w:type="dxa"/>
            <w:gridSpan w:val="7"/>
            <w:vAlign w:val="center"/>
          </w:tcPr>
          <w:p>
            <w:pPr>
              <w:jc w:val="center"/>
              <w:rPr>
                <w:noProof/>
                <w:sz w:val="18"/>
              </w:rPr>
            </w:pPr>
            <w:r>
              <w:rPr>
                <w:noProof/>
                <w:sz w:val="18"/>
              </w:rPr>
              <w:t>Incidenza della proposta/iniziativa</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Altre osservazioni (ad es. formula/metodo per calcolare l'incidenza sulle entrate o altre informazioni)</w:t>
      </w:r>
    </w:p>
    <w:p>
      <w:pPr>
        <w:pStyle w:val="Text1"/>
        <w:pBdr>
          <w:top w:val="single" w:sz="4" w:space="1" w:color="auto"/>
          <w:left w:val="single" w:sz="4" w:space="4" w:color="auto"/>
          <w:bottom w:val="single" w:sz="4" w:space="1" w:color="auto"/>
          <w:right w:val="single" w:sz="4" w:space="4" w:color="auto"/>
        </w:pBdr>
        <w:rPr>
          <w:noProof/>
        </w:rPr>
      </w:pPr>
      <w: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107 del 25.4.2007, pag. 7.</w:t>
      </w:r>
    </w:p>
  </w:footnote>
  <w:footnote w:id="2">
    <w:p>
      <w:pPr>
        <w:pStyle w:val="FootnoteText"/>
      </w:pPr>
      <w:r>
        <w:rPr>
          <w:rStyle w:val="FootnoteReference"/>
        </w:rPr>
        <w:footnoteRef/>
      </w:r>
      <w:r>
        <w:tab/>
        <w:t>GU L 414 del 30.12.2006, pag. 3.</w:t>
      </w:r>
    </w:p>
  </w:footnote>
  <w:footnote w:id="3">
    <w:p>
      <w:pPr>
        <w:pStyle w:val="FootnoteText"/>
      </w:pPr>
      <w:r>
        <w:rPr>
          <w:rStyle w:val="FootnoteReference"/>
        </w:rPr>
        <w:footnoteRef/>
      </w:r>
      <w:r>
        <w:tab/>
        <w:t>Adottate nel corso del Consiglio "Giustizia e affari interni" del 4 e 5 giugno 2018.</w:t>
      </w:r>
    </w:p>
  </w:footnote>
  <w:footnote w:id="4">
    <w:p>
      <w:pPr>
        <w:pStyle w:val="FootnoteText"/>
        <w:rPr>
          <w:lang w:val="es-ES"/>
        </w:rPr>
      </w:pPr>
      <w:r>
        <w:rPr>
          <w:rStyle w:val="FootnoteReference"/>
        </w:rPr>
        <w:footnoteRef/>
      </w:r>
      <w:r>
        <w:rPr>
          <w:lang w:val="es-ES"/>
        </w:rPr>
        <w:tab/>
        <w:t>GU L 354 del 28.12.2013, pag. 22.</w:t>
      </w:r>
    </w:p>
  </w:footnote>
  <w:footnote w:id="5">
    <w:p>
      <w:pPr>
        <w:pStyle w:val="FootnoteText"/>
        <w:rPr>
          <w:lang w:val="es-ES"/>
        </w:rPr>
      </w:pPr>
      <w:r>
        <w:rPr>
          <w:rStyle w:val="FootnoteReference"/>
        </w:rPr>
        <w:footnoteRef/>
      </w:r>
      <w:r>
        <w:rPr>
          <w:lang w:val="es-ES"/>
        </w:rPr>
        <w:tab/>
        <w:t>SWD (2018) 194 final del 16.5.2018.</w:t>
      </w:r>
    </w:p>
  </w:footnote>
  <w:footnote w:id="6">
    <w:p>
      <w:pPr>
        <w:pStyle w:val="FootnoteText"/>
      </w:pPr>
      <w:r>
        <w:rPr>
          <w:rStyle w:val="FootnoteReference"/>
        </w:rPr>
        <w:footnoteRef/>
      </w:r>
      <w:r>
        <w:tab/>
        <w:t>Conformemente all'accordo interistituzionale sulla cooperazione in materia di bilancio (2013/C 373/01).</w:t>
      </w:r>
    </w:p>
  </w:footnote>
  <w:footnote w:id="7">
    <w:p>
      <w:pPr>
        <w:pStyle w:val="FootnoteText"/>
      </w:pPr>
      <w:r>
        <w:rPr>
          <w:rStyle w:val="FootnoteReference"/>
        </w:rPr>
        <w:footnoteRef/>
      </w:r>
      <w:r>
        <w:tab/>
        <w:t>Regolamento (CE) n. 2027/2006 del Consiglio, del 19 dicembre 2006, relativo alla conclusione dell'accordo di partenariato nel settore della pesca tra la Comunità europea e la Repubblica del Capo Verde (GU L 414 del 30.12.2006, pag. 1).</w:t>
      </w:r>
    </w:p>
  </w:footnote>
  <w:footnote w:id="8">
    <w:p>
      <w:pPr>
        <w:pStyle w:val="FootnoteText"/>
      </w:pPr>
      <w:r>
        <w:rPr>
          <w:rStyle w:val="FootnoteReference"/>
        </w:rPr>
        <w:footnoteRef/>
      </w:r>
      <w:r>
        <w:tab/>
        <w:t>GU L 414 del 30.12.2006, pag. 3.</w:t>
      </w:r>
    </w:p>
  </w:footnote>
  <w:footnote w:id="9">
    <w:p>
      <w:pPr>
        <w:pStyle w:val="FootnoteText"/>
        <w:rPr>
          <w:szCs w:val="24"/>
        </w:rPr>
      </w:pPr>
      <w:r>
        <w:rPr>
          <w:rStyle w:val="FootnoteReference"/>
        </w:rPr>
        <w:footnoteRef/>
      </w:r>
      <w:r>
        <w:tab/>
        <w:t>A norma dell'articolo 58, paragrafo 2, lettera a) o b), del regolamento finanziario.</w:t>
      </w:r>
    </w:p>
  </w:footnote>
  <w:footnote w:id="10">
    <w:p>
      <w:pPr>
        <w:pStyle w:val="FootnoteText"/>
        <w:jc w:val="left"/>
        <w:rPr>
          <w:szCs w:val="24"/>
        </w:rPr>
      </w:pPr>
      <w:r>
        <w:rPr>
          <w:rStyle w:val="FootnoteReference"/>
        </w:rPr>
        <w:footnoteRef/>
      </w:r>
      <w:r>
        <w:tab/>
        <w:t xml:space="preserve">Le spiegazioni sulle modalità di gestione e i riferimenti al regolamento finanziario sono disponibili sul sito BudgWeb: </w:t>
      </w:r>
      <w:hyperlink r:id="rId1">
        <w:r>
          <w:rPr>
            <w:rStyle w:val="Hyperlink"/>
          </w:rPr>
          <w:t>https://myintracomm.ec.europa.eu/budgweb/FR/man/budgmanag/Pages/budgmanag.aspx</w:t>
        </w:r>
      </w:hyperlink>
      <w:r>
        <w:t xml:space="preserve"> </w:t>
      </w:r>
    </w:p>
  </w:footnote>
  <w:footnote w:id="11">
    <w:p>
      <w:pPr>
        <w:pStyle w:val="FootnoteText"/>
        <w:rPr>
          <w:szCs w:val="24"/>
        </w:rPr>
      </w:pPr>
      <w:r>
        <w:rPr>
          <w:rStyle w:val="FootnoteReference"/>
        </w:rPr>
        <w:footnoteRef/>
      </w:r>
      <w:r>
        <w:tab/>
        <w:t>Diss. = stanziamenti dissociati / Non diss. = stanziamenti non dissociati.</w:t>
      </w:r>
    </w:p>
  </w:footnote>
  <w:footnote w:id="12">
    <w:p>
      <w:pPr>
        <w:pStyle w:val="FootnoteText"/>
        <w:rPr>
          <w:szCs w:val="24"/>
        </w:rPr>
      </w:pPr>
      <w:r>
        <w:rPr>
          <w:rStyle w:val="FootnoteReference"/>
        </w:rPr>
        <w:footnoteRef/>
      </w:r>
      <w:r>
        <w:tab/>
        <w:t xml:space="preserve">EFTA: Associazione europea di libero scambio. </w:t>
      </w:r>
    </w:p>
  </w:footnote>
  <w:footnote w:id="13">
    <w:p>
      <w:pPr>
        <w:pStyle w:val="FootnoteText"/>
        <w:rPr>
          <w:szCs w:val="24"/>
        </w:rPr>
      </w:pPr>
      <w:r>
        <w:rPr>
          <w:rStyle w:val="FootnoteReference"/>
        </w:rPr>
        <w:footnoteRef/>
      </w:r>
      <w:r>
        <w:tab/>
        <w:t>Paesi candidati e, se del caso, potenziali candidati dei Balcani occidentali.</w:t>
      </w:r>
    </w:p>
  </w:footnote>
  <w:footnote w:id="14">
    <w:p>
      <w:pPr>
        <w:pStyle w:val="FootnoteText"/>
        <w:rPr>
          <w:sz w:val="18"/>
          <w:szCs w:val="18"/>
        </w:rPr>
      </w:pPr>
      <w:r>
        <w:rPr>
          <w:rStyle w:val="FootnoteReference"/>
        </w:rPr>
        <w:footnoteRef/>
      </w:r>
      <w:r>
        <w:tab/>
      </w:r>
      <w:r>
        <w:rPr>
          <w:sz w:val="18"/>
        </w:rPr>
        <w:t>Secondo la nomenclatura di bilancio ufficiale.</w:t>
      </w:r>
    </w:p>
  </w:footnote>
  <w:footnote w:id="15">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16">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17">
    <w:p>
      <w:pPr>
        <w:pStyle w:val="FootnoteText"/>
        <w:rPr>
          <w:szCs w:val="24"/>
        </w:rPr>
      </w:pPr>
      <w:r>
        <w:rPr>
          <w:rStyle w:val="FootnoteReference"/>
        </w:rPr>
        <w:footnoteRef/>
      </w:r>
      <w:r>
        <w:tab/>
        <w:t xml:space="preserve">Come descritto nella sezione 1.4.2. "Obiettivi specifici…". </w:t>
      </w:r>
    </w:p>
  </w:footnote>
  <w:footnote w:id="18">
    <w:p>
      <w:pPr>
        <w:pStyle w:val="FootnoteText"/>
        <w:rPr>
          <w:sz w:val="18"/>
          <w:szCs w:val="18"/>
        </w:rPr>
      </w:pPr>
      <w:r>
        <w:rPr>
          <w:rStyle w:val="FootnoteReference"/>
        </w:rPr>
        <w:footnoteRef/>
      </w:r>
      <w:r>
        <w:tab/>
      </w:r>
      <w:r>
        <w:rPr>
          <w:sz w:val="18"/>
        </w:rPr>
        <w:t>L'anno N è l'anno in cui inizia a essere attuata la proposta/iniziativa. Sostituire "N" con il primo anno di attuazione previsto (ad es.: 2021), e così per gli anni a seguire.</w:t>
      </w:r>
    </w:p>
  </w:footnote>
  <w:footnote w:id="19">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20">
    <w:p>
      <w:pPr>
        <w:pStyle w:val="FootnoteText"/>
        <w:rPr>
          <w:szCs w:val="24"/>
        </w:rPr>
      </w:pPr>
      <w:r>
        <w:rPr>
          <w:rStyle w:val="FootnoteReference"/>
        </w:rPr>
        <w:footnoteRef/>
      </w:r>
      <w:r>
        <w:tab/>
        <w:t xml:space="preserve">AC = agente contrattuale; AL = agente locale; END = esperto nazionale distaccato; INT = personale interinale (intérimaire); JPD = giovane professionista in delegazione. </w:t>
      </w:r>
    </w:p>
  </w:footnote>
  <w:footnote w:id="21">
    <w:p>
      <w:pPr>
        <w:pStyle w:val="FootnoteText"/>
        <w:rPr>
          <w:szCs w:val="24"/>
        </w:rPr>
      </w:pPr>
      <w:r>
        <w:rPr>
          <w:rStyle w:val="FootnoteReference"/>
        </w:rPr>
        <w:footnoteRef/>
      </w:r>
      <w:r>
        <w:tab/>
        <w:t>Sottomassimale per il personale esterno previsto dagli stanziamenti operativi (ex linee "BA").</w:t>
      </w:r>
    </w:p>
  </w:footnote>
  <w:footnote w:id="22">
    <w:p>
      <w:pPr>
        <w:pStyle w:val="FootnoteText"/>
      </w:pPr>
      <w:r>
        <w:rPr>
          <w:rStyle w:val="FootnoteReference"/>
        </w:rPr>
        <w:footnoteRef/>
      </w:r>
      <w:r>
        <w:tab/>
        <w:t>L'anno N è l'anno in cui inizia a essere attuata la proposta/iniziativa. Sostituire "N" con il primo anno di attuazione previsto (ad es.: 2021), e così per gli anni a seguire.</w:t>
      </w:r>
    </w:p>
  </w:footnote>
  <w:footnote w:id="23">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24: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1A8F0F9-042B-4CB8-83C9-870B9F0BA85B"/>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71"/>
    <w:docVar w:name="LW_REF.II.NEW.CP_YEAR" w:val="2019"/>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firma, a nome dell'Unione, e all'applicazione provvisoria del protocollo di attuazione dell'accordo di partenariato nel settore della pesca tra la Comunità europea e la Repubblica del Capo Verde (2019-2024)"/>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bidi="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bidi="it-IT"/>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bidi="it-I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it-IT" w:eastAsia="it-IT" w:bidi="it-I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it-IT" w:eastAsia="it-IT" w:bidi="it-IT"/>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bidi="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bidi="it-IT"/>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bidi="it-I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it-IT" w:eastAsia="it-IT" w:bidi="it-I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it-IT" w:eastAsia="it-IT" w:bidi="it-IT"/>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4978">
      <w:bodyDiv w:val="1"/>
      <w:marLeft w:val="0"/>
      <w:marRight w:val="0"/>
      <w:marTop w:val="0"/>
      <w:marBottom w:val="0"/>
      <w:divBdr>
        <w:top w:val="none" w:sz="0" w:space="0" w:color="auto"/>
        <w:left w:val="none" w:sz="0" w:space="0" w:color="auto"/>
        <w:bottom w:val="none" w:sz="0" w:space="0" w:color="auto"/>
        <w:right w:val="none" w:sz="0" w:space="0" w:color="auto"/>
      </w:divBdr>
    </w:div>
    <w:div w:id="642663602">
      <w:bodyDiv w:val="1"/>
      <w:marLeft w:val="0"/>
      <w:marRight w:val="0"/>
      <w:marTop w:val="0"/>
      <w:marBottom w:val="0"/>
      <w:divBdr>
        <w:top w:val="none" w:sz="0" w:space="0" w:color="auto"/>
        <w:left w:val="none" w:sz="0" w:space="0" w:color="auto"/>
        <w:bottom w:val="none" w:sz="0" w:space="0" w:color="auto"/>
        <w:right w:val="none" w:sz="0" w:space="0" w:color="auto"/>
      </w:divBdr>
    </w:div>
    <w:div w:id="863901926">
      <w:bodyDiv w:val="1"/>
      <w:marLeft w:val="0"/>
      <w:marRight w:val="0"/>
      <w:marTop w:val="0"/>
      <w:marBottom w:val="0"/>
      <w:divBdr>
        <w:top w:val="none" w:sz="0" w:space="0" w:color="auto"/>
        <w:left w:val="none" w:sz="0" w:space="0" w:color="auto"/>
        <w:bottom w:val="none" w:sz="0" w:space="0" w:color="auto"/>
        <w:right w:val="none" w:sz="0" w:space="0" w:color="auto"/>
      </w:divBdr>
    </w:div>
    <w:div w:id="1405688202">
      <w:bodyDiv w:val="1"/>
      <w:marLeft w:val="0"/>
      <w:marRight w:val="0"/>
      <w:marTop w:val="0"/>
      <w:marBottom w:val="0"/>
      <w:divBdr>
        <w:top w:val="none" w:sz="0" w:space="0" w:color="auto"/>
        <w:left w:val="none" w:sz="0" w:space="0" w:color="auto"/>
        <w:bottom w:val="none" w:sz="0" w:space="0" w:color="auto"/>
        <w:right w:val="none" w:sz="0" w:space="0" w:color="auto"/>
      </w:divBdr>
    </w:div>
    <w:div w:id="1782334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8302">
          <w:marLeft w:val="0"/>
          <w:marRight w:val="0"/>
          <w:marTop w:val="0"/>
          <w:marBottom w:val="0"/>
          <w:divBdr>
            <w:top w:val="none" w:sz="0" w:space="0" w:color="auto"/>
            <w:left w:val="none" w:sz="0" w:space="0" w:color="auto"/>
            <w:bottom w:val="none" w:sz="0" w:space="0" w:color="auto"/>
            <w:right w:val="none" w:sz="0" w:space="0" w:color="auto"/>
          </w:divBdr>
          <w:divsChild>
            <w:div w:id="180510652">
              <w:marLeft w:val="0"/>
              <w:marRight w:val="0"/>
              <w:marTop w:val="0"/>
              <w:marBottom w:val="0"/>
              <w:divBdr>
                <w:top w:val="none" w:sz="0" w:space="0" w:color="auto"/>
                <w:left w:val="none" w:sz="0" w:space="0" w:color="auto"/>
                <w:bottom w:val="none" w:sz="0" w:space="0" w:color="auto"/>
                <w:right w:val="none" w:sz="0" w:space="0" w:color="auto"/>
              </w:divBdr>
              <w:divsChild>
                <w:div w:id="1153175904">
                  <w:marLeft w:val="0"/>
                  <w:marRight w:val="0"/>
                  <w:marTop w:val="0"/>
                  <w:marBottom w:val="0"/>
                  <w:divBdr>
                    <w:top w:val="none" w:sz="0" w:space="0" w:color="auto"/>
                    <w:left w:val="none" w:sz="0" w:space="0" w:color="auto"/>
                    <w:bottom w:val="none" w:sz="0" w:space="0" w:color="auto"/>
                    <w:right w:val="none" w:sz="0" w:space="0" w:color="auto"/>
                  </w:divBdr>
                  <w:divsChild>
                    <w:div w:id="978534353">
                      <w:marLeft w:val="-150"/>
                      <w:marRight w:val="-150"/>
                      <w:marTop w:val="0"/>
                      <w:marBottom w:val="0"/>
                      <w:divBdr>
                        <w:top w:val="none" w:sz="0" w:space="0" w:color="auto"/>
                        <w:left w:val="none" w:sz="0" w:space="0" w:color="auto"/>
                        <w:bottom w:val="none" w:sz="0" w:space="0" w:color="auto"/>
                        <w:right w:val="none" w:sz="0" w:space="0" w:color="auto"/>
                      </w:divBdr>
                      <w:divsChild>
                        <w:div w:id="267666398">
                          <w:marLeft w:val="0"/>
                          <w:marRight w:val="0"/>
                          <w:marTop w:val="0"/>
                          <w:marBottom w:val="0"/>
                          <w:divBdr>
                            <w:top w:val="none" w:sz="0" w:space="0" w:color="auto"/>
                            <w:left w:val="none" w:sz="0" w:space="0" w:color="auto"/>
                            <w:bottom w:val="none" w:sz="0" w:space="0" w:color="auto"/>
                            <w:right w:val="none" w:sz="0" w:space="0" w:color="auto"/>
                          </w:divBdr>
                          <w:divsChild>
                            <w:div w:id="716393277">
                              <w:marLeft w:val="0"/>
                              <w:marRight w:val="0"/>
                              <w:marTop w:val="0"/>
                              <w:marBottom w:val="0"/>
                              <w:divBdr>
                                <w:top w:val="none" w:sz="0" w:space="0" w:color="auto"/>
                                <w:left w:val="none" w:sz="0" w:space="0" w:color="auto"/>
                                <w:bottom w:val="none" w:sz="0" w:space="0" w:color="auto"/>
                                <w:right w:val="none" w:sz="0" w:space="0" w:color="auto"/>
                              </w:divBdr>
                              <w:divsChild>
                                <w:div w:id="929048233">
                                  <w:marLeft w:val="0"/>
                                  <w:marRight w:val="0"/>
                                  <w:marTop w:val="0"/>
                                  <w:marBottom w:val="300"/>
                                  <w:divBdr>
                                    <w:top w:val="none" w:sz="0" w:space="0" w:color="auto"/>
                                    <w:left w:val="none" w:sz="0" w:space="0" w:color="auto"/>
                                    <w:bottom w:val="none" w:sz="0" w:space="0" w:color="auto"/>
                                    <w:right w:val="none" w:sz="0" w:space="0" w:color="auto"/>
                                  </w:divBdr>
                                  <w:divsChild>
                                    <w:div w:id="1594313518">
                                      <w:marLeft w:val="0"/>
                                      <w:marRight w:val="0"/>
                                      <w:marTop w:val="0"/>
                                      <w:marBottom w:val="0"/>
                                      <w:divBdr>
                                        <w:top w:val="none" w:sz="0" w:space="0" w:color="auto"/>
                                        <w:left w:val="none" w:sz="0" w:space="0" w:color="auto"/>
                                        <w:bottom w:val="none" w:sz="0" w:space="0" w:color="auto"/>
                                        <w:right w:val="none" w:sz="0" w:space="0" w:color="auto"/>
                                      </w:divBdr>
                                      <w:divsChild>
                                        <w:div w:id="56711654">
                                          <w:marLeft w:val="0"/>
                                          <w:marRight w:val="0"/>
                                          <w:marTop w:val="0"/>
                                          <w:marBottom w:val="0"/>
                                          <w:divBdr>
                                            <w:top w:val="none" w:sz="0" w:space="0" w:color="auto"/>
                                            <w:left w:val="none" w:sz="0" w:space="0" w:color="auto"/>
                                            <w:bottom w:val="none" w:sz="0" w:space="0" w:color="auto"/>
                                            <w:right w:val="none" w:sz="0" w:space="0" w:color="auto"/>
                                          </w:divBdr>
                                          <w:divsChild>
                                            <w:div w:id="177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4C8D-923C-4C6E-8735-AB93C8E6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4876</Words>
  <Characters>29211</Characters>
  <Application>Microsoft Office Word</Application>
  <DocSecurity>0</DocSecurity>
  <Lines>1327</Lines>
  <Paragraphs>619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2018-12-06T13:51:00Z</cp:lastPrinted>
  <dcterms:created xsi:type="dcterms:W3CDTF">2019-02-20T16:13:00Z</dcterms:created>
  <dcterms:modified xsi:type="dcterms:W3CDTF">2019-03-13T13:24:00Z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