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09515EE-2668-4992-B740-C8D80C563A3F"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Ehdotuksen perustelut ja tavoitteet</w:t>
      </w:r>
    </w:p>
    <w:p>
      <w:pPr>
        <w:pBdr>
          <w:top w:val="nil"/>
          <w:left w:val="nil"/>
          <w:bottom w:val="nil"/>
          <w:right w:val="nil"/>
          <w:between w:val="nil"/>
          <w:bar w:val="nil"/>
        </w:pBdr>
        <w:spacing w:before="0" w:after="240"/>
        <w:rPr>
          <w:rFonts w:eastAsia="Arial Unicode MS"/>
          <w:noProof/>
        </w:rPr>
      </w:pPr>
      <w:r>
        <w:rPr>
          <w:noProof/>
        </w:rPr>
        <w:t>Komissio on asiaa koskevien neuvotteluohjeiden</w:t>
      </w:r>
      <w:r>
        <w:rPr>
          <w:rStyle w:val="FootnoteReference"/>
          <w:noProof/>
        </w:rPr>
        <w:footnoteReference w:id="1"/>
      </w:r>
      <w:r>
        <w:rPr>
          <w:noProof/>
        </w:rPr>
        <w:t xml:space="preserve"> pohjalta neuvotellut Kap Verden tasavallan, jäljempänä ’Cabo Verde’, hallituksen kanssa Euroopan yhteisön ja Kap Verden välisen kalastuskumppanuussopimukseen</w:t>
      </w:r>
      <w:r>
        <w:rPr>
          <w:rStyle w:val="FootnoteReference"/>
          <w:noProof/>
        </w:rPr>
        <w:footnoteReference w:id="2"/>
      </w:r>
      <w:r>
        <w:rPr>
          <w:noProof/>
        </w:rPr>
        <w:t xml:space="preserve"> liittyvän uuden pöytäkirjan tekemisestä. Neuvottelujen päätteeksi parafoitiin uusi pöytäkirja 12. lokakuuta 2018. Pöytäkirja on voimassa viisi vuotta sen väliaikaisen soveltamisen alkamispäivästä eli sen allekirjoittamispäivästä, kuten pöytäkirjan 15 artiklassa ilmoitetaan. </w:t>
      </w:r>
    </w:p>
    <w:p>
      <w:pPr>
        <w:pBdr>
          <w:top w:val="nil"/>
          <w:left w:val="nil"/>
          <w:bottom w:val="nil"/>
          <w:right w:val="nil"/>
          <w:between w:val="nil"/>
          <w:bar w:val="nil"/>
        </w:pBdr>
        <w:spacing w:before="0" w:after="240"/>
        <w:rPr>
          <w:rFonts w:eastAsia="Arial Unicode MS"/>
          <w:noProof/>
        </w:rPr>
      </w:pPr>
      <w:r>
        <w:rPr>
          <w:noProof/>
        </w:rPr>
        <w:t>Uuden pöytäkirjan päätavoitteena on tarjota unionin aluksille kalastusmahdollisuuksia Cabo Verden vesillä parhaiden käytettävissä olevien tieteellisten lausuntojen perusteella ja Atlantin tonnikalojen suojelukomission (ICCAT) suositusten mukaisesti. Uudessa pöytäkirjassa otetaan huomioon edellisen pöytäkirjan (2014–2018) arvioinnin tulokset ja ennakoiva arviointi siitä, onko uuden pöytäkirjan tekeminen tarpeen. Molemmat arvioinnit teetettiin ulkopuolisilla asiantuntijoilla. Pöytäkirjan myötä Euroopan unioni ja Cabo Verden tasavalta voivat myös tehdä aiempaa tiiviimmin yhteistyötä edistääkseen kalavarojen vastuullista hyödyntämistä Cabo Verden vesillä ja tukeakseen Cabo Verden ponnisteluja sinisen taloutensa kehittämiseksi kummankin osapuolen eduksi.</w:t>
      </w:r>
    </w:p>
    <w:p>
      <w:pPr>
        <w:pBdr>
          <w:top w:val="nil"/>
          <w:left w:val="nil"/>
          <w:bottom w:val="nil"/>
          <w:right w:val="nil"/>
          <w:between w:val="nil"/>
          <w:bar w:val="nil"/>
        </w:pBdr>
        <w:spacing w:before="0"/>
        <w:rPr>
          <w:noProof/>
        </w:rPr>
      </w:pPr>
      <w:r>
        <w:rPr>
          <w:noProof/>
        </w:rPr>
        <w:t>Pöytäkirjassa määrätään kalastusmahdollisuuksista seuraavissa luokissa:</w:t>
      </w:r>
    </w:p>
    <w:p>
      <w:pPr>
        <w:pStyle w:val="Point0letter"/>
        <w:numPr>
          <w:ilvl w:val="1"/>
          <w:numId w:val="6"/>
        </w:numPr>
        <w:rPr>
          <w:noProof/>
        </w:rPr>
      </w:pPr>
      <w:r>
        <w:rPr>
          <w:noProof/>
        </w:rPr>
        <w:t>28 nuottaa käyttävää tonnikalan pakastusalusta;</w:t>
      </w:r>
    </w:p>
    <w:p>
      <w:pPr>
        <w:pStyle w:val="Point0letter"/>
        <w:numPr>
          <w:ilvl w:val="1"/>
          <w:numId w:val="6"/>
        </w:numPr>
        <w:rPr>
          <w:noProof/>
        </w:rPr>
      </w:pPr>
      <w:r>
        <w:rPr>
          <w:noProof/>
        </w:rPr>
        <w:t>27 pintasiima-alusta;</w:t>
      </w:r>
    </w:p>
    <w:p>
      <w:pPr>
        <w:pStyle w:val="Point0letter"/>
        <w:numPr>
          <w:ilvl w:val="1"/>
          <w:numId w:val="6"/>
        </w:numPr>
        <w:rPr>
          <w:noProof/>
        </w:rPr>
      </w:pPr>
      <w:r>
        <w:rPr>
          <w:noProof/>
        </w:rPr>
        <w:t>14 vapapyydyksiä käyttävää tonnikala-alusta.</w:t>
      </w:r>
    </w:p>
    <w:p>
      <w:pPr>
        <w:pBdr>
          <w:top w:val="nil"/>
          <w:left w:val="nil"/>
          <w:bottom w:val="nil"/>
          <w:right w:val="nil"/>
          <w:between w:val="nil"/>
          <w:bar w:val="nil"/>
        </w:pBdr>
        <w:spacing w:before="0" w:after="240"/>
        <w:rPr>
          <w:noProof/>
        </w:rPr>
      </w:pPr>
      <w:r>
        <w:rPr>
          <w:noProof/>
        </w:rPr>
        <w:t>On syytä vahvistaa näiden kalastusmahdollisuuksien jakaminen jäsenvaltioiden kesken.</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spacing w:before="0" w:after="240"/>
        <w:rPr>
          <w:noProof/>
        </w:rPr>
      </w:pPr>
      <w:r>
        <w:rPr>
          <w:noProof/>
        </w:rPr>
        <w:t xml:space="preserve">Oikeusperustana on Euroopan unionin toiminnasta tehty sopimus, jonka 43 artiklan 3 kohdassa määrätään, että neuvosto hyväksyy komission ehdotuksesta kalastusmahdollisuuksien jaon. </w:t>
      </w:r>
    </w:p>
    <w:p>
      <w:pPr>
        <w:pStyle w:val="ManualHeading2"/>
        <w:rPr>
          <w:rFonts w:eastAsia="Arial Unicode MS"/>
          <w:noProof/>
          <w:u w:color="000000"/>
          <w:bdr w:val="nil"/>
        </w:rPr>
      </w:pPr>
      <w:r>
        <w:rPr>
          <w:noProof/>
        </w:rPr>
        <w:t>•</w:t>
      </w:r>
      <w:r>
        <w:rPr>
          <w:noProof/>
        </w:rPr>
        <w:tab/>
        <w:t>Toissijaisuusperiaate (jaetun toimivallan osalta)</w:t>
      </w:r>
    </w:p>
    <w:p>
      <w:pPr>
        <w:spacing w:before="0" w:after="240"/>
        <w:rPr>
          <w:noProof/>
        </w:rPr>
      </w:pPr>
      <w:r>
        <w:rPr>
          <w:noProof/>
        </w:rPr>
        <w:t xml:space="preserve">Politiikan ala kuuluu Euroopan unionin yksinomaiseen toimivaltaan. </w:t>
      </w:r>
    </w:p>
    <w:p>
      <w:pPr>
        <w:spacing w:before="0" w:after="240"/>
        <w:rPr>
          <w:noProof/>
        </w:rPr>
      </w:pP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Jälkiarvioinnit/toimivuustarkastukset</w:t>
      </w:r>
    </w:p>
    <w:p>
      <w:pPr>
        <w:pBdr>
          <w:top w:val="nil"/>
          <w:left w:val="nil"/>
          <w:bottom w:val="nil"/>
          <w:right w:val="nil"/>
          <w:between w:val="nil"/>
          <w:bar w:val="nil"/>
        </w:pBdr>
        <w:spacing w:before="0" w:after="240"/>
        <w:rPr>
          <w:noProof/>
        </w:rPr>
      </w:pPr>
      <w:r>
        <w:rPr>
          <w:noProof/>
        </w:rPr>
        <w:t>Asianomaisia osapuolia on kuultu Euroopan unionin ja Cabo Verden välisen pöytäkirjan jälkiarvioinnin ja pöytäkirjan mahdollista uusimista koskevan ennakkoarvioinnin yhteydessä. Lisäksi on kuultu jäsenvaltioiden ja toimialan asiantuntijoita teknisissä kokouksissa. Kuulemisten tuloksena on päätelty, että on Euroopan unionin ja Cabo Verden tasavallan edun mukaista tehdä kalastussopimukseen uusi pöytäkirja.</w:t>
      </w: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rFonts w:eastAsia="Arial Unicode MS"/>
          <w:noProof/>
        </w:rPr>
      </w:pPr>
      <w:r>
        <w:rPr>
          <w:noProof/>
        </w:rPr>
        <w:t>Arvioinnin yhteydessä kuultiin jäsenvaltioita, kalastusalan edustajia, kansainvälisiä kansalaisyhteiskuntaa edustavia järjestöjä sekä Cabo Verden kalastusviranomaisia ja kansalaisyhteiskunnan edustajia. Kuulemisia on toteutettu myös aavan meren ja pitkän matkan laivastojen neuvoa-antavan toimikunnan puitteissa.</w:t>
      </w:r>
    </w:p>
    <w:p>
      <w:pPr>
        <w:pStyle w:val="ManualHeading2"/>
        <w:rPr>
          <w:rFonts w:eastAsia="Arial Unicode MS"/>
          <w:noProof/>
          <w:u w:color="000000"/>
          <w:bdr w:val="nil"/>
        </w:rPr>
      </w:pPr>
      <w:r>
        <w:rPr>
          <w:noProof/>
        </w:rPr>
        <w:t>•</w:t>
      </w:r>
      <w:r>
        <w:rPr>
          <w:noProof/>
        </w:rPr>
        <w:tab/>
        <w:t>Asiantuntijatiedon keruu ja käyttö</w:t>
      </w:r>
    </w:p>
    <w:p>
      <w:pPr>
        <w:spacing w:before="0" w:after="240"/>
        <w:rPr>
          <w:noProof/>
        </w:rPr>
      </w:pPr>
      <w:r>
        <w:rPr>
          <w:noProof/>
        </w:rPr>
        <w:t xml:space="preserve">Komissio käytti jälki- ja ennakkoarvioinneissa riippumatonta konsulttia yhteisestä kalastuspolitiikasta annetun asetuksen 31 artiklan 10 kohdan mukaisesti. </w:t>
      </w:r>
    </w:p>
    <w:p>
      <w:pPr>
        <w:pStyle w:val="ManualHeading1"/>
        <w:rPr>
          <w:noProof/>
        </w:rPr>
      </w:pPr>
      <w:r>
        <w:rPr>
          <w:noProof/>
        </w:rPr>
        <w:t>4.</w:t>
      </w:r>
      <w:r>
        <w:rPr>
          <w:noProof/>
        </w:rPr>
        <w:tab/>
        <w:t>TALOUSARVIOVAIKUTUKSET</w:t>
      </w:r>
    </w:p>
    <w:p>
      <w:pPr>
        <w:spacing w:before="0" w:after="240"/>
        <w:rPr>
          <w:noProof/>
        </w:rPr>
      </w:pPr>
      <w:r>
        <w:rPr>
          <w:noProof/>
        </w:rPr>
        <w:t>Asetusluonnoksella ei ole vaikutuksia unionin talousarvioon.</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spacing w:before="0" w:after="240"/>
        <w:rPr>
          <w:noProof/>
        </w:rPr>
      </w:pPr>
      <w:r>
        <w:rPr>
          <w:noProof/>
        </w:rPr>
        <w:t xml:space="preserve">Nyt kyseessä oleva menettely aloitetaan samanaikaisesti niiden menettelyjen kanssa, jotka liittyvät Euroopan yhteisön ja Kap Verden välisen kalastuskumppanuussopimuksen pöytäkirjan allekirjoittamisesta unionin puolesta annettuun neuvoston päätökseen ja sen tekemisestä annettuun neuvoston päätökseen. Tätä asetusta on sovellettava heti, kun kalastus on sopimuksen mukaan mahdollista, toisin sanoen siitä päivästä, jona pöytäkirjaa aletaan soveltaa väliaikaisesti.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2019/0072 (NLE)</w:t>
      </w:r>
    </w:p>
    <w:p>
      <w:pPr>
        <w:pStyle w:val="Statut"/>
        <w:rPr>
          <w:noProof/>
        </w:rPr>
      </w:pPr>
      <w:r>
        <w:rPr>
          <w:noProof/>
        </w:rPr>
        <w:t>Ehdotus</w:t>
      </w:r>
    </w:p>
    <w:p>
      <w:pPr>
        <w:pStyle w:val="Typedudocument"/>
        <w:rPr>
          <w:noProof/>
        </w:rPr>
      </w:pPr>
      <w:r>
        <w:rPr>
          <w:noProof/>
        </w:rPr>
        <w:t>NEUVOSTON ASETUS</w:t>
      </w:r>
    </w:p>
    <w:p>
      <w:pPr>
        <w:pStyle w:val="Titreobjet"/>
        <w:rPr>
          <w:noProof/>
        </w:rPr>
      </w:pPr>
      <w:r>
        <w:rPr>
          <w:noProof/>
        </w:rPr>
        <w:t xml:space="preserve">kalastusmahdollisuuksien jakamisesta Euroopan yhteisön ja Kap Verden tasavallan välisen kalastuskumppanuussopimuksen täytäntöönpanoa koskevan pöytäkirjan </w:t>
      </w:r>
      <w:r>
        <w:rPr>
          <w:noProof/>
        </w:rPr>
        <w:br/>
        <w:t>(2019–2024) nojalla</w:t>
      </w:r>
      <w:r>
        <w:rPr>
          <w:noProof/>
        </w:rPr>
        <w:br/>
      </w:r>
    </w:p>
    <w:p>
      <w:pPr>
        <w:pStyle w:val="Institutionquiagit"/>
        <w:rPr>
          <w:noProof/>
        </w:rPr>
      </w:pPr>
      <w:r>
        <w:rPr>
          <w:noProof/>
        </w:rPr>
        <w:t>EUROOPAN UNIONIN NEUVOSTO, joka</w:t>
      </w:r>
    </w:p>
    <w:p>
      <w:pPr>
        <w:rPr>
          <w:noProof/>
        </w:rPr>
      </w:pPr>
      <w:r>
        <w:rPr>
          <w:noProof/>
        </w:rPr>
        <w:t>ottaa huomioon Euroopan unionin toiminnasta tehdyn sopimuksen ja erityisesti sen 43 artiklan 3 kohdan,</w:t>
      </w:r>
    </w:p>
    <w:p>
      <w:pPr>
        <w:rPr>
          <w:noProof/>
        </w:rPr>
      </w:pP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Neuvosto antoi 19 päivänä joulukuuta 2006 asetuksen (EY) N:o 2027/2006</w:t>
      </w:r>
      <w:r>
        <w:rPr>
          <w:rStyle w:val="FootnoteReference"/>
          <w:noProof/>
        </w:rPr>
        <w:footnoteReference w:id="3"/>
      </w:r>
      <w:r>
        <w:rPr>
          <w:noProof/>
        </w:rPr>
        <w:t xml:space="preserve"> Euroopan yhteisön ja Kap Verden tasavallan välisen kalastuskumppanuussopimuksen, jäljempänä ’sopimus’, tekemisestä; sopimus tuli voimaan 30 päivänä maaliskuuta 2007, minkä jälkeen sopimuksen voimassaoloa on jatkettu ilman eri toimenpiteitä, ja se on edelleen voimassa.</w:t>
      </w:r>
    </w:p>
    <w:p>
      <w:pPr>
        <w:pStyle w:val="ManualConsidrant"/>
        <w:rPr>
          <w:noProof/>
        </w:rPr>
      </w:pPr>
      <w:r>
        <w:t>(2)</w:t>
      </w:r>
      <w:r>
        <w:tab/>
      </w:r>
      <w:r>
        <w:rPr>
          <w:noProof/>
        </w:rPr>
        <w:t>Sopimuksen viimeisimmän pöytäkirjan voimassaolo päättyy 22 päivänä joulukuuta 2018.</w:t>
      </w:r>
    </w:p>
    <w:p>
      <w:pPr>
        <w:pStyle w:val="ManualConsidrant"/>
        <w:rPr>
          <w:noProof/>
        </w:rPr>
      </w:pPr>
      <w:r>
        <w:t>(3)</w:t>
      </w:r>
      <w:r>
        <w:tab/>
      </w:r>
      <w:r>
        <w:rPr>
          <w:noProof/>
        </w:rPr>
        <w:t xml:space="preserve">Komissio on neuvotellut Euroopan unionin puolesta sopimuksen täytäntöönpanoa koskevan uuden pöytäkirjan, jäljempänä ’pöytäkirja’. Neuvottelujen päätteeksi pöytäkirja parafoitiin 12 päivänä lokakuuta 2018. </w:t>
      </w:r>
    </w:p>
    <w:p>
      <w:pPr>
        <w:pStyle w:val="ManualConsidrant"/>
        <w:rPr>
          <w:noProof/>
        </w:rPr>
      </w:pPr>
      <w:r>
        <w:t>(4)</w:t>
      </w:r>
      <w:r>
        <w:tab/>
      </w:r>
      <w:r>
        <w:rPr>
          <w:noProof/>
        </w:rPr>
        <w:t>Neuvoston päätöksen 2018/.../EU</w:t>
      </w:r>
      <w:r>
        <w:rPr>
          <w:rStyle w:val="FootnoteReference"/>
          <w:noProof/>
        </w:rPr>
        <w:footnoteReference w:id="4"/>
      </w:r>
      <w:r>
        <w:rPr>
          <w:noProof/>
        </w:rPr>
        <w:t xml:space="preserve"> mukaisesti Euroopan yhteisön ja Kap Verden tasavallan välisen kalastuskumppanuussopimuksen täytäntöönpanoon liittyvä pöytäkirja on allekirjoitettu [</w:t>
      </w:r>
      <w:r>
        <w:rPr>
          <w:i/>
          <w:noProof/>
        </w:rPr>
        <w:t>lisätään päivämäärä</w:t>
      </w:r>
      <w:r>
        <w:rPr>
          <w:noProof/>
        </w:rPr>
        <w:t>].</w:t>
      </w:r>
    </w:p>
    <w:p>
      <w:pPr>
        <w:pStyle w:val="ManualConsidrant"/>
        <w:rPr>
          <w:noProof/>
        </w:rPr>
      </w:pPr>
      <w:r>
        <w:t>(5)</w:t>
      </w:r>
      <w:r>
        <w:tab/>
      </w:r>
      <w:r>
        <w:rPr>
          <w:noProof/>
        </w:rPr>
        <w:t>Pöytäkirjassa määrätyt kalastusmahdollisuudet olisi jaettava jäsenvaltioiden kesken pöytäkirjan koko soveltamiskaudeksi.</w:t>
      </w:r>
    </w:p>
    <w:p>
      <w:pPr>
        <w:pStyle w:val="ManualConsidrant"/>
        <w:rPr>
          <w:noProof/>
        </w:rPr>
      </w:pPr>
      <w:r>
        <w:t>(6)</w:t>
      </w:r>
      <w:r>
        <w:tab/>
      </w:r>
      <w:r>
        <w:rPr>
          <w:noProof/>
        </w:rPr>
        <w:t>Pöytäkirjaa sovelletaan väliaikaisesti sen allekirjoittamispäivästä, jotta unionin alukset voivat aloittaa kalastustoimet ripeästi. Sen vuoksi olisi säädettävä, että tätä asetusta sovelletaan samasta päivästä,</w:t>
      </w:r>
    </w:p>
    <w:p>
      <w:pPr>
        <w:rPr>
          <w:noProof/>
        </w:rPr>
      </w:pPr>
    </w:p>
    <w:p>
      <w:pPr>
        <w:pStyle w:val="Formuledadoption"/>
        <w:rPr>
          <w:noProof/>
        </w:rPr>
      </w:pPr>
      <w:r>
        <w:rPr>
          <w:noProof/>
        </w:rPr>
        <w:t>ON HYVÄKSYNYT TÄMÄN ASETUKSEN:</w:t>
      </w:r>
    </w:p>
    <w:p>
      <w:pPr>
        <w:pStyle w:val="Titrearticle"/>
        <w:rPr>
          <w:noProof/>
        </w:rPr>
      </w:pPr>
      <w:r>
        <w:rPr>
          <w:noProof/>
        </w:rPr>
        <w:t>1 artikla</w:t>
      </w:r>
    </w:p>
    <w:p>
      <w:pPr>
        <w:rPr>
          <w:noProof/>
        </w:rPr>
      </w:pPr>
      <w:r>
        <w:rPr>
          <w:noProof/>
        </w:rPr>
        <w:t>1)</w:t>
      </w:r>
      <w:r>
        <w:rPr>
          <w:noProof/>
        </w:rPr>
        <w:tab/>
        <w:t>Euroopan yhteisön ja Kap Verden tasavallan välisen kalastuskumppanuussopimuksen täytäntöönpanoon liittyvän pöytäkirjan (2019–2024), jäljempänä ’pöytäkirja’, nojalla vahvistetut kalastusmahdollisuudet jaetaan jäsenvaltioiden kesken seuraavasti:</w:t>
      </w:r>
    </w:p>
    <w:p>
      <w:pPr>
        <w:rPr>
          <w:noProof/>
        </w:rPr>
      </w:pPr>
      <w:r>
        <w:rPr>
          <w:noProof/>
        </w:rPr>
        <w:t>a)</w:t>
      </w:r>
      <w:r>
        <w:rPr>
          <w:noProof/>
        </w:rPr>
        <w:tab/>
        <w:t>nuottaa käyttävät tonnikala-alukset:</w:t>
      </w:r>
    </w:p>
    <w:p>
      <w:pPr>
        <w:rPr>
          <w:noProof/>
        </w:rPr>
      </w:pPr>
      <w:r>
        <w:rPr>
          <w:noProof/>
        </w:rPr>
        <w:t>Espanja:</w:t>
      </w:r>
      <w:r>
        <w:rPr>
          <w:noProof/>
        </w:rPr>
        <w:tab/>
      </w:r>
      <w:r>
        <w:rPr>
          <w:noProof/>
        </w:rPr>
        <w:tab/>
        <w:t>[16]</w:t>
      </w:r>
      <w:r>
        <w:rPr>
          <w:noProof/>
        </w:rPr>
        <w:tab/>
        <w:t>alusta</w:t>
      </w:r>
    </w:p>
    <w:p>
      <w:pPr>
        <w:rPr>
          <w:noProof/>
        </w:rPr>
      </w:pPr>
      <w:r>
        <w:rPr>
          <w:noProof/>
        </w:rPr>
        <w:t xml:space="preserve">Ranska:   </w:t>
      </w:r>
      <w:r>
        <w:rPr>
          <w:noProof/>
        </w:rPr>
        <w:tab/>
      </w:r>
      <w:r>
        <w:rPr>
          <w:noProof/>
        </w:rPr>
        <w:tab/>
        <w:t>[12]</w:t>
      </w:r>
      <w:r>
        <w:rPr>
          <w:noProof/>
        </w:rPr>
        <w:tab/>
        <w:t>alusta</w:t>
      </w:r>
    </w:p>
    <w:p>
      <w:pPr>
        <w:rPr>
          <w:noProof/>
        </w:rPr>
      </w:pPr>
      <w:r>
        <w:rPr>
          <w:noProof/>
        </w:rPr>
        <w:t>b)</w:t>
      </w:r>
      <w:r>
        <w:rPr>
          <w:noProof/>
        </w:rPr>
        <w:tab/>
        <w:t>pintasiima-alukset:</w:t>
      </w:r>
    </w:p>
    <w:p>
      <w:pPr>
        <w:rPr>
          <w:noProof/>
        </w:rPr>
      </w:pPr>
      <w:r>
        <w:rPr>
          <w:noProof/>
        </w:rPr>
        <w:t>Espanja:</w:t>
      </w:r>
      <w:r>
        <w:rPr>
          <w:noProof/>
        </w:rPr>
        <w:tab/>
      </w:r>
      <w:r>
        <w:rPr>
          <w:noProof/>
        </w:rPr>
        <w:tab/>
        <w:t>[21]</w:t>
      </w:r>
      <w:r>
        <w:rPr>
          <w:noProof/>
        </w:rPr>
        <w:tab/>
        <w:t>alusta</w:t>
      </w:r>
    </w:p>
    <w:p>
      <w:pPr>
        <w:rPr>
          <w:noProof/>
        </w:rPr>
      </w:pPr>
      <w:r>
        <w:rPr>
          <w:noProof/>
        </w:rPr>
        <w:t>Portugali:</w:t>
      </w:r>
      <w:r>
        <w:rPr>
          <w:noProof/>
        </w:rPr>
        <w:tab/>
      </w:r>
      <w:r>
        <w:rPr>
          <w:noProof/>
        </w:rPr>
        <w:tab/>
        <w:t>[6]</w:t>
      </w:r>
      <w:r>
        <w:rPr>
          <w:noProof/>
        </w:rPr>
        <w:tab/>
        <w:t>alusta</w:t>
      </w:r>
    </w:p>
    <w:p>
      <w:pPr>
        <w:rPr>
          <w:noProof/>
        </w:rPr>
      </w:pPr>
      <w:r>
        <w:rPr>
          <w:noProof/>
        </w:rPr>
        <w:t>c)</w:t>
      </w:r>
      <w:r>
        <w:rPr>
          <w:noProof/>
        </w:rPr>
        <w:tab/>
        <w:t>vapapyydyksiä käyttävät tonnikala-alukset:</w:t>
      </w:r>
    </w:p>
    <w:p>
      <w:pPr>
        <w:rPr>
          <w:noProof/>
        </w:rPr>
      </w:pPr>
      <w:r>
        <w:rPr>
          <w:noProof/>
        </w:rPr>
        <w:t>Espanja</w:t>
      </w:r>
      <w:r>
        <w:rPr>
          <w:noProof/>
        </w:rPr>
        <w:tab/>
      </w:r>
      <w:r>
        <w:rPr>
          <w:noProof/>
        </w:rPr>
        <w:tab/>
        <w:t>[8]</w:t>
      </w:r>
      <w:r>
        <w:rPr>
          <w:noProof/>
        </w:rPr>
        <w:tab/>
        <w:t>alusta</w:t>
      </w:r>
    </w:p>
    <w:p>
      <w:pPr>
        <w:rPr>
          <w:noProof/>
        </w:rPr>
      </w:pPr>
      <w:r>
        <w:rPr>
          <w:noProof/>
        </w:rPr>
        <w:t xml:space="preserve">Ranska </w:t>
      </w:r>
      <w:r>
        <w:rPr>
          <w:noProof/>
        </w:rPr>
        <w:tab/>
      </w:r>
      <w:r>
        <w:rPr>
          <w:noProof/>
        </w:rPr>
        <w:tab/>
        <w:t>[4]</w:t>
      </w:r>
      <w:r>
        <w:rPr>
          <w:noProof/>
        </w:rPr>
        <w:tab/>
        <w:t>alusta</w:t>
      </w:r>
    </w:p>
    <w:p>
      <w:pPr>
        <w:rPr>
          <w:noProof/>
        </w:rPr>
      </w:pPr>
      <w:r>
        <w:rPr>
          <w:noProof/>
        </w:rPr>
        <w:t>Portugali:</w:t>
      </w:r>
      <w:r>
        <w:rPr>
          <w:noProof/>
        </w:rPr>
        <w:tab/>
      </w:r>
      <w:r>
        <w:rPr>
          <w:noProof/>
        </w:rPr>
        <w:tab/>
        <w:t>[2]</w:t>
      </w:r>
      <w:r>
        <w:rPr>
          <w:noProof/>
        </w:rPr>
        <w:tab/>
        <w:t>alusta</w:t>
      </w:r>
    </w:p>
    <w:p>
      <w:pPr>
        <w:pStyle w:val="Titrearticle"/>
        <w:rPr>
          <w:noProof/>
        </w:rPr>
      </w:pPr>
      <w:r>
        <w:rPr>
          <w:noProof/>
        </w:rPr>
        <w:t>2 artikla</w:t>
      </w:r>
    </w:p>
    <w:p>
      <w:pPr>
        <w:rPr>
          <w:noProof/>
        </w:rPr>
      </w:pPr>
      <w:r>
        <w:rPr>
          <w:noProof/>
        </w:rPr>
        <w:t xml:space="preserve">Tämä asetus tulee voimaan seuraavana päivänä sen jälkeen, kun se on julkaistu </w:t>
      </w:r>
      <w:r>
        <w:rPr>
          <w:i/>
          <w:noProof/>
        </w:rPr>
        <w:t>Euroopan unionin virallisessa lehdessä</w:t>
      </w:r>
      <w:r>
        <w:rPr>
          <w:noProof/>
        </w:rPr>
        <w:t>.</w:t>
      </w:r>
    </w:p>
    <w:p>
      <w:pPr>
        <w:rPr>
          <w:noProof/>
        </w:rPr>
      </w:pPr>
      <w:r>
        <w:rPr>
          <w:noProof/>
        </w:rPr>
        <w:t>Sitä sovelletaan pöytäkirjan allekirjoittamispäivästä.</w:t>
      </w:r>
    </w:p>
    <w:p>
      <w:pPr>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Hyväksytty oikeus- ja sisäasiain neuvostossa 4.–5. kesäkuuta 2018.</w:t>
      </w:r>
    </w:p>
  </w:footnote>
  <w:footnote w:id="2">
    <w:p>
      <w:pPr>
        <w:pStyle w:val="FootnoteText"/>
      </w:pPr>
      <w:r>
        <w:rPr>
          <w:rStyle w:val="FootnoteReference"/>
        </w:rPr>
        <w:footnoteRef/>
      </w:r>
      <w:r>
        <w:tab/>
        <w:t>EUVL L 414, 30.12.2006, s. 3.</w:t>
      </w:r>
    </w:p>
  </w:footnote>
  <w:footnote w:id="3">
    <w:p>
      <w:pPr>
        <w:pStyle w:val="Footno"/>
      </w:pPr>
      <w:r>
        <w:rPr>
          <w:rStyle w:val="FootnoteReference"/>
        </w:rPr>
        <w:footnoteRef/>
      </w:r>
      <w:r>
        <w:tab/>
        <w:t>Neuvoston asetus (EY) N:o 2027/2006, annettu 19 päivänä joulukuuta 2006, Euroopan yhteisön ja Kap Verden tasavallan välisen kalastuskumppanuussopimuksen tekemisestä (EUVL L 414, 30.12.2006, s. 1).</w:t>
      </w:r>
    </w:p>
  </w:footnote>
  <w:footnote w:id="4">
    <w:p>
      <w:pPr>
        <w:pStyle w:val="FootnoteText"/>
        <w:ind w:left="0" w:firstLine="0"/>
        <w:rPr>
          <w:lang w:val="nb-NO"/>
        </w:rPr>
      </w:pPr>
      <w:r>
        <w:rPr>
          <w:rStyle w:val="FootnoteReference"/>
        </w:rPr>
        <w:footnoteRef/>
      </w:r>
      <w:r>
        <w:tab/>
        <w:t>Päätös ... (EUVL L , , 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084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76AE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1ADA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6279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8A5A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C433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9EF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E61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40: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09515EE-2668-4992-B740-C8D80C563A3F"/>
    <w:docVar w:name="LW_COVERPAGE_TYPE" w:val="1"/>
    <w:docVar w:name="LW_CROSSREFERENCE" w:val="&lt;UNUSED&gt;"/>
    <w:docVar w:name="LW_DocType" w:val="COM"/>
    <w:docVar w:name="LW_EMISSION" w:val="14.3.2019"/>
    <w:docVar w:name="LW_EMISSION_ISODATE" w:val="2019-03-14"/>
    <w:docVar w:name="LW_EMISSION_LOCATION" w:val="BRX"/>
    <w:docVar w:name="LW_EMISSION_PREFIX" w:val="Bryssel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072"/>
    <w:docVar w:name="LW_REF.II.NEW.CP_YEAR" w:val="2019"/>
    <w:docVar w:name="LW_REF.INST.NEW" w:val="COM"/>
    <w:docVar w:name="LW_REF.INST.NEW_ADOPTED" w:val="final"/>
    <w:docVar w:name="LW_REF.INST.NEW_TEXT" w:val="(2019)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kalastusmahdollisuuksien jakamisesta Euroopan yhteisön ja Kap Verden tasavallan välisen kalastuskumppanuussopimuksen täytäntöönpanoa koskevan pöytäkirjan _x000b_(2019\u8211?2024) nojalla_x000b_"/>
    <w:docVar w:name="LW_TYPE.DOC.CP" w:val="NEUVOSTON ASET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499">
      <w:bodyDiv w:val="1"/>
      <w:marLeft w:val="0"/>
      <w:marRight w:val="0"/>
      <w:marTop w:val="0"/>
      <w:marBottom w:val="0"/>
      <w:divBdr>
        <w:top w:val="none" w:sz="0" w:space="0" w:color="auto"/>
        <w:left w:val="none" w:sz="0" w:space="0" w:color="auto"/>
        <w:bottom w:val="none" w:sz="0" w:space="0" w:color="auto"/>
        <w:right w:val="none" w:sz="0" w:space="0" w:color="auto"/>
      </w:divBdr>
    </w:div>
    <w:div w:id="413746695">
      <w:bodyDiv w:val="1"/>
      <w:marLeft w:val="0"/>
      <w:marRight w:val="0"/>
      <w:marTop w:val="0"/>
      <w:marBottom w:val="0"/>
      <w:divBdr>
        <w:top w:val="none" w:sz="0" w:space="0" w:color="auto"/>
        <w:left w:val="none" w:sz="0" w:space="0" w:color="auto"/>
        <w:bottom w:val="none" w:sz="0" w:space="0" w:color="auto"/>
        <w:right w:val="none" w:sz="0" w:space="0" w:color="auto"/>
      </w:divBdr>
    </w:div>
    <w:div w:id="627245849">
      <w:bodyDiv w:val="1"/>
      <w:marLeft w:val="0"/>
      <w:marRight w:val="0"/>
      <w:marTop w:val="0"/>
      <w:marBottom w:val="0"/>
      <w:divBdr>
        <w:top w:val="none" w:sz="0" w:space="0" w:color="auto"/>
        <w:left w:val="none" w:sz="0" w:space="0" w:color="auto"/>
        <w:bottom w:val="none" w:sz="0" w:space="0" w:color="auto"/>
        <w:right w:val="none" w:sz="0" w:space="0" w:color="auto"/>
      </w:divBdr>
    </w:div>
    <w:div w:id="1516916177">
      <w:bodyDiv w:val="1"/>
      <w:marLeft w:val="0"/>
      <w:marRight w:val="0"/>
      <w:marTop w:val="0"/>
      <w:marBottom w:val="0"/>
      <w:divBdr>
        <w:top w:val="none" w:sz="0" w:space="0" w:color="auto"/>
        <w:left w:val="none" w:sz="0" w:space="0" w:color="auto"/>
        <w:bottom w:val="none" w:sz="0" w:space="0" w:color="auto"/>
        <w:right w:val="none" w:sz="0" w:space="0" w:color="auto"/>
      </w:divBdr>
    </w:div>
    <w:div w:id="17111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A49DCA9-D0E1-455D-A5D1-0348C711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Pages>
  <Words>652</Words>
  <Characters>5524</Characters>
  <Application>Microsoft Office Word</Application>
  <DocSecurity>0</DocSecurity>
  <Lines>117</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2018-12-14T14:47:00Z</cp:lastPrinted>
  <dcterms:created xsi:type="dcterms:W3CDTF">2019-02-14T07:49:00Z</dcterms:created>
  <dcterms:modified xsi:type="dcterms:W3CDTF">2019-03-13T13:40:00Z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