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9B7EE5A-0C23-424A-B65A-89C60D961742" style="width:450.8pt;height:379.5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Justificação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Com base nas diretrizes de negociação</w:t>
      </w:r>
      <w:r>
        <w:rPr>
          <w:rStyle w:val="FootnoteReference"/>
          <w:noProof/>
        </w:rPr>
        <w:footnoteReference w:id="1"/>
      </w:r>
      <w:r>
        <w:rPr>
          <w:noProof/>
        </w:rPr>
        <w:t>, a Comissão negociou com o Governo da República de Cabo Verde (a seguir designada por «Cabo Verde») um novo protocolo do Acordo de Parceria no Domínio da Pesca entre a Comunidade Europeia e a República de Cabo Verde</w:t>
      </w:r>
      <w:r>
        <w:rPr>
          <w:rStyle w:val="FootnoteReference"/>
          <w:noProof/>
          <w:vertAlign w:val="baseline"/>
        </w:rPr>
        <w:t xml:space="preserve"> 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Na sequência dessas negociações, foi rubricado um novo protocolo em 12 de outubro de 2018. Este protocolo abrange um período de cinco anos a contar da data de início da sua aplicação provisória, ou seja, a contar da data da sua assinatura, como estipulado no seu artigo 15.º.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objetivo principal do novo protocolo consiste em proporcionar possibilidades de pesca aos navios da União nas águas de Cabo Verde, com base nos melhores pareceres científicos disponíveis e no respeito das recomendações da Comissão Internacional para a Conservação dos Tunídeos do Atlântico (CICTA). O novo protocolo tem em conta os resultados de uma avaliação do protocolo anterior (2014-2018) e uma apreciação prospetiva da oportunidade da celebração de um novo protocolo, ambas realizadas por peritos externos. O protocolo permitirá igualmente à União Europeia e à República de Cabo Verde colaborar mais estreitamente para promover a exploração responsável dos recursos haliêuticos nas águas de Cabo Verde e apoiar os esforços deste país para desenvolver a economia azul, no interesse de ambas as partes.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O protocolo prevê possibilidades de pesca nas seguintes categorias: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28 atuneiros cercadores congeladores;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27 palangreiros de superfície;</w:t>
      </w:r>
    </w:p>
    <w:p>
      <w:pPr>
        <w:pStyle w:val="Point0letter"/>
        <w:numPr>
          <w:ilvl w:val="1"/>
          <w:numId w:val="6"/>
        </w:numPr>
        <w:rPr>
          <w:noProof/>
        </w:rPr>
      </w:pPr>
      <w:r>
        <w:rPr>
          <w:noProof/>
        </w:rPr>
        <w:t>14 atuneiros com canas.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Convém estabelecer a chave de repartição das possibilidades de pesca entre os Estados-Membros.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spacing w:before="0" w:after="240"/>
        <w:rPr>
          <w:noProof/>
        </w:rPr>
      </w:pPr>
      <w:r>
        <w:rPr>
          <w:noProof/>
        </w:rPr>
        <w:t xml:space="preserve">A base jurídica escolhida é o Tratado sobre o Funcionamento da União Europeia, cujo artigo 43.º, n.º 3, estabelece que o Conselho adota, mediante proposta da Comissão, a repartição das possibilidades de pesca.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Subsidiariedade (no caso de competência não exclusiva)</w:t>
      </w:r>
    </w:p>
    <w:p>
      <w:pPr>
        <w:spacing w:before="0" w:after="240"/>
        <w:rPr>
          <w:noProof/>
        </w:rPr>
      </w:pPr>
      <w:r>
        <w:rPr>
          <w:noProof/>
        </w:rPr>
        <w:t xml:space="preserve">O domínio de ação é uma competência exclusiva da União Europeia. </w:t>
      </w:r>
    </w:p>
    <w:p>
      <w:pPr>
        <w:spacing w:before="0" w:after="240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Avaliações</w:t>
      </w:r>
      <w:r>
        <w:rPr>
          <w:i/>
          <w:noProof/>
        </w:rPr>
        <w:t xml:space="preserve"> ex post</w:t>
      </w:r>
      <w:r>
        <w:rPr>
          <w:noProof/>
        </w:rPr>
        <w:t>/balanços de qualidade da legislação existente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As partes interessadas foram consultadas no âmbito das avaliações </w:t>
      </w:r>
      <w:r>
        <w:rPr>
          <w:i/>
          <w:noProof/>
        </w:rPr>
        <w:t>ex post</w:t>
      </w:r>
      <w:r>
        <w:rPr>
          <w:noProof/>
        </w:rPr>
        <w:t xml:space="preserve"> e </w:t>
      </w:r>
      <w:r>
        <w:rPr>
          <w:i/>
          <w:noProof/>
        </w:rPr>
        <w:t>ex ante</w:t>
      </w:r>
      <w:r>
        <w:rPr>
          <w:noProof/>
        </w:rPr>
        <w:t xml:space="preserve"> de um eventual novo protocolo entre a União Europeia e a República de Cabo Verde. Os peritos dos Estados-Membros e do setor foram também consultados aquando de reuniões técnicas. As consultas levaram à conclusão de que a celebração de um novo protocolo do acordo no domínio da pesca seria benéfica para a União Europeia e a República de Cabo Verde.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 quadro da avaliação, foram consultados os Estados-Membros, os representantes do setor e organizações internacionais da sociedade civil, bem como a administração das pescas e representantes da sociedade civil de Cabo Verde. Realizaram-se também consultas no âmbito do Conselho Consultivo para a Frota de Longa Distância.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Obtenção e utilização de competências especializadas</w:t>
      </w:r>
    </w:p>
    <w:p>
      <w:pPr>
        <w:spacing w:before="0" w:after="240"/>
        <w:rPr>
          <w:noProof/>
        </w:rPr>
      </w:pPr>
      <w:r>
        <w:rPr>
          <w:noProof/>
        </w:rPr>
        <w:t xml:space="preserve">A Comissão recorreu a um consultor independente para as avaliações </w:t>
      </w:r>
      <w:r>
        <w:rPr>
          <w:i/>
          <w:noProof/>
        </w:rPr>
        <w:t>ex post</w:t>
      </w:r>
      <w:r>
        <w:rPr>
          <w:noProof/>
        </w:rPr>
        <w:t xml:space="preserve"> e </w:t>
      </w:r>
      <w:r>
        <w:rPr>
          <w:i/>
          <w:noProof/>
        </w:rPr>
        <w:t>ex ante</w:t>
      </w:r>
      <w:r>
        <w:rPr>
          <w:noProof/>
        </w:rPr>
        <w:t xml:space="preserve">, em conformidade com o disposto no artigo 31.º, n.º 10, do regulamento relativo à política comum das pescas.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spacing w:before="0" w:after="240"/>
        <w:rPr>
          <w:noProof/>
        </w:rPr>
      </w:pPr>
      <w:r>
        <w:rPr>
          <w:noProof/>
        </w:rPr>
        <w:t>O projeto de regulamento não tem implicação financeira para 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Planos de execução e mecanismos de acompanhamento, avaliação e prestação de informações</w:t>
      </w:r>
    </w:p>
    <w:p>
      <w:pPr>
        <w:spacing w:before="0" w:after="240"/>
        <w:rPr>
          <w:noProof/>
        </w:rPr>
      </w:pPr>
      <w:r>
        <w:rPr>
          <w:noProof/>
        </w:rPr>
        <w:t xml:space="preserve">O presente procedimento é iniciado em conjunto com os procedimentos respeitantes à decisão do Conselho relativa à assinatura, em nome da União, do protocolo do acordo de parceria no domínio da pesca entre a Comunidade Europeia e a República de Cabo Verde e à decisão do Conselho relativa à sua celebração. O presente regulamento deve ser aplicado a partir do momento em que as atividades de pesca sejam possíveis por força do acordo, isto é, na data de aplicação provisória do protocolo.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2019/0072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REGULAMENTO DO CONSELHO</w:t>
      </w:r>
    </w:p>
    <w:p>
      <w:pPr>
        <w:pStyle w:val="Titreobjet"/>
        <w:rPr>
          <w:noProof/>
        </w:rPr>
      </w:pPr>
      <w:r>
        <w:rPr>
          <w:noProof/>
        </w:rPr>
        <w:t>relativo à repartição das possibilidades de pesca a título do Protocolo de Aplicação do Acordo de Parceria no Domínio da Pesca entre a Comunidade Europeia e a República de Cabo Verde (2019-2024)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</w:t>
      </w:r>
    </w:p>
    <w:p>
      <w:pPr>
        <w:rPr>
          <w:noProof/>
        </w:rPr>
      </w:pPr>
      <w:r>
        <w:rPr>
          <w:noProof/>
        </w:rPr>
        <w:t>n.º 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Em 19 de dezembro de 2006, o Conselho adotou o Regulamento (CE) n.º 2027/2006</w:t>
      </w:r>
      <w:r>
        <w:rPr>
          <w:rStyle w:val="FootnoteReference"/>
          <w:noProof/>
        </w:rPr>
        <w:footnoteReference w:id="3"/>
      </w:r>
      <w:r>
        <w:rPr>
          <w:noProof/>
        </w:rPr>
        <w:t>, relativo à celebração do Acordo de Parceria no domínio da pesca entre a Comunidade Europeia e a República de Cabo Verde (a seguir designado por «acordo»), que entrou em vigor em 30 de março de 2007 e que tem sido tacitamente renovado, encontrando-se ainda em vigor.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último protocolo do acordo caducou em 22 de dezembro de 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 Comissão negociou, em nome da União Europeia, um novo protocolo de aplicação do acordo (a seguir designado por «protocolo»). Na sequência das negociações, o protocolo foi rubricado em 12 de outubro de 2018.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Em conformidade com a Decisão 2018/…/UE do Conselho</w:t>
      </w:r>
      <w:r>
        <w:rPr>
          <w:rStyle w:val="FootnoteReference"/>
          <w:noProof/>
        </w:rPr>
        <w:footnoteReference w:id="4"/>
      </w:r>
      <w:r>
        <w:rPr>
          <w:noProof/>
        </w:rPr>
        <w:t>, foi assinado em… [</w:t>
      </w:r>
      <w:r>
        <w:rPr>
          <w:i/>
          <w:noProof/>
        </w:rPr>
        <w:t>inserir a data de assinatura</w:t>
      </w:r>
      <w:r>
        <w:rPr>
          <w:noProof/>
        </w:rPr>
        <w:t>] o Protocolo de Aplicação do Acordo de Parceria no Domínio da Pesca entre a Comunidade Europeia e a República de Cabo Verde.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Importa repartir pelos Estados-Membros as possibilidades de pesca no período de aplicação do protocolo.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O protocolo deve ser aplicado provisoriamente a partir da data da sua assinatura para garantir um início expedito das atividades de pesca dos navios da União. Por conseguinte, convém estabelecer que o presente regulamento se aplicará igualmente a partir da mesma data,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lastRenderedPageBreak/>
        <w:t>ADOTOU O PRESENTE REGULAMENTO: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As possibilidades de pesca estabelecidas ao abrigo do Protocolo de Aplicação do Acordo de Parceria no Domínio da Pesca entre a Comunidade Europeia e a República de Cabo Verde (2019-2024) (a seguir designado por «protocolo») são repartidas pelos Estados-Membros do seguinte modo: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Atuneiros cercadores:</w:t>
      </w:r>
    </w:p>
    <w:p>
      <w:pPr>
        <w:rPr>
          <w:noProof/>
        </w:rPr>
      </w:pPr>
      <w:r>
        <w:rPr>
          <w:noProof/>
        </w:rPr>
        <w:t>Espanha:</w:t>
      </w:r>
      <w:r>
        <w:rPr>
          <w:noProof/>
        </w:rPr>
        <w:tab/>
      </w:r>
      <w:r>
        <w:rPr>
          <w:noProof/>
        </w:rPr>
        <w:tab/>
        <w:t>[16]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>França:</w:t>
      </w:r>
      <w:r>
        <w:rPr>
          <w:noProof/>
        </w:rPr>
        <w:tab/>
      </w:r>
      <w:r>
        <w:rPr>
          <w:noProof/>
        </w:rPr>
        <w:tab/>
        <w:t>[12]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Palangreiros de superfície:</w:t>
      </w:r>
    </w:p>
    <w:p>
      <w:pPr>
        <w:rPr>
          <w:noProof/>
        </w:rPr>
      </w:pPr>
      <w:r>
        <w:rPr>
          <w:noProof/>
        </w:rPr>
        <w:t>Espanha:</w:t>
      </w:r>
      <w:r>
        <w:rPr>
          <w:noProof/>
        </w:rPr>
        <w:tab/>
      </w:r>
      <w:r>
        <w:rPr>
          <w:noProof/>
        </w:rPr>
        <w:tab/>
        <w:t>[21]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>Portugal:</w:t>
      </w:r>
      <w:r>
        <w:rPr>
          <w:noProof/>
        </w:rPr>
        <w:tab/>
      </w:r>
      <w:r>
        <w:rPr>
          <w:noProof/>
        </w:rPr>
        <w:tab/>
        <w:t>[6]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Atuneiros com canas:</w:t>
      </w:r>
    </w:p>
    <w:p>
      <w:pPr>
        <w:rPr>
          <w:noProof/>
        </w:rPr>
      </w:pPr>
      <w:r>
        <w:rPr>
          <w:noProof/>
        </w:rPr>
        <w:t>Espanha:</w:t>
      </w:r>
      <w:r>
        <w:rPr>
          <w:noProof/>
        </w:rPr>
        <w:tab/>
      </w:r>
      <w:r>
        <w:rPr>
          <w:noProof/>
        </w:rPr>
        <w:tab/>
        <w:t>[8]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 xml:space="preserve">França: </w:t>
      </w:r>
      <w:r>
        <w:rPr>
          <w:noProof/>
        </w:rPr>
        <w:tab/>
      </w:r>
      <w:r>
        <w:rPr>
          <w:noProof/>
        </w:rPr>
        <w:tab/>
        <w:t>[4]</w:t>
      </w:r>
      <w:r>
        <w:rPr>
          <w:noProof/>
        </w:rPr>
        <w:tab/>
        <w:t>navios</w:t>
      </w:r>
    </w:p>
    <w:p>
      <w:pPr>
        <w:rPr>
          <w:noProof/>
        </w:rPr>
      </w:pPr>
      <w:r>
        <w:rPr>
          <w:noProof/>
        </w:rPr>
        <w:t>Portugal:</w:t>
      </w:r>
      <w:r>
        <w:rPr>
          <w:noProof/>
        </w:rPr>
        <w:tab/>
      </w:r>
      <w:r>
        <w:rPr>
          <w:noProof/>
        </w:rPr>
        <w:tab/>
        <w:t>[2]</w:t>
      </w:r>
      <w:r>
        <w:rPr>
          <w:noProof/>
        </w:rPr>
        <w:tab/>
        <w:t>navios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 xml:space="preserve">O presente regulamento entra em vigor no dia seguinte ao da sua publicação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O presente regulamento é aplicável a partir da data de aplicação do protocolo.</w:t>
      </w:r>
    </w:p>
    <w:p>
      <w:pPr>
        <w:rPr>
          <w:noProof/>
        </w:rPr>
      </w:pPr>
      <w:r>
        <w:rPr>
          <w:noProof/>
        </w:rPr>
        <w:t>O presente regulamento é obrigatório em todos os seus elementos e diretamente aplicável em todos os Estados-Membros.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Adotadas no Conselho Justiça e Assuntos Internos de 4 e 5 de junho de 2018.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414 de 30.12.2006, p. 3.</w:t>
      </w:r>
    </w:p>
  </w:footnote>
  <w:footnote w:id="3">
    <w:p>
      <w:pPr>
        <w:pStyle w:val="Footno"/>
      </w:pPr>
      <w:r>
        <w:rPr>
          <w:rStyle w:val="FootnoteReference"/>
        </w:rPr>
        <w:footnoteRef/>
      </w:r>
      <w:r>
        <w:tab/>
        <w:t>Regulamento (CE) n.º 2027/2006 do Conselho, de 19 de dezembro de 2006, relativo à celebração do Acordo de Parceria no domínio da pesca entre a Comunidade Europeia e a República de Cabo Verde (JO L 414 de 30.12.2006, p. 1).</w:t>
      </w:r>
    </w:p>
  </w:footnote>
  <w:footnote w:id="4">
    <w:p>
      <w:pPr>
        <w:pStyle w:val="FootnoteText"/>
        <w:ind w:left="0" w:firstLine="0"/>
        <w:rPr>
          <w:lang w:val="nb-NO"/>
        </w:rPr>
      </w:pPr>
      <w:r>
        <w:rPr>
          <w:rStyle w:val="FootnoteReference"/>
        </w:rPr>
        <w:footnoteRef/>
      </w:r>
      <w:r>
        <w:tab/>
        <w:t>Decisão … (JO L ... de ..., p…)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084B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AE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1ADA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A6279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28A5A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C433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9E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1E6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3 14:32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9B7EE5A-0C23-424A-B65A-89C60D961742"/>
    <w:docVar w:name="LW_COVERPAGE_TYPE" w:val="1"/>
    <w:docVar w:name="LW_CROSSREFERENCE" w:val="&lt;UNUSED&gt;"/>
    <w:docVar w:name="LW_DocType" w:val="COM"/>
    <w:docVar w:name="LW_EMISSION" w:val="14.3.2019"/>
    <w:docVar w:name="LW_EMISSION_ISODATE" w:val="2019-03-14"/>
    <w:docVar w:name="LW_EMISSION_LOCATION" w:val="BRX"/>
    <w:docVar w:name="LW_EMISSION_PREFIX" w:val="Bruxela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19"/>
    <w:docVar w:name="LW_REF.INST.NEW" w:val="COM"/>
    <w:docVar w:name="LW_REF.INST.NEW_ADOPTED" w:val="final"/>
    <w:docVar w:name="LW_REF.INST.NEW_TEXT" w:val="(2019) 13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o à repartição das possibilidades de pesca a título do Protocolo de Aplicação do Acordo de Parceria no Domínio da Pesca entre a Comunidade Europeia e a República de Cabo Verde (2019-2024)_x000b_"/>
    <w:docVar w:name="LW_TYPE.DOC.CP" w:val="REGULAMENT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">
    <w:name w:val="Footno"/>
    <w:basedOn w:val="FootnoteText"/>
    <w:pPr>
      <w:ind w:left="0" w:firstLin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2D1DEC-0B9A-4072-995A-FAD6882E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1047</Words>
  <Characters>5585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2018-12-14T14:47:00Z</cp:lastPrinted>
  <dcterms:created xsi:type="dcterms:W3CDTF">2019-02-15T15:36:00Z</dcterms:created>
  <dcterms:modified xsi:type="dcterms:W3CDTF">2019-03-13T13:32:00Z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