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46C4CB-0769-4E8F-8352-55B5AF0E59C7"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Gründe und Ziele des Vorschlags</w:t>
      </w:r>
    </w:p>
    <w:p>
      <w:pPr>
        <w:pBdr>
          <w:top w:val="nil"/>
          <w:left w:val="nil"/>
          <w:bottom w:val="nil"/>
          <w:right w:val="nil"/>
          <w:between w:val="nil"/>
          <w:bar w:val="nil"/>
        </w:pBdr>
        <w:spacing w:before="0" w:after="240"/>
        <w:rPr>
          <w:rFonts w:eastAsia="Arial Unicode MS"/>
          <w:noProof/>
        </w:rPr>
      </w:pPr>
      <w:r>
        <w:rPr>
          <w:noProof/>
        </w:rPr>
        <w:t>Auf der Grundlage der einschlägigen Verhandlungsrichtlinien</w:t>
      </w:r>
      <w:r>
        <w:rPr>
          <w:rStyle w:val="FootnoteReference"/>
          <w:noProof/>
        </w:rPr>
        <w:footnoteReference w:id="1"/>
      </w:r>
      <w:r>
        <w:rPr>
          <w:noProof/>
        </w:rPr>
        <w:t xml:space="preserve"> führte die Kommission mit der Regierung der Republik Cabo Verde (im Folgenden „Cabo Verde“) Verhandlungen über den Abschluss eines neuen Protokolls zum partnerschaftlichen Fischereiabkommen zwischen der Europäischen Gemeinschaft und der Republik Cabo Verde</w:t>
      </w:r>
      <w:r>
        <w:rPr>
          <w:rStyle w:val="FootnoteReference"/>
          <w:noProof/>
          <w:vertAlign w:val="baseline"/>
        </w:rPr>
        <w:t xml:space="preserve"> </w:t>
      </w:r>
      <w:r>
        <w:rPr>
          <w:rStyle w:val="FootnoteReference"/>
          <w:noProof/>
        </w:rPr>
        <w:footnoteReference w:id="2"/>
      </w:r>
      <w:r>
        <w:rPr>
          <w:noProof/>
        </w:rPr>
        <w:t xml:space="preserve">. Nach Abschluss der Verhandlungen wurde am 12. Oktober 2018 ein neues Protokoll paraphiert. Das Protokoll hat eine Laufzeit von fünf Jahren ab dem Datum seiner vorläufigen Anwendung, d. h. ab dem Zeitpunkt der Unterzeichnung gemäß Artikel 15. </w:t>
      </w:r>
    </w:p>
    <w:p>
      <w:pPr>
        <w:pBdr>
          <w:top w:val="nil"/>
          <w:left w:val="nil"/>
          <w:bottom w:val="nil"/>
          <w:right w:val="nil"/>
          <w:between w:val="nil"/>
          <w:bar w:val="nil"/>
        </w:pBdr>
        <w:spacing w:before="0" w:after="240"/>
        <w:rPr>
          <w:rFonts w:eastAsia="Arial Unicode MS"/>
          <w:noProof/>
        </w:rPr>
      </w:pPr>
      <w:r>
        <w:rPr>
          <w:noProof/>
        </w:rPr>
        <w:t>Hauptziel des neuen Protokolls ist es, Unionsschiffen auf der Grundlage der besten verfügbaren wissenschaftlichen Gutachten und unter Beachtung der Empfehlungen der Internationalen Kommission für die Erhaltung der Thunfischbestände im Atlantik (ICCAT) Fangmöglichkeiten in den kapverdischen Gewässern zu eröffnen. Dieses neue Protokoll berücksichtigt die Ergebnisse einer Bewertung des letzten Protokolls (2014–2018) und einer vorausschauenden Bewertung, ob der Abschluss eines neuen Protokolls sinnvoll ist. Beide wurden von externen Sachverständigen durchgeführt. Das Protokoll ermöglicht der Europäischen Union und der Republik Cabo Verde darüber hinaus eine intensivere Zusammenarbeit zur Förderung einer verantwortungsvollen Nutzung der Fischereiressourcen in den kapverdischen Gewässern sowie zur Unterstützung der Bemühungen von Cabo Verde zur Entwicklung seiner blauen Wirtschaft im Interesse beider Parteien.</w:t>
      </w:r>
    </w:p>
    <w:p>
      <w:pPr>
        <w:pBdr>
          <w:top w:val="nil"/>
          <w:left w:val="nil"/>
          <w:bottom w:val="nil"/>
          <w:right w:val="nil"/>
          <w:between w:val="nil"/>
          <w:bar w:val="nil"/>
        </w:pBdr>
        <w:spacing w:before="0"/>
        <w:rPr>
          <w:noProof/>
        </w:rPr>
      </w:pPr>
      <w:r>
        <w:rPr>
          <w:noProof/>
        </w:rPr>
        <w:t>Im Protokoll sind Fangmöglichkeiten für folgende Fischereifahrzeuge vorgesehen:</w:t>
      </w:r>
    </w:p>
    <w:p>
      <w:pPr>
        <w:pStyle w:val="Point0"/>
        <w:rPr>
          <w:noProof/>
        </w:rPr>
      </w:pPr>
      <w:r>
        <w:rPr>
          <w:noProof/>
        </w:rPr>
        <w:t>a)</w:t>
      </w:r>
      <w:r>
        <w:rPr>
          <w:noProof/>
        </w:rPr>
        <w:tab/>
        <w:t>28 Thunfischwadenfänger/Froster;</w:t>
      </w:r>
    </w:p>
    <w:p>
      <w:pPr>
        <w:pStyle w:val="Point0"/>
        <w:rPr>
          <w:noProof/>
        </w:rPr>
      </w:pPr>
      <w:r>
        <w:rPr>
          <w:noProof/>
        </w:rPr>
        <w:t>b)</w:t>
      </w:r>
      <w:r>
        <w:rPr>
          <w:noProof/>
        </w:rPr>
        <w:tab/>
        <w:t>27 Oberflächen-Langleiner;</w:t>
      </w:r>
    </w:p>
    <w:p>
      <w:pPr>
        <w:pStyle w:val="Point0"/>
        <w:rPr>
          <w:noProof/>
        </w:rPr>
      </w:pPr>
      <w:r>
        <w:rPr>
          <w:noProof/>
        </w:rPr>
        <w:t>c)</w:t>
      </w:r>
      <w:r>
        <w:rPr>
          <w:noProof/>
        </w:rPr>
        <w:tab/>
        <w:t>14 Angel-Thunfischfänger.</w:t>
      </w:r>
    </w:p>
    <w:p>
      <w:pPr>
        <w:pBdr>
          <w:top w:val="nil"/>
          <w:left w:val="nil"/>
          <w:bottom w:val="nil"/>
          <w:right w:val="nil"/>
          <w:between w:val="nil"/>
          <w:bar w:val="nil"/>
        </w:pBdr>
        <w:spacing w:before="0" w:after="240"/>
        <w:rPr>
          <w:noProof/>
        </w:rPr>
      </w:pPr>
      <w:r>
        <w:rPr>
          <w:noProof/>
        </w:rPr>
        <w:t>Die Aufteilung der Fangmöglichkeiten auf die Mitgliedstaaten sollte festgelegt werden.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spacing w:before="0" w:after="240"/>
        <w:rPr>
          <w:noProof/>
        </w:rPr>
      </w:pPr>
      <w:r>
        <w:rPr>
          <w:noProof/>
        </w:rPr>
        <w:t xml:space="preserve">Rechtsgrundlage ist der Vertrag über die Arbeitsweise der Europäischen Union, dessen Artikel 43 Absatz 3 vorsieht, dass der Rat auf Vorschlag der Kommission die Aufteilung der Fangmöglichkeiten beschließt. </w:t>
      </w:r>
    </w:p>
    <w:p>
      <w:pPr>
        <w:pStyle w:val="ManualHeading2"/>
        <w:rPr>
          <w:rFonts w:eastAsia="Arial Unicode MS"/>
          <w:noProof/>
          <w:u w:color="000000"/>
          <w:bdr w:val="nil"/>
        </w:rPr>
      </w:pPr>
      <w:r>
        <w:rPr>
          <w:noProof/>
        </w:rPr>
        <w:t>•</w:t>
      </w:r>
      <w:r>
        <w:rPr>
          <w:noProof/>
        </w:rPr>
        <w:tab/>
        <w:t>Subsidiarität (bei nicht ausschließlicher Zuständigkeit)</w:t>
      </w:r>
    </w:p>
    <w:p>
      <w:pPr>
        <w:spacing w:before="0" w:after="240"/>
        <w:rPr>
          <w:noProof/>
        </w:rPr>
      </w:pPr>
      <w:r>
        <w:rPr>
          <w:noProof/>
        </w:rPr>
        <w:t xml:space="preserve">Der Politikbereich fällt in die ausschließliche Zuständigkeit der Europäischen Union. </w:t>
      </w:r>
    </w:p>
    <w:p>
      <w:pPr>
        <w:spacing w:before="0" w:after="240"/>
        <w:rPr>
          <w:noProof/>
        </w:rPr>
      </w:pP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noProof/>
        </w:rPr>
      </w:pPr>
      <w:r>
        <w:rPr>
          <w:noProof/>
        </w:rPr>
        <w:t>Im Laufe der Ex-post- und Ex-ante-Bewertungen wurden die Interessenträger zu einem möglichen neuen Protokoll zwischen der Europäischen Union und der Republik Cabo Verde konsultiert. Bei Fachsitzungen wurden auch die Sachverständigen der Mitgliedstaaten und des Fischereisektors angehört. Aus diesen Konsultationen ergab sich, dass es sowohl für die Europäische Union als auch für die Republik Cabo Verde vorteilhaft wäre, ein neues Protokoll zu dem partnerschaftlichen Fischereiabkommen abzuschließen.</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Im Zuge der Bewertung wurden die Mitgliedstaaten, Vertreter der Industrie, internationale Organisationen der Zivilgesellschaft sowie die Fischereiverwaltung und Vertreter der kapverdischen Zivilgesellschaft konsultiert. Auch im Rahmen des Beirats für Fernfischerei fanden Konsultationen statt.</w:t>
      </w:r>
    </w:p>
    <w:p>
      <w:pPr>
        <w:pStyle w:val="ManualHeading2"/>
        <w:rPr>
          <w:rFonts w:eastAsia="Arial Unicode MS"/>
          <w:noProof/>
          <w:u w:color="000000"/>
          <w:bdr w:val="nil"/>
        </w:rPr>
      </w:pPr>
      <w:r>
        <w:rPr>
          <w:noProof/>
        </w:rPr>
        <w:t>•</w:t>
      </w:r>
      <w:r>
        <w:rPr>
          <w:noProof/>
        </w:rPr>
        <w:tab/>
        <w:t>Einholung und Nutzung von Expertenwissen</w:t>
      </w:r>
    </w:p>
    <w:p>
      <w:pPr>
        <w:spacing w:before="0" w:after="240"/>
        <w:rPr>
          <w:noProof/>
        </w:rPr>
      </w:pPr>
      <w:r>
        <w:rPr>
          <w:noProof/>
        </w:rPr>
        <w:t xml:space="preserve">Die Kommission hat gemäß Artikel 31 Absatz 10 der Verordnung über die Gemeinsame Fischereipolitik für die Ex-post- und Ex-ante-Bewertungen einen unabhängigen Berater eingeschaltet. </w:t>
      </w:r>
    </w:p>
    <w:p>
      <w:pPr>
        <w:pStyle w:val="ManualHeading1"/>
        <w:rPr>
          <w:noProof/>
        </w:rPr>
      </w:pPr>
      <w:r>
        <w:rPr>
          <w:noProof/>
        </w:rPr>
        <w:t>4.</w:t>
      </w:r>
      <w:r>
        <w:rPr>
          <w:noProof/>
        </w:rPr>
        <w:tab/>
        <w:t>AUSWIRKUNGEN AUF DEN HAUSHALT</w:t>
      </w:r>
    </w:p>
    <w:p>
      <w:pPr>
        <w:spacing w:before="0" w:after="240"/>
        <w:rPr>
          <w:noProof/>
        </w:rPr>
      </w:pPr>
      <w:r>
        <w:rPr>
          <w:noProof/>
        </w:rPr>
        <w:t>Der Verordnungsentwurf hat keine Auswirkungen auf den Unionshaushalt.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Überwachungs-, Evaluierungs- und Berichterstattungsmodalitäten</w:t>
      </w:r>
    </w:p>
    <w:p>
      <w:pPr>
        <w:spacing w:before="0" w:after="240"/>
        <w:rPr>
          <w:noProof/>
        </w:rPr>
      </w:pPr>
      <w:r>
        <w:rPr>
          <w:noProof/>
        </w:rPr>
        <w:t xml:space="preserve">Dieses Verfahren wird parallel zu den Verfahren in Zusammenhang mit dem Beschluss des Rates über die Unterzeichnung des Protokolls zum partnerschaftlichen Fischereiabkommen zwischen der Europäischen Gemeinschaft und der Republik Cabo Verde im Namen der Union und dem Beschluss des Rates über den Abschluss des Protokolls eingeleitet. Diese Verordnung muss in Kraft treten, sobald die Fangtätigkeiten im Rahmen des Abkommens möglich sind, d. h. ab dem Datum der vorläufigen Anwendung des Protokolls.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Vorschlag für eine</w:t>
      </w:r>
    </w:p>
    <w:p>
      <w:pPr>
        <w:pStyle w:val="Typedudocument"/>
        <w:rPr>
          <w:noProof/>
        </w:rPr>
      </w:pPr>
      <w:r>
        <w:rPr>
          <w:noProof/>
        </w:rPr>
        <w:t>VERORDNUNG DES RATES</w:t>
      </w:r>
    </w:p>
    <w:p>
      <w:pPr>
        <w:pStyle w:val="Titreobjet"/>
        <w:rPr>
          <w:noProof/>
        </w:rPr>
      </w:pPr>
      <w:r>
        <w:rPr>
          <w:noProof/>
        </w:rPr>
        <w:t>über die Aufteilung der Fangmöglichkeiten im Rahmen des Protokolls zur Umsetzung des partnerschaftlichen Fischereiabkommens zwischen der Europäischen Gemeinschaft und der Republik Cabo Verde (2019–2024)</w:t>
      </w:r>
      <w:r>
        <w:rPr>
          <w:noProof/>
        </w:rPr>
        <w:br/>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43</w:t>
      </w:r>
    </w:p>
    <w:p>
      <w:pPr>
        <w:rPr>
          <w:noProof/>
        </w:rPr>
      </w:pPr>
      <w:r>
        <w:rPr>
          <w:noProof/>
        </w:rPr>
        <w:t>Absatz 3,</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Am 19. Dezember 2006 verabschiedete der Rat die Verordnung (EG) Nr. 2027/2006</w:t>
      </w:r>
      <w:r>
        <w:rPr>
          <w:rStyle w:val="FootnoteReference"/>
          <w:noProof/>
        </w:rPr>
        <w:footnoteReference w:id="3"/>
      </w:r>
      <w:r>
        <w:rPr>
          <w:noProof/>
        </w:rPr>
        <w:t xml:space="preserve"> über den Abschluss eines partnerschaftlichen Fischereiabkommens zwischen der Europäischen Gemeinschaft und der Republik Cabo Verde (im Folgenden das „Abkommen“), das am 30. März 2007 in Kraft trat, in der Folge stillschweigend verlängert wurde und noch immer in Kraft ist.</w:t>
      </w:r>
    </w:p>
    <w:p>
      <w:pPr>
        <w:pStyle w:val="ManualConsidrant"/>
        <w:rPr>
          <w:noProof/>
        </w:rPr>
      </w:pPr>
      <w:r>
        <w:t>(2)</w:t>
      </w:r>
      <w:r>
        <w:tab/>
      </w:r>
      <w:r>
        <w:rPr>
          <w:noProof/>
        </w:rPr>
        <w:t>Das letzte Protokoll im Rahmen des Abkommens ist am 22. Dezember 2018 ausgelaufen.</w:t>
      </w:r>
    </w:p>
    <w:p>
      <w:pPr>
        <w:pStyle w:val="ManualConsidrant"/>
        <w:rPr>
          <w:noProof/>
        </w:rPr>
      </w:pPr>
      <w:r>
        <w:t>(3)</w:t>
      </w:r>
      <w:r>
        <w:tab/>
      </w:r>
      <w:r>
        <w:rPr>
          <w:noProof/>
        </w:rPr>
        <w:t xml:space="preserve">Die Kommission hat im Namen der Europäischen Union ein neues Protokoll zur Umsetzung des Abkommens (im Folgenden das „Protokoll“) ausgehandelt. Als Ergebnis dieser Verhandlungen wurde das Protokoll am 12. Oktober 2018 paraphiert. </w:t>
      </w:r>
    </w:p>
    <w:p>
      <w:pPr>
        <w:pStyle w:val="ManualConsidrant"/>
        <w:rPr>
          <w:noProof/>
        </w:rPr>
      </w:pPr>
      <w:r>
        <w:t>(4)</w:t>
      </w:r>
      <w:r>
        <w:tab/>
      </w:r>
      <w:r>
        <w:rPr>
          <w:noProof/>
        </w:rPr>
        <w:t>Gemäß dem Beschluss 2018/.../EU des Rates</w:t>
      </w:r>
      <w:r>
        <w:rPr>
          <w:rStyle w:val="FootnoteReference"/>
          <w:noProof/>
        </w:rPr>
        <w:footnoteReference w:id="4"/>
      </w:r>
      <w:r>
        <w:rPr>
          <w:noProof/>
        </w:rPr>
        <w:t xml:space="preserve"> wurde das Protokoll zur Umsetzung des Fischereiabkommens zwischen der Europäischen Gemeinschaft und der Republik Cabo Verde am [</w:t>
      </w:r>
      <w:r>
        <w:rPr>
          <w:i/>
          <w:noProof/>
        </w:rPr>
        <w:t>Datum der Unterzeichnung einfügen</w:t>
      </w:r>
      <w:r>
        <w:rPr>
          <w:noProof/>
        </w:rPr>
        <w:t>] unterzeichnet.</w:t>
      </w:r>
    </w:p>
    <w:p>
      <w:pPr>
        <w:pStyle w:val="ManualConsidrant"/>
        <w:rPr>
          <w:noProof/>
        </w:rPr>
      </w:pPr>
      <w:r>
        <w:t>(5)</w:t>
      </w:r>
      <w:r>
        <w:tab/>
      </w:r>
      <w:r>
        <w:rPr>
          <w:noProof/>
        </w:rPr>
        <w:t>Die in dem Protokoll vorgesehenen Fangmöglichkeiten sind für die gesamte Geltungsdauer des Protokolls auf die Mitgliedstaaten aufzuteilen.</w:t>
      </w:r>
    </w:p>
    <w:p>
      <w:pPr>
        <w:pStyle w:val="ManualConsidrant"/>
        <w:rPr>
          <w:noProof/>
        </w:rPr>
      </w:pPr>
      <w:r>
        <w:t>(6)</w:t>
      </w:r>
      <w:r>
        <w:tab/>
      </w:r>
      <w:r>
        <w:rPr>
          <w:noProof/>
        </w:rPr>
        <w:t>Das Protokoll gilt vorläufig ab dem Datum seiner Unterzeichnung, damit die Unionsschiffe rasch ihre Fangtätigkeit aufnehmen können. Die vorliegende Verordnung sollte daher ab demselben Datum gelten —</w:t>
      </w:r>
    </w:p>
    <w:p>
      <w:pPr>
        <w:rPr>
          <w:noProof/>
        </w:rPr>
      </w:pPr>
    </w:p>
    <w:p>
      <w:pPr>
        <w:pStyle w:val="Formuledadoption"/>
        <w:rPr>
          <w:noProof/>
        </w:rPr>
      </w:pPr>
      <w:r>
        <w:rPr>
          <w:noProof/>
        </w:rPr>
        <w:t>HAT FOLGENDE VERORDNUNG ERLASSEN:</w:t>
      </w:r>
    </w:p>
    <w:p>
      <w:pPr>
        <w:pStyle w:val="Titrearticle"/>
        <w:rPr>
          <w:noProof/>
        </w:rPr>
      </w:pPr>
      <w:r>
        <w:rPr>
          <w:noProof/>
        </w:rPr>
        <w:t>Artikel 1</w:t>
      </w:r>
    </w:p>
    <w:p>
      <w:pPr>
        <w:rPr>
          <w:noProof/>
        </w:rPr>
      </w:pPr>
      <w:r>
        <w:rPr>
          <w:noProof/>
        </w:rPr>
        <w:t>1.</w:t>
      </w:r>
      <w:r>
        <w:rPr>
          <w:noProof/>
        </w:rPr>
        <w:tab/>
        <w:t>Die Fangmöglichkeiten gemäß dem Protokoll zur Umsetzung des partnerschaftlichen Fischereiabkommens zwischen der Europäischen Gemeinschaft und der Republik Cabo Verde (2019–2024) (im Folgenden das „Protokoll“) werden wie folgt auf die Mitgliedstaaten aufgeteilt:</w:t>
      </w:r>
    </w:p>
    <w:p>
      <w:pPr>
        <w:rPr>
          <w:noProof/>
        </w:rPr>
      </w:pPr>
      <w:r>
        <w:rPr>
          <w:noProof/>
        </w:rPr>
        <w:t>a)</w:t>
      </w:r>
      <w:r>
        <w:rPr>
          <w:noProof/>
        </w:rPr>
        <w:tab/>
        <w:t>Thunfischwadenfänger:</w:t>
      </w:r>
    </w:p>
    <w:p>
      <w:pPr>
        <w:rPr>
          <w:noProof/>
        </w:rPr>
      </w:pPr>
      <w:r>
        <w:rPr>
          <w:noProof/>
        </w:rPr>
        <w:t>Spanien:</w:t>
      </w:r>
      <w:r>
        <w:rPr>
          <w:noProof/>
        </w:rPr>
        <w:tab/>
      </w:r>
      <w:r>
        <w:rPr>
          <w:noProof/>
        </w:rPr>
        <w:tab/>
        <w:t>[16]</w:t>
      </w:r>
      <w:r>
        <w:rPr>
          <w:noProof/>
        </w:rPr>
        <w:tab/>
        <w:t>Schiffe</w:t>
      </w:r>
    </w:p>
    <w:p>
      <w:pPr>
        <w:rPr>
          <w:noProof/>
        </w:rPr>
      </w:pPr>
      <w:r>
        <w:rPr>
          <w:noProof/>
        </w:rPr>
        <w:t xml:space="preserve">Frankreich:   </w:t>
      </w:r>
      <w:r>
        <w:rPr>
          <w:noProof/>
        </w:rPr>
        <w:tab/>
      </w:r>
      <w:r>
        <w:rPr>
          <w:noProof/>
        </w:rPr>
        <w:tab/>
        <w:t>[12]</w:t>
      </w:r>
      <w:r>
        <w:rPr>
          <w:noProof/>
        </w:rPr>
        <w:tab/>
        <w:t>Schiffe</w:t>
      </w:r>
    </w:p>
    <w:p>
      <w:pPr>
        <w:rPr>
          <w:noProof/>
        </w:rPr>
      </w:pPr>
      <w:r>
        <w:rPr>
          <w:noProof/>
        </w:rPr>
        <w:t>b)</w:t>
      </w:r>
      <w:r>
        <w:rPr>
          <w:noProof/>
        </w:rPr>
        <w:tab/>
        <w:t>Oberflächen-Langleiner:</w:t>
      </w:r>
    </w:p>
    <w:p>
      <w:pPr>
        <w:rPr>
          <w:noProof/>
        </w:rPr>
      </w:pPr>
      <w:r>
        <w:rPr>
          <w:noProof/>
        </w:rPr>
        <w:t>Spanien:</w:t>
      </w:r>
      <w:r>
        <w:rPr>
          <w:noProof/>
        </w:rPr>
        <w:tab/>
      </w:r>
      <w:r>
        <w:rPr>
          <w:noProof/>
        </w:rPr>
        <w:tab/>
        <w:t>[21]</w:t>
      </w:r>
      <w:r>
        <w:rPr>
          <w:noProof/>
        </w:rPr>
        <w:tab/>
        <w:t>Schiffe</w:t>
      </w:r>
    </w:p>
    <w:p>
      <w:pPr>
        <w:rPr>
          <w:noProof/>
        </w:rPr>
      </w:pPr>
      <w:r>
        <w:rPr>
          <w:noProof/>
        </w:rPr>
        <w:t>Portugal:</w:t>
      </w:r>
      <w:r>
        <w:rPr>
          <w:noProof/>
        </w:rPr>
        <w:tab/>
      </w:r>
      <w:r>
        <w:rPr>
          <w:noProof/>
        </w:rPr>
        <w:tab/>
        <w:t>[6]</w:t>
      </w:r>
      <w:r>
        <w:rPr>
          <w:noProof/>
        </w:rPr>
        <w:tab/>
        <w:t>Schiffe</w:t>
      </w:r>
    </w:p>
    <w:p>
      <w:pPr>
        <w:rPr>
          <w:noProof/>
        </w:rPr>
      </w:pPr>
      <w:r>
        <w:rPr>
          <w:noProof/>
        </w:rPr>
        <w:t>c)</w:t>
      </w:r>
      <w:r>
        <w:rPr>
          <w:noProof/>
        </w:rPr>
        <w:tab/>
        <w:t>Angel-Thunfischfänger:</w:t>
      </w:r>
    </w:p>
    <w:p>
      <w:pPr>
        <w:rPr>
          <w:noProof/>
        </w:rPr>
      </w:pPr>
      <w:r>
        <w:rPr>
          <w:noProof/>
        </w:rPr>
        <w:t>Spanien</w:t>
      </w:r>
      <w:r>
        <w:rPr>
          <w:noProof/>
        </w:rPr>
        <w:tab/>
      </w:r>
      <w:r>
        <w:rPr>
          <w:noProof/>
        </w:rPr>
        <w:tab/>
        <w:t>[8]</w:t>
      </w:r>
      <w:r>
        <w:rPr>
          <w:noProof/>
        </w:rPr>
        <w:tab/>
        <w:t>Schiffe</w:t>
      </w:r>
    </w:p>
    <w:p>
      <w:pPr>
        <w:rPr>
          <w:noProof/>
        </w:rPr>
      </w:pPr>
      <w:r>
        <w:rPr>
          <w:noProof/>
        </w:rPr>
        <w:t xml:space="preserve">Frankreich </w:t>
      </w:r>
      <w:r>
        <w:rPr>
          <w:noProof/>
        </w:rPr>
        <w:tab/>
      </w:r>
      <w:r>
        <w:rPr>
          <w:noProof/>
        </w:rPr>
        <w:tab/>
        <w:t>[4]</w:t>
      </w:r>
      <w:r>
        <w:rPr>
          <w:noProof/>
        </w:rPr>
        <w:tab/>
        <w:t>Schiffe</w:t>
      </w:r>
    </w:p>
    <w:p>
      <w:pPr>
        <w:rPr>
          <w:noProof/>
        </w:rPr>
      </w:pPr>
      <w:r>
        <w:rPr>
          <w:noProof/>
        </w:rPr>
        <w:t>Portugal:</w:t>
      </w:r>
      <w:r>
        <w:rPr>
          <w:noProof/>
        </w:rPr>
        <w:tab/>
      </w:r>
      <w:r>
        <w:rPr>
          <w:noProof/>
        </w:rPr>
        <w:tab/>
        <w:t>[2]</w:t>
      </w:r>
      <w:r>
        <w:rPr>
          <w:noProof/>
        </w:rPr>
        <w:tab/>
        <w:t>Schiffe</w:t>
      </w:r>
    </w:p>
    <w:p>
      <w:pPr>
        <w:pStyle w:val="Titrearticle"/>
        <w:rPr>
          <w:noProof/>
        </w:rPr>
      </w:pPr>
      <w:r>
        <w:rPr>
          <w:noProof/>
        </w:rPr>
        <w:t>Artikel 2</w:t>
      </w:r>
    </w:p>
    <w:p>
      <w:pPr>
        <w:rPr>
          <w:noProof/>
        </w:rPr>
      </w:pPr>
      <w:r>
        <w:rPr>
          <w:noProof/>
        </w:rPr>
        <w:t xml:space="preserve">Diese Verordnung tritt am Tag nach ihrer Veröffentlichung im </w:t>
      </w:r>
      <w:r>
        <w:rPr>
          <w:i/>
          <w:noProof/>
        </w:rPr>
        <w:t>Amtsblatt der Europäischen Union</w:t>
      </w:r>
      <w:r>
        <w:rPr>
          <w:noProof/>
        </w:rPr>
        <w:t xml:space="preserve"> in Kraft.</w:t>
      </w:r>
    </w:p>
    <w:p>
      <w:pPr>
        <w:rPr>
          <w:noProof/>
        </w:rPr>
      </w:pPr>
      <w:r>
        <w:rPr>
          <w:noProof/>
        </w:rPr>
        <w:t>Sie gilt ab dem Datum der Anwendung des Protokolls.</w:t>
      </w:r>
    </w:p>
    <w:p>
      <w:pPr>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Angenommen auf der Tagung des Rates „Justiz und Inneres“ am 4. und 5. Juni 2018.</w:t>
      </w:r>
    </w:p>
  </w:footnote>
  <w:footnote w:id="2">
    <w:p>
      <w:pPr>
        <w:pStyle w:val="FootnoteText"/>
      </w:pPr>
      <w:r>
        <w:rPr>
          <w:rStyle w:val="FootnoteReference"/>
        </w:rPr>
        <w:footnoteRef/>
      </w:r>
      <w:r>
        <w:tab/>
        <w:t>ABl. L 414 vom 30.12.2006, S. 3.</w:t>
      </w:r>
    </w:p>
  </w:footnote>
  <w:footnote w:id="3">
    <w:p>
      <w:pPr>
        <w:pStyle w:val="Footno"/>
        <w:ind w:left="720" w:hanging="720"/>
      </w:pPr>
      <w:r>
        <w:rPr>
          <w:rStyle w:val="FootnoteReference"/>
        </w:rPr>
        <w:footnoteRef/>
      </w:r>
      <w:r>
        <w:tab/>
        <w:t>Verordnung (EG) Nr. 2027/2006 des Rates vom 19. Dezember 2006 über den Abschluss des partnerschaftlichen Fischereiabkommens zwischen der Europäischen Gemeinschaft und der Republik Cabo Verde (Kap Verde) (ABl. L 414 vom 30.12.2006, S. 1).</w:t>
      </w:r>
    </w:p>
  </w:footnote>
  <w:footnote w:id="4">
    <w:p>
      <w:pPr>
        <w:pStyle w:val="FootnoteText"/>
        <w:ind w:left="0" w:firstLine="0"/>
      </w:pPr>
      <w:r>
        <w:rPr>
          <w:rStyle w:val="FootnoteReference"/>
        </w:rPr>
        <w:footnoteRef/>
      </w:r>
      <w:r>
        <w:tab/>
        <w:t>Beschluss … (ABl. L ... vom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1: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746C4CB-0769-4E8F-8352-55B5AF0E59C7"/>
    <w:docVar w:name="LW_COVERPAGE_TYPE" w:val="1"/>
    <w:docVar w:name="LW_CROSSREFERENCE" w:val="&lt;UNUSED&gt;"/>
    <w:docVar w:name="LW_DocType" w:val="COM"/>
    <w:docVar w:name="LW_EMISSION" w:val="14.3.2019"/>
    <w:docVar w:name="LW_EMISSION_ISODATE" w:val="2019-03-14"/>
    <w:docVar w:name="LW_EMISSION_LOCATION" w:val="BRX"/>
    <w:docVar w:name="LW_EMISSION_PREFIX" w:val="Brüssel, den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über die Aufteilung der Fangmöglichkeiten im Rahmen des Protokolls zur Umsetzung des partnerschaftlichen Fischereiabkommens zwischen der Europäischen Gemeinschaft und der Republik Cabo Verde (2019\u8211?2024)_x000b_"/>
    <w:docVar w:name="LW_TYPE.DOC.CP" w:val="VERORDN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DC84F5-1EE3-478F-BAF7-BDDCEE6C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869</Words>
  <Characters>5932</Characters>
  <Application>Microsoft Office Word</Application>
  <DocSecurity>0</DocSecurity>
  <Lines>123</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2019-02-01T10:52:00Z</dcterms:created>
  <dcterms:modified xsi:type="dcterms:W3CDTF">2019-03-13T13:31:00Z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