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6DF4BF-0F5D-4F45-A1D6-A4B451DA1F57"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Forslagets begrundelse og formål</w:t>
      </w:r>
    </w:p>
    <w:p>
      <w:pPr>
        <w:pBdr>
          <w:top w:val="nil"/>
          <w:left w:val="nil"/>
          <w:bottom w:val="nil"/>
          <w:right w:val="nil"/>
          <w:between w:val="nil"/>
          <w:bar w:val="nil"/>
        </w:pBdr>
        <w:spacing w:before="0" w:after="240"/>
        <w:rPr>
          <w:rFonts w:eastAsia="Arial Unicode MS"/>
          <w:noProof/>
        </w:rPr>
      </w:pPr>
      <w:r>
        <w:rPr>
          <w:noProof/>
        </w:rPr>
        <w:t>På grundlag af de relevante forhandlingsdirektiver</w:t>
      </w:r>
      <w:r>
        <w:rPr>
          <w:rStyle w:val="FootnoteReference"/>
          <w:noProof/>
        </w:rPr>
        <w:footnoteReference w:id="1"/>
      </w:r>
      <w:r>
        <w:rPr>
          <w:noProof/>
        </w:rPr>
        <w:t xml:space="preserve"> har Kommissionen ført forhandlinger med regeringen for Republikken Kap Verde (i det følgende benævnt "Kap Verde") med henblik på at indgå en ny protokol til fiskeripartnerskabsaftalen mellem Det Europæiske Fællesskab og Republikken Kap Verde</w:t>
      </w:r>
      <w:r>
        <w:rPr>
          <w:rStyle w:val="FootnoteReference"/>
          <w:noProof/>
        </w:rPr>
        <w:footnoteReference w:id="2"/>
      </w:r>
      <w:r>
        <w:rPr>
          <w:noProof/>
        </w:rPr>
        <w:t xml:space="preserve">. I forlængelse af disse forhandlinger blev der den 12. oktober 2018 paraferet en ny protokol. Protokollen dækker en periode på fem år fra datoen for dens midlertidige anvendelse, dvs. fra den dato, hvor den er undertegnet, jf. artikel 15. </w:t>
      </w:r>
    </w:p>
    <w:p>
      <w:pPr>
        <w:pBdr>
          <w:top w:val="nil"/>
          <w:left w:val="nil"/>
          <w:bottom w:val="nil"/>
          <w:right w:val="nil"/>
          <w:between w:val="nil"/>
          <w:bar w:val="nil"/>
        </w:pBdr>
        <w:spacing w:before="0" w:after="240"/>
        <w:rPr>
          <w:rFonts w:eastAsia="Arial Unicode MS"/>
          <w:noProof/>
        </w:rPr>
      </w:pPr>
      <w:r>
        <w:rPr>
          <w:noProof/>
        </w:rPr>
        <w:t>Hovedformålet med den nye protokol er at skabe fiskerimuligheder for EU-fartøjer i Kap Verdes farvande på grundlag af den bedste foreliggende videnskabelige rådgivning og i overensstemmelse med henstillingerne fra Den Internationale Kommission for Bevarelse af Tunfiskebestanden i Atlanterhavet (ICCAT). I denne nye protokol tages der hensyn til resultaterne af en evaluering af den foregående protokol (2014-2018) og en fremadrettet evaluering af, om der bør indgås en ny protokol. Begge evalueringer er blevet foretaget af eksterne eksperter. Protokollen vil også gøre det muligt for Den Europæiske Union og Republikken Kap Verde at arbejde tættere sammen om at fremme en ansvarlig udnyttelse af fiskeressourcerne i Kap Verdes farvande og støtte Kap Verdes bestræbelser på at udvikle sin blå økonomi, hvilket er i begge parters interesse.</w:t>
      </w:r>
    </w:p>
    <w:p>
      <w:pPr>
        <w:pBdr>
          <w:top w:val="nil"/>
          <w:left w:val="nil"/>
          <w:bottom w:val="nil"/>
          <w:right w:val="nil"/>
          <w:between w:val="nil"/>
          <w:bar w:val="nil"/>
        </w:pBdr>
        <w:spacing w:before="0"/>
        <w:rPr>
          <w:noProof/>
        </w:rPr>
      </w:pPr>
      <w:r>
        <w:rPr>
          <w:noProof/>
        </w:rPr>
        <w:t>I protokollen er der fastsat fiskerimuligheder for følgende kategorier:</w:t>
      </w:r>
    </w:p>
    <w:p>
      <w:pPr>
        <w:pStyle w:val="Point0letter"/>
        <w:numPr>
          <w:ilvl w:val="1"/>
          <w:numId w:val="6"/>
        </w:numPr>
        <w:rPr>
          <w:noProof/>
        </w:rPr>
      </w:pPr>
      <w:r>
        <w:rPr>
          <w:noProof/>
        </w:rPr>
        <w:t>28 notfartøjer med fryseanlæg til tunfiskeri</w:t>
      </w:r>
    </w:p>
    <w:p>
      <w:pPr>
        <w:pStyle w:val="Point0letter"/>
        <w:numPr>
          <w:ilvl w:val="1"/>
          <w:numId w:val="6"/>
        </w:numPr>
        <w:rPr>
          <w:noProof/>
        </w:rPr>
      </w:pPr>
      <w:r>
        <w:rPr>
          <w:noProof/>
        </w:rPr>
        <w:t>27 langlinefartøjer med flydeline</w:t>
      </w:r>
    </w:p>
    <w:p>
      <w:pPr>
        <w:pStyle w:val="Point0letter"/>
        <w:numPr>
          <w:ilvl w:val="1"/>
          <w:numId w:val="6"/>
        </w:numPr>
        <w:rPr>
          <w:noProof/>
        </w:rPr>
      </w:pPr>
      <w:r>
        <w:rPr>
          <w:noProof/>
        </w:rPr>
        <w:t>14 stangfartøjer til tunfiskeri.</w:t>
      </w:r>
    </w:p>
    <w:p>
      <w:pPr>
        <w:pBdr>
          <w:top w:val="nil"/>
          <w:left w:val="nil"/>
          <w:bottom w:val="nil"/>
          <w:right w:val="nil"/>
          <w:between w:val="nil"/>
          <w:bar w:val="nil"/>
        </w:pBdr>
        <w:spacing w:before="0" w:after="240"/>
        <w:rPr>
          <w:noProof/>
        </w:rPr>
      </w:pPr>
      <w:r>
        <w:rPr>
          <w:noProof/>
        </w:rPr>
        <w:t>Det bør fastsættes, hvordan fiskerimulighederne skal fordeles mellem medlemsstaterne.</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spacing w:before="0" w:after="240"/>
        <w:rPr>
          <w:noProof/>
        </w:rPr>
      </w:pPr>
      <w:r>
        <w:rPr>
          <w:noProof/>
        </w:rPr>
        <w:t xml:space="preserve">Det valgte retsgrundlag er traktaten om Den Europæiske Unions funktionsmåde, hvori det i artikel 43, stk. 3, fastsættes, at Rådet vedtager fordelingen af fiskerimuligheder på forslag fra Kommissionen. </w:t>
      </w:r>
    </w:p>
    <w:p>
      <w:pPr>
        <w:pStyle w:val="ManualHeading2"/>
        <w:rPr>
          <w:rFonts w:eastAsia="Arial Unicode MS"/>
          <w:noProof/>
          <w:u w:color="000000"/>
          <w:bdr w:val="nil"/>
        </w:rPr>
      </w:pPr>
      <w:r>
        <w:rPr>
          <w:noProof/>
        </w:rPr>
        <w:t>•</w:t>
      </w:r>
      <w:r>
        <w:rPr>
          <w:noProof/>
        </w:rPr>
        <w:tab/>
        <w:t>Nærhedsprincippet (for områder, der ikke er omfattet af enekompetence)</w:t>
      </w:r>
    </w:p>
    <w:p>
      <w:pPr>
        <w:spacing w:before="0" w:after="240"/>
        <w:rPr>
          <w:noProof/>
        </w:rPr>
      </w:pPr>
      <w:r>
        <w:rPr>
          <w:noProof/>
        </w:rPr>
        <w:t xml:space="preserve">Den Europæiske Union har enekompetence på området. </w:t>
      </w:r>
    </w:p>
    <w:p>
      <w:pPr>
        <w:pStyle w:val="ManualHeading1"/>
        <w:rPr>
          <w:noProof/>
        </w:rPr>
      </w:pPr>
      <w:r>
        <w:rPr>
          <w:noProof/>
        </w:rPr>
        <w:t>3.</w:t>
      </w:r>
      <w:r>
        <w:rPr>
          <w:noProof/>
        </w:rPr>
        <w:tab/>
        <w:t>RESULTATERNE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 xml:space="preserve">De interesserede parter blev hørt i forbindelse med de forudgående og efterfølgende evalueringer af en eventuel ny protokol mellem Den Europæiske Union og Republikken Kap </w:t>
      </w:r>
      <w:r>
        <w:rPr>
          <w:noProof/>
        </w:rPr>
        <w:lastRenderedPageBreak/>
        <w:t>Verde. Medlemsstaternes og branchens eksperter blev også hørt på tekniske møder. Det er på baggrund af disse høringer konkluderet, at det er til fordel for Den Europæiske Union og Republikken Kap Verde at indgå en ny protokol til fiskeripartnerskabsaftalen.</w:t>
      </w:r>
    </w:p>
    <w:p>
      <w:pPr>
        <w:pStyle w:val="ManualHeading2"/>
        <w:rPr>
          <w:rFonts w:eastAsia="Arial Unicode MS"/>
          <w:noProof/>
          <w:u w:color="000000"/>
          <w:bdr w:val="nil"/>
        </w:rPr>
      </w:pPr>
      <w:r>
        <w:rPr>
          <w:noProof/>
        </w:rPr>
        <w:t>•</w:t>
      </w:r>
      <w:r>
        <w:rPr>
          <w:noProof/>
        </w:rPr>
        <w:tab/>
        <w:t>Høring af interesserede parter</w:t>
      </w:r>
    </w:p>
    <w:p>
      <w:pPr>
        <w:pBdr>
          <w:top w:val="nil"/>
          <w:left w:val="nil"/>
          <w:bottom w:val="nil"/>
          <w:right w:val="nil"/>
          <w:between w:val="nil"/>
          <w:bar w:val="nil"/>
        </w:pBdr>
        <w:spacing w:before="0" w:after="240"/>
        <w:rPr>
          <w:rFonts w:eastAsia="Arial Unicode MS"/>
          <w:noProof/>
        </w:rPr>
      </w:pPr>
      <w:r>
        <w:rPr>
          <w:noProof/>
        </w:rPr>
        <w:t>Medlemsstaterne, repræsentanterne for fiskerisektoren, internationale civilsamfundsorganisationer og repræsentanter for Kap Verdes fiskeriforvaltning og civilsamfund blev hørt som led i evalueringen. Der blev ligeledes afholdt høringer inden for rammerne for Det Rådgivende Råd for Højsøflåden.</w:t>
      </w:r>
    </w:p>
    <w:p>
      <w:pPr>
        <w:pStyle w:val="ManualHeading2"/>
        <w:rPr>
          <w:rFonts w:eastAsia="Arial Unicode MS"/>
          <w:noProof/>
          <w:u w:color="000000"/>
          <w:bdr w:val="nil"/>
        </w:rPr>
      </w:pPr>
      <w:r>
        <w:rPr>
          <w:noProof/>
        </w:rPr>
        <w:t>•</w:t>
      </w:r>
      <w:r>
        <w:rPr>
          <w:noProof/>
        </w:rPr>
        <w:tab/>
        <w:t>Indhentning og brug af ekspertbistand</w:t>
      </w:r>
    </w:p>
    <w:p>
      <w:pPr>
        <w:spacing w:before="0" w:after="240"/>
        <w:rPr>
          <w:noProof/>
        </w:rPr>
      </w:pPr>
      <w:r>
        <w:rPr>
          <w:noProof/>
        </w:rPr>
        <w:t xml:space="preserve">Kommissionen har gjort brug af en uafhængig konsulent ved de efterfølgende og forudgående evalueringer i overensstemmelse med artikel 31, stk. 10, i forordningen om den fælles fiskeripolitik. </w:t>
      </w:r>
    </w:p>
    <w:p>
      <w:pPr>
        <w:pStyle w:val="ManualHeading1"/>
        <w:rPr>
          <w:noProof/>
        </w:rPr>
      </w:pPr>
      <w:r>
        <w:rPr>
          <w:noProof/>
        </w:rPr>
        <w:t>4.</w:t>
      </w:r>
      <w:r>
        <w:rPr>
          <w:noProof/>
        </w:rPr>
        <w:tab/>
        <w:t>VIRKNINGER FOR BUDGETTET</w:t>
      </w:r>
    </w:p>
    <w:p>
      <w:pPr>
        <w:spacing w:before="0" w:after="240"/>
        <w:rPr>
          <w:noProof/>
        </w:rPr>
      </w:pPr>
      <w:r>
        <w:rPr>
          <w:noProof/>
        </w:rPr>
        <w:t>Den foreslåede forordning har ingen virkninger for Unionens budget.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spacing w:before="0" w:after="240"/>
        <w:rPr>
          <w:noProof/>
        </w:rPr>
      </w:pPr>
      <w:r>
        <w:rPr>
          <w:noProof/>
        </w:rPr>
        <w:t xml:space="preserve">Denne procedure iværksættes sideløbende med procedurerne i forbindelse med Rådets afgørelse om undertegnelse på Unionens vegne af protokollen til fiskeripartnerskabsaftalen mellem Det Europæiske Fællesskab og Republikken Kap Verde og med Rådets afgørelse om dens indgåelse. Denne forordning finder anvendelse, så snart det er muligt at fiske i henhold til aftalen, dvs. fra datoen for den midlertidige anvendelse af protokollen.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2019/0072 (NLE)</w:t>
      </w:r>
    </w:p>
    <w:p>
      <w:pPr>
        <w:pStyle w:val="Statut"/>
        <w:rPr>
          <w:noProof/>
        </w:rPr>
      </w:pPr>
      <w:r>
        <w:rPr>
          <w:noProof/>
        </w:rPr>
        <w:t>Forslag til</w:t>
      </w:r>
    </w:p>
    <w:p>
      <w:pPr>
        <w:pStyle w:val="Typedudocument"/>
        <w:rPr>
          <w:noProof/>
        </w:rPr>
      </w:pPr>
      <w:r>
        <w:rPr>
          <w:noProof/>
        </w:rPr>
        <w:t>RÅDETS FORORDNING</w:t>
      </w:r>
    </w:p>
    <w:p>
      <w:pPr>
        <w:pStyle w:val="Titreobjet"/>
        <w:rPr>
          <w:noProof/>
        </w:rPr>
      </w:pPr>
      <w:r>
        <w:rPr>
          <w:noProof/>
        </w:rPr>
        <w:t>om fordeling af fiskerimuligheder i medfør af protokollen til gennemførelse af fiskeripartnerskabsaftalen mellem Det Europæiske Fællesskab og Republikken Kap Verde (2019-2024)</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43,</w:t>
      </w:r>
    </w:p>
    <w:p>
      <w:pPr>
        <w:rPr>
          <w:noProof/>
        </w:rPr>
      </w:pPr>
      <w:r>
        <w:rPr>
          <w:noProof/>
        </w:rPr>
        <w:t>stk. 3,</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Den 19. december 2006 vedtog Rådet forordning (EF) nr. 2027/2006</w:t>
      </w:r>
      <w:r>
        <w:rPr>
          <w:rStyle w:val="FootnoteReference"/>
          <w:noProof/>
        </w:rPr>
        <w:footnoteReference w:id="3"/>
      </w:r>
      <w:r>
        <w:rPr>
          <w:noProof/>
        </w:rPr>
        <w:t xml:space="preserve"> om indgåelse af en fiskeripartnerskabsaftale mellem Det Europæiske Fællesskab og Republikken Kap Verde (i det følgende benævnt "aftalen"), der trådte i kraft den 30. marts 2007, og som derefter stiltiende er blevet fornyet og stadig er i kraft.</w:t>
      </w:r>
    </w:p>
    <w:p>
      <w:pPr>
        <w:pStyle w:val="ManualConsidrant"/>
        <w:rPr>
          <w:noProof/>
        </w:rPr>
      </w:pPr>
      <w:r>
        <w:t>(2)</w:t>
      </w:r>
      <w:r>
        <w:tab/>
      </w:r>
      <w:r>
        <w:rPr>
          <w:noProof/>
        </w:rPr>
        <w:t>Den foregående protokol til aftalen udløber den 22. december 2018.</w:t>
      </w:r>
    </w:p>
    <w:p>
      <w:pPr>
        <w:pStyle w:val="ManualConsidrant"/>
        <w:rPr>
          <w:noProof/>
        </w:rPr>
      </w:pPr>
      <w:r>
        <w:t>(3)</w:t>
      </w:r>
      <w:r>
        <w:tab/>
      </w:r>
      <w:r>
        <w:rPr>
          <w:noProof/>
        </w:rPr>
        <w:t xml:space="preserve">Kommissionen har på Den Europæiske Unions vegne ført forhandlinger om en ny protokol til gennemførelse af aftalen (i det følgende benævnt "protokollen"). Efter afslutningen af forhandlingerne blev protokollen paraferet den 12. oktober 2018. </w:t>
      </w:r>
    </w:p>
    <w:p>
      <w:pPr>
        <w:pStyle w:val="ManualConsidrant"/>
        <w:rPr>
          <w:noProof/>
        </w:rPr>
      </w:pPr>
      <w:r>
        <w:t>(4)</w:t>
      </w:r>
      <w:r>
        <w:tab/>
      </w:r>
      <w:r>
        <w:rPr>
          <w:noProof/>
        </w:rPr>
        <w:t>I overensstemmelse med Rådets afgørelse 2018/.../EU</w:t>
      </w:r>
      <w:r>
        <w:rPr>
          <w:rStyle w:val="FootnoteReference"/>
          <w:noProof/>
        </w:rPr>
        <w:footnoteReference w:id="4"/>
      </w:r>
      <w:r>
        <w:rPr>
          <w:noProof/>
        </w:rPr>
        <w:t xml:space="preserve"> blev protokollen til gennemførelse af fiskeripartnerskabsaftalen mellem Det Europæiske Fællesskab og Republikken Kap Verde undertegnet den [</w:t>
      </w:r>
      <w:r>
        <w:rPr>
          <w:i/>
          <w:noProof/>
        </w:rPr>
        <w:t>indsæt dato for undertegnelse</w:t>
      </w:r>
      <w:r>
        <w:rPr>
          <w:noProof/>
        </w:rPr>
        <w:t xml:space="preserve"> ].</w:t>
      </w:r>
    </w:p>
    <w:p>
      <w:pPr>
        <w:pStyle w:val="ManualConsidrant"/>
        <w:rPr>
          <w:noProof/>
        </w:rPr>
      </w:pPr>
      <w:r>
        <w:t>(5)</w:t>
      </w:r>
      <w:r>
        <w:tab/>
      </w:r>
      <w:r>
        <w:rPr>
          <w:noProof/>
        </w:rPr>
        <w:t>De fiskerimuligheder, der er fastsat i protokollen, bør fordeles mellem medlemsstaterne i hele protokollens anvendelsesperiode.</w:t>
      </w:r>
    </w:p>
    <w:p>
      <w:pPr>
        <w:pStyle w:val="ManualConsidrant"/>
        <w:rPr>
          <w:noProof/>
        </w:rPr>
      </w:pPr>
      <w:r>
        <w:t>(6)</w:t>
      </w:r>
      <w:r>
        <w:tab/>
      </w:r>
      <w:r>
        <w:rPr>
          <w:noProof/>
        </w:rPr>
        <w:t>For at sikre, at EU-fartøjerne hurtigt kan påbegynde fiskeriet, vil protokollen finde midlertidig anvendelse fra datoen for dens undertegnelse. Denne forordning bør derfor finde anvendelse fra samme dato —</w:t>
      </w:r>
    </w:p>
    <w:p>
      <w:pPr>
        <w:pStyle w:val="Formuledadoption"/>
        <w:rPr>
          <w:noProof/>
        </w:rPr>
      </w:pPr>
      <w:r>
        <w:rPr>
          <w:noProof/>
        </w:rPr>
        <w:t>VEDTAGET DENNE FORORDNING:</w:t>
      </w:r>
    </w:p>
    <w:p>
      <w:pPr>
        <w:pStyle w:val="Titrearticle"/>
        <w:rPr>
          <w:noProof/>
        </w:rPr>
      </w:pPr>
      <w:r>
        <w:rPr>
          <w:noProof/>
        </w:rPr>
        <w:t>Artikel 1</w:t>
      </w:r>
    </w:p>
    <w:p>
      <w:pPr>
        <w:rPr>
          <w:noProof/>
        </w:rPr>
      </w:pPr>
      <w:r>
        <w:rPr>
          <w:noProof/>
        </w:rPr>
        <w:t>1)</w:t>
      </w:r>
      <w:r>
        <w:rPr>
          <w:noProof/>
        </w:rPr>
        <w:tab/>
        <w:t>De fiskerimuligheder, der er fastsat i protokollen til gennemførelse af fiskeripartnerskabsaftalen mellem Det Europæiske Fællesskab og Republikken Kap Verde (2019-2024) (i det følgende benævnt "protokollen"), fordeles mellem medlemsstaterne som følger:</w:t>
      </w:r>
    </w:p>
    <w:p>
      <w:pPr>
        <w:rPr>
          <w:noProof/>
        </w:rPr>
      </w:pPr>
      <w:r>
        <w:rPr>
          <w:noProof/>
        </w:rPr>
        <w:lastRenderedPageBreak/>
        <w:t>a)</w:t>
      </w:r>
      <w:r>
        <w:rPr>
          <w:noProof/>
        </w:rPr>
        <w:tab/>
        <w:t>notfartøjer til tunfiskeri:</w:t>
      </w:r>
    </w:p>
    <w:p>
      <w:pPr>
        <w:rPr>
          <w:noProof/>
        </w:rPr>
      </w:pPr>
      <w:r>
        <w:rPr>
          <w:noProof/>
        </w:rPr>
        <w:t>Spanien:</w:t>
      </w:r>
      <w:r>
        <w:rPr>
          <w:noProof/>
        </w:rPr>
        <w:tab/>
        <w:t>[16]</w:t>
      </w:r>
      <w:r>
        <w:rPr>
          <w:noProof/>
        </w:rPr>
        <w:tab/>
        <w:t>fartøjer</w:t>
      </w:r>
    </w:p>
    <w:p>
      <w:pPr>
        <w:rPr>
          <w:noProof/>
        </w:rPr>
      </w:pPr>
      <w:r>
        <w:rPr>
          <w:noProof/>
        </w:rPr>
        <w:t>Frankrig:</w:t>
      </w:r>
      <w:r>
        <w:rPr>
          <w:noProof/>
        </w:rPr>
        <w:tab/>
        <w:t>[12]</w:t>
      </w:r>
      <w:r>
        <w:rPr>
          <w:noProof/>
        </w:rPr>
        <w:tab/>
        <w:t>fartøjer</w:t>
      </w:r>
    </w:p>
    <w:p>
      <w:pPr>
        <w:rPr>
          <w:noProof/>
        </w:rPr>
      </w:pPr>
      <w:r>
        <w:rPr>
          <w:noProof/>
        </w:rPr>
        <w:t>b)</w:t>
      </w:r>
      <w:r>
        <w:rPr>
          <w:noProof/>
        </w:rPr>
        <w:tab/>
        <w:t>langlinefartøjer med flydeline:</w:t>
      </w:r>
    </w:p>
    <w:p>
      <w:pPr>
        <w:rPr>
          <w:noProof/>
        </w:rPr>
      </w:pPr>
      <w:r>
        <w:rPr>
          <w:noProof/>
        </w:rPr>
        <w:t>Spanien:</w:t>
      </w:r>
      <w:r>
        <w:rPr>
          <w:noProof/>
        </w:rPr>
        <w:tab/>
        <w:t>[21]</w:t>
      </w:r>
      <w:r>
        <w:rPr>
          <w:noProof/>
        </w:rPr>
        <w:tab/>
        <w:t>fartøjer</w:t>
      </w:r>
    </w:p>
    <w:p>
      <w:pPr>
        <w:rPr>
          <w:noProof/>
        </w:rPr>
      </w:pPr>
      <w:r>
        <w:rPr>
          <w:noProof/>
        </w:rPr>
        <w:t>Portugal:</w:t>
      </w:r>
      <w:r>
        <w:rPr>
          <w:noProof/>
        </w:rPr>
        <w:tab/>
        <w:t>[6]</w:t>
      </w:r>
      <w:r>
        <w:rPr>
          <w:noProof/>
        </w:rPr>
        <w:tab/>
        <w:t>fartøjer</w:t>
      </w:r>
    </w:p>
    <w:p>
      <w:pPr>
        <w:rPr>
          <w:noProof/>
        </w:rPr>
      </w:pPr>
      <w:r>
        <w:rPr>
          <w:noProof/>
        </w:rPr>
        <w:t>c)</w:t>
      </w:r>
      <w:r>
        <w:rPr>
          <w:noProof/>
        </w:rPr>
        <w:tab/>
        <w:t>stangfartøjer til tunfiskeri:</w:t>
      </w:r>
    </w:p>
    <w:p>
      <w:pPr>
        <w:rPr>
          <w:noProof/>
        </w:rPr>
      </w:pPr>
      <w:r>
        <w:rPr>
          <w:noProof/>
        </w:rPr>
        <w:t>Spanien</w:t>
      </w:r>
      <w:r>
        <w:rPr>
          <w:noProof/>
        </w:rPr>
        <w:tab/>
        <w:t>[8]</w:t>
      </w:r>
      <w:r>
        <w:rPr>
          <w:noProof/>
        </w:rPr>
        <w:tab/>
        <w:t>fartøjer</w:t>
      </w:r>
    </w:p>
    <w:p>
      <w:pPr>
        <w:rPr>
          <w:noProof/>
        </w:rPr>
      </w:pPr>
      <w:r>
        <w:rPr>
          <w:noProof/>
        </w:rPr>
        <w:t>Frankrig</w:t>
      </w:r>
      <w:r>
        <w:rPr>
          <w:noProof/>
        </w:rPr>
        <w:tab/>
        <w:t>[4]</w:t>
      </w:r>
      <w:r>
        <w:rPr>
          <w:noProof/>
        </w:rPr>
        <w:tab/>
        <w:t>fartøjer</w:t>
      </w:r>
    </w:p>
    <w:p>
      <w:pPr>
        <w:rPr>
          <w:noProof/>
        </w:rPr>
      </w:pPr>
      <w:r>
        <w:rPr>
          <w:noProof/>
        </w:rPr>
        <w:t>Portugal:</w:t>
      </w:r>
      <w:r>
        <w:rPr>
          <w:noProof/>
        </w:rPr>
        <w:tab/>
        <w:t>[2]</w:t>
      </w:r>
      <w:r>
        <w:rPr>
          <w:noProof/>
        </w:rPr>
        <w:tab/>
        <w:t>fartøjer</w:t>
      </w:r>
    </w:p>
    <w:p>
      <w:pPr>
        <w:pStyle w:val="Titrearticle"/>
        <w:rPr>
          <w:noProof/>
        </w:rPr>
      </w:pPr>
      <w:r>
        <w:rPr>
          <w:noProof/>
        </w:rPr>
        <w:t>Artikel 2</w:t>
      </w:r>
    </w:p>
    <w:p>
      <w:pPr>
        <w:rPr>
          <w:noProof/>
        </w:rPr>
      </w:pPr>
      <w:r>
        <w:rPr>
          <w:noProof/>
        </w:rPr>
        <w:t xml:space="preserve">Denne forordning træder i kraft dagen efter offentliggørelsen i </w:t>
      </w:r>
      <w:r>
        <w:rPr>
          <w:i/>
          <w:noProof/>
        </w:rPr>
        <w:t>Den Europæiske Unions Tidende</w:t>
      </w:r>
      <w:r>
        <w:rPr>
          <w:noProof/>
        </w:rPr>
        <w:t>.</w:t>
      </w:r>
    </w:p>
    <w:p>
      <w:pPr>
        <w:rPr>
          <w:noProof/>
        </w:rPr>
      </w:pPr>
      <w:r>
        <w:rPr>
          <w:noProof/>
        </w:rPr>
        <w:t>Den anvendes fra datoen for anvendelsen af protokollen.</w:t>
      </w:r>
    </w:p>
    <w:p>
      <w:pPr>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Vedtaget af Rådet (retlige og indre anliggender) den 4.-5. juni 2018.</w:t>
      </w:r>
    </w:p>
  </w:footnote>
  <w:footnote w:id="2">
    <w:p>
      <w:pPr>
        <w:pStyle w:val="FootnoteText"/>
      </w:pPr>
      <w:r>
        <w:rPr>
          <w:rStyle w:val="FootnoteReference"/>
        </w:rPr>
        <w:footnoteRef/>
      </w:r>
      <w:r>
        <w:tab/>
        <w:t>EUT L 414 af 30.12.2006, s. 3.</w:t>
      </w:r>
    </w:p>
  </w:footnote>
  <w:footnote w:id="3">
    <w:p>
      <w:pPr>
        <w:pStyle w:val="FootnoteText"/>
      </w:pPr>
      <w:r>
        <w:rPr>
          <w:rStyle w:val="FootnoteReference"/>
        </w:rPr>
        <w:footnoteRef/>
      </w:r>
      <w:r>
        <w:tab/>
        <w:t>Rådets forordning (EF) nr. 2027/2006 af 19. december 2006 om indgåelse af en fiskeripartnerskabsaftale mellem Det Europæiske Fællesskab og Republikken Kap Verde (EUT L 414 af 30.12.2006, s. 1).</w:t>
      </w:r>
    </w:p>
  </w:footnote>
  <w:footnote w:id="4">
    <w:p>
      <w:pPr>
        <w:pStyle w:val="FootnoteText"/>
      </w:pPr>
      <w:r>
        <w:rPr>
          <w:rStyle w:val="FootnoteReference"/>
        </w:rPr>
        <w:footnoteRef/>
      </w:r>
      <w:r>
        <w:tab/>
        <w:t>Afgørelse... (EUT L ... af...,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5: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5A6DF4BF-0F5D-4F45-A1D6-A4B451DA1F57"/>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xelles, den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fordeling af fiskerimuligheder i medfør af protokollen til gennemførelse af fiskeripartnerskabsaftalen mellem Det Europæiske Fællesskab og Republikken Kap Verde (2019-2024)"/>
    <w:docVar w:name="LW_TYPE.DOC.CP" w:val="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FBA8D1-0EC4-43E6-967F-A1B391B9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Pages>
  <Words>872</Words>
  <Characters>5565</Characters>
  <Application>Microsoft Office Word</Application>
  <DocSecurity>0</DocSecurity>
  <Lines>113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2019-02-11T13:48:00Z</dcterms:created>
  <dcterms:modified xsi:type="dcterms:W3CDTF">2019-03-13T13:35:00Z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