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2599C27-E39E-4FA3-9135-5C9C2F03D2B7" style="width:450.35pt;height:37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Motivele și obiectivele propunerii</w:t>
      </w:r>
    </w:p>
    <w:p>
      <w:pPr>
        <w:pBdr>
          <w:top w:val="nil"/>
          <w:left w:val="nil"/>
          <w:bottom w:val="nil"/>
          <w:right w:val="nil"/>
          <w:between w:val="nil"/>
          <w:bar w:val="nil"/>
        </w:pBdr>
        <w:spacing w:before="0" w:after="240"/>
        <w:rPr>
          <w:rFonts w:eastAsia="Arial Unicode MS"/>
          <w:noProof/>
        </w:rPr>
      </w:pPr>
      <w:r>
        <w:rPr>
          <w:noProof/>
        </w:rPr>
        <w:t>Pe baza directivelor de negociere pertinente</w:t>
      </w:r>
      <w:r>
        <w:rPr>
          <w:rStyle w:val="FootnoteReference"/>
          <w:noProof/>
        </w:rPr>
        <w:footnoteReference w:id="1"/>
      </w:r>
      <w:r>
        <w:rPr>
          <w:noProof/>
        </w:rPr>
        <w:t>, Comisia a purtat negocieri cu guvernul Republicii Capului Verde (denumită în continuare „Capul Verde”), în scopul încheierii unui nou protocol la Acordul de parteneriat în domeniul pescuitului dintre Comunitatea Europeană și Republica Capului Verde</w:t>
      </w:r>
      <w:r>
        <w:rPr>
          <w:rStyle w:val="FootnoteReference"/>
          <w:noProof/>
        </w:rPr>
        <w:footnoteReference w:id="2"/>
      </w:r>
      <w:r>
        <w:rPr>
          <w:noProof/>
        </w:rPr>
        <w:t xml:space="preserve">. După încheierea acestor negocieri, a fost parafat un nou protocol, la 12 octombrie 2018. Protocolul acoperă o perioadă de cinci ani de la data aplicării sale provizorii, și anume de la data la care a fost semnat, așa cum se prevede la articolul 15. </w:t>
      </w:r>
    </w:p>
    <w:p>
      <w:pPr>
        <w:pBdr>
          <w:top w:val="nil"/>
          <w:left w:val="nil"/>
          <w:bottom w:val="nil"/>
          <w:right w:val="nil"/>
          <w:between w:val="nil"/>
          <w:bar w:val="nil"/>
        </w:pBdr>
        <w:spacing w:before="0" w:after="240"/>
        <w:rPr>
          <w:rFonts w:eastAsia="Arial Unicode MS"/>
          <w:noProof/>
        </w:rPr>
      </w:pPr>
      <w:r>
        <w:rPr>
          <w:noProof/>
        </w:rPr>
        <w:t>Obiectivul principal al noului protocol este să ofere posibilități de pescuit navelor Uniunii în apele Capului Verde, ținând cont de cele mai bune avize științifice disponibile și respectând recomandările Comisiei Internaționale pentru Conservarea Tonului din Oceanul Atlantic (ICCAT). Acest nou protocol ține cont de rezultatele unei evaluări a protocolului anterior (2014-2018) și ale unei evaluări prospective privind necesitatea încheierii unui nou protocol. Ambele evaluări au fost realizate de experți externi. Protocolul va permite, de asemenea, Uniunii Europene și Republicii Capului Verde să colaboreze mai strâns în vederea promovării unei exploatări responsabile a resurselor piscicole din apele Capului Verde și a sprijinirii eforturilor Capului Verde de a-și dezvolta economia albastră, în interesul ambelor părți.</w:t>
      </w:r>
    </w:p>
    <w:p>
      <w:pPr>
        <w:pBdr>
          <w:top w:val="nil"/>
          <w:left w:val="nil"/>
          <w:bottom w:val="nil"/>
          <w:right w:val="nil"/>
          <w:between w:val="nil"/>
          <w:bar w:val="nil"/>
        </w:pBdr>
        <w:spacing w:before="0"/>
        <w:rPr>
          <w:noProof/>
        </w:rPr>
      </w:pPr>
      <w:r>
        <w:rPr>
          <w:noProof/>
        </w:rPr>
        <w:t>Protocolul prevede posibilități de pescuit pentru următoarele categorii:</w:t>
      </w:r>
    </w:p>
    <w:p>
      <w:pPr>
        <w:pStyle w:val="Point0letter"/>
        <w:numPr>
          <w:ilvl w:val="1"/>
          <w:numId w:val="6"/>
        </w:numPr>
        <w:rPr>
          <w:noProof/>
        </w:rPr>
      </w:pPr>
      <w:r>
        <w:rPr>
          <w:noProof/>
        </w:rPr>
        <w:t>28 de nave de pescuit ton frigorifice cu plasă-pungă;</w:t>
      </w:r>
    </w:p>
    <w:p>
      <w:pPr>
        <w:pStyle w:val="Point0letter"/>
        <w:numPr>
          <w:ilvl w:val="1"/>
          <w:numId w:val="6"/>
        </w:numPr>
        <w:rPr>
          <w:noProof/>
        </w:rPr>
      </w:pPr>
      <w:r>
        <w:rPr>
          <w:noProof/>
        </w:rPr>
        <w:t>27 de nave de pescuit cu paragate plutitoare;</w:t>
      </w:r>
    </w:p>
    <w:p>
      <w:pPr>
        <w:pStyle w:val="Point0letter"/>
        <w:numPr>
          <w:ilvl w:val="1"/>
          <w:numId w:val="6"/>
        </w:numPr>
        <w:rPr>
          <w:noProof/>
        </w:rPr>
      </w:pPr>
      <w:r>
        <w:rPr>
          <w:noProof/>
        </w:rPr>
        <w:t>14 nave de pescuit ton cu platformă și paragate.</w:t>
      </w:r>
    </w:p>
    <w:p>
      <w:pPr>
        <w:pBdr>
          <w:top w:val="nil"/>
          <w:left w:val="nil"/>
          <w:bottom w:val="nil"/>
          <w:right w:val="nil"/>
          <w:between w:val="nil"/>
          <w:bar w:val="nil"/>
        </w:pBdr>
        <w:spacing w:before="0" w:after="240"/>
        <w:rPr>
          <w:noProof/>
        </w:rPr>
      </w:pPr>
      <w:r>
        <w:rPr>
          <w:noProof/>
        </w:rPr>
        <w:t>Este necesar să se stabilească metoda de repartizare a acestor posibilități de pescuit între statele membre.</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Temeiul juridic</w:t>
      </w:r>
    </w:p>
    <w:p>
      <w:pPr>
        <w:spacing w:before="0" w:after="240"/>
        <w:rPr>
          <w:noProof/>
        </w:rPr>
      </w:pPr>
      <w:r>
        <w:rPr>
          <w:noProof/>
        </w:rPr>
        <w:t xml:space="preserve">Temeiul juridic ales este Tratatul privind funcționarea Uniunii Europene, al cărui articol 43 alineatul (3) prevede că Consiliul adoptă, la propunerea Comisiei, alocarea de posibilități de pescuit. </w:t>
      </w:r>
    </w:p>
    <w:p>
      <w:pPr>
        <w:pStyle w:val="ManualHeading2"/>
        <w:rPr>
          <w:rFonts w:eastAsia="Arial Unicode MS"/>
          <w:noProof/>
          <w:u w:color="000000"/>
          <w:bdr w:val="nil"/>
        </w:rPr>
      </w:pPr>
      <w:r>
        <w:rPr>
          <w:noProof/>
        </w:rPr>
        <w:t>•</w:t>
      </w:r>
      <w:r>
        <w:rPr>
          <w:noProof/>
        </w:rPr>
        <w:tab/>
        <w:t>Subsidiaritate (în cazul competențelor neexclusive)</w:t>
      </w:r>
    </w:p>
    <w:p>
      <w:pPr>
        <w:spacing w:before="0" w:after="240"/>
        <w:rPr>
          <w:noProof/>
        </w:rPr>
      </w:pPr>
      <w:r>
        <w:rPr>
          <w:noProof/>
        </w:rPr>
        <w:t xml:space="preserve">Domeniul de politică vizat este o competență exclusivă a Uniunii Europene. </w:t>
      </w:r>
    </w:p>
    <w:p>
      <w:pPr>
        <w:spacing w:before="0" w:after="240"/>
        <w:rPr>
          <w:noProof/>
        </w:rPr>
      </w:pPr>
    </w:p>
    <w:p>
      <w:pPr>
        <w:pStyle w:val="ManualHeading1"/>
        <w:rPr>
          <w:noProof/>
        </w:rPr>
      </w:pPr>
      <w:r>
        <w:rPr>
          <w:noProof/>
        </w:rPr>
        <w:lastRenderedPageBreak/>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rPr>
        <w:t>•</w:t>
      </w:r>
      <w:r>
        <w:rPr>
          <w:noProof/>
        </w:rPr>
        <w:tab/>
        <w:t>Evaluări ex post/verificări ale adecvării legislației existente</w:t>
      </w:r>
    </w:p>
    <w:p>
      <w:pPr>
        <w:pBdr>
          <w:top w:val="nil"/>
          <w:left w:val="nil"/>
          <w:bottom w:val="nil"/>
          <w:right w:val="nil"/>
          <w:between w:val="nil"/>
          <w:bar w:val="nil"/>
        </w:pBdr>
        <w:spacing w:before="0" w:after="240"/>
        <w:rPr>
          <w:noProof/>
        </w:rPr>
      </w:pPr>
      <w:r>
        <w:rPr>
          <w:noProof/>
        </w:rPr>
        <w:t>Părțile interesate au fost consultate în cadrul evaluărilor ex post și ex ante privind posibilitatea încheierii unui nou protocol între Uniunea Europeană și Republica Capului Verde. Cu prilejul reuniunilor tehnice, au fost consultați și experți din statele membre și din industria de resort. În urma acestor consultări, s-a ajuns la concluzia că încheierea unui nou protocol la Acordul de parteneriat în domeniul pescuitului ar fi benefică pentru Uniunea Europeană și Republica Capului Verde.</w:t>
      </w:r>
    </w:p>
    <w:p>
      <w:pPr>
        <w:pStyle w:val="ManualHeading2"/>
        <w:rPr>
          <w:rFonts w:eastAsia="Arial Unicode MS"/>
          <w:noProof/>
          <w:u w:color="000000"/>
          <w:bdr w:val="nil"/>
        </w:rPr>
      </w:pPr>
      <w:r>
        <w:rPr>
          <w:noProof/>
        </w:rPr>
        <w:t>•</w:t>
      </w:r>
      <w:r>
        <w:rPr>
          <w:noProof/>
        </w:rPr>
        <w:tab/>
        <w:t>Consultarea părților interesate</w:t>
      </w:r>
    </w:p>
    <w:p>
      <w:pPr>
        <w:pBdr>
          <w:top w:val="nil"/>
          <w:left w:val="nil"/>
          <w:bottom w:val="nil"/>
          <w:right w:val="nil"/>
          <w:between w:val="nil"/>
          <w:bar w:val="nil"/>
        </w:pBdr>
        <w:spacing w:before="0" w:after="240"/>
        <w:rPr>
          <w:rFonts w:eastAsia="Arial Unicode MS"/>
          <w:noProof/>
        </w:rPr>
      </w:pPr>
      <w:r>
        <w:rPr>
          <w:noProof/>
        </w:rPr>
        <w:t>În cadrul evaluării au fost consultate statele membre, reprezentanți ai sectorului, organizații internaționale ale societății civile, precum și autorități din domeniul pescuitului și reprezentanți ai societății civile din Capul Verde. Au avut loc consultări și în cadrul Consiliului consultativ pentru flota de lungă distanță.</w:t>
      </w:r>
    </w:p>
    <w:p>
      <w:pPr>
        <w:pStyle w:val="ManualHeading2"/>
        <w:rPr>
          <w:rFonts w:eastAsia="Arial Unicode MS"/>
          <w:noProof/>
          <w:u w:color="000000"/>
          <w:bdr w:val="nil"/>
        </w:rPr>
      </w:pPr>
      <w:r>
        <w:rPr>
          <w:noProof/>
        </w:rPr>
        <w:t>•</w:t>
      </w:r>
      <w:r>
        <w:rPr>
          <w:noProof/>
        </w:rPr>
        <w:tab/>
        <w:t>Obținerea și utilizarea expertizei</w:t>
      </w:r>
    </w:p>
    <w:p>
      <w:pPr>
        <w:spacing w:before="0" w:after="240"/>
        <w:rPr>
          <w:noProof/>
        </w:rPr>
      </w:pPr>
      <w:r>
        <w:rPr>
          <w:noProof/>
        </w:rPr>
        <w:t xml:space="preserve">Comisia a apelat la un consultant independent pentru a efectua evaluările ex post și ex ante, în conformitate cu dispozițiile articolului 31 alineatul (10) din Regulamentul privind politica comună în domeniul pescuitului. </w:t>
      </w:r>
    </w:p>
    <w:p>
      <w:pPr>
        <w:pStyle w:val="ManualHeading1"/>
        <w:rPr>
          <w:noProof/>
        </w:rPr>
      </w:pPr>
      <w:r>
        <w:rPr>
          <w:noProof/>
        </w:rPr>
        <w:t>4.</w:t>
      </w:r>
      <w:r>
        <w:rPr>
          <w:noProof/>
        </w:rPr>
        <w:tab/>
        <w:t>IMPLICAȚII BUGETARE</w:t>
      </w:r>
    </w:p>
    <w:p>
      <w:pPr>
        <w:spacing w:before="0" w:after="240"/>
        <w:rPr>
          <w:noProof/>
        </w:rPr>
      </w:pPr>
      <w:r>
        <w:rPr>
          <w:noProof/>
        </w:rPr>
        <w:t>Proiectul de regulament nu are implicații pentru bugetul Uniunii.</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măsuri de monitorizare, evaluare și raportare</w:t>
      </w:r>
    </w:p>
    <w:p>
      <w:pPr>
        <w:spacing w:before="0" w:after="240"/>
        <w:rPr>
          <w:noProof/>
        </w:rPr>
      </w:pPr>
      <w:r>
        <w:rPr>
          <w:noProof/>
        </w:rPr>
        <w:t xml:space="preserve">Prezenta procedură este demarată în paralel cu procedurile legate de decizia Consiliului privind semnarea, în numele Uniunii, a protocolului la Acordul de parteneriat în domeniul pescuitului dintre Comunitatea Europeană și Republica Capului Verde, precum și cu decizia Consiliului privind încheierea acestuia. Prezentul regulament trebuie să intre în vigoare în momentul în care activitățile de pescuit sunt posibile în temeiul acordului, adică la data aplicării provizorii a protocolului.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2019/0072 (NLE)</w:t>
      </w:r>
    </w:p>
    <w:p>
      <w:pPr>
        <w:pStyle w:val="Statut"/>
        <w:rPr>
          <w:noProof/>
        </w:rPr>
      </w:pPr>
      <w:r>
        <w:rPr>
          <w:noProof/>
        </w:rPr>
        <w:t>Propunere de</w:t>
      </w:r>
    </w:p>
    <w:p>
      <w:pPr>
        <w:pStyle w:val="Typedudocument"/>
        <w:rPr>
          <w:noProof/>
        </w:rPr>
      </w:pPr>
      <w:r>
        <w:rPr>
          <w:noProof/>
        </w:rPr>
        <w:t>REGULAMENT AL CONSILIULUI</w:t>
      </w:r>
    </w:p>
    <w:p>
      <w:pPr>
        <w:pStyle w:val="Titreobjet"/>
        <w:rPr>
          <w:noProof/>
        </w:rPr>
      </w:pPr>
      <w:r>
        <w:rPr>
          <w:noProof/>
        </w:rPr>
        <w:t>privind repartizarea posibilităților de pescuit în temeiul Protocolului privind punerea în aplicare a Acordului de parteneriat în domeniul pescuitului dintre Comunitatea Europeană și Republica Capului Verde (2019-2024)</w:t>
      </w:r>
      <w:r>
        <w:rPr>
          <w:noProof/>
        </w:rPr>
        <w:br/>
      </w:r>
    </w:p>
    <w:p>
      <w:pPr>
        <w:pStyle w:val="Institutionquiagit"/>
        <w:rPr>
          <w:noProof/>
        </w:rPr>
      </w:pPr>
      <w:r>
        <w:rPr>
          <w:noProof/>
        </w:rPr>
        <w:t>CONSILIUL UNIUNII EUROPENE,</w:t>
      </w:r>
    </w:p>
    <w:p>
      <w:pPr>
        <w:rPr>
          <w:noProof/>
        </w:rPr>
      </w:pPr>
      <w:r>
        <w:rPr>
          <w:noProof/>
        </w:rPr>
        <w:t>având în vedere Tratatul privind funcționarea Uniunii Europene, în special articolul 43</w:t>
      </w:r>
    </w:p>
    <w:p>
      <w:pPr>
        <w:rPr>
          <w:noProof/>
        </w:rPr>
      </w:pPr>
      <w:r>
        <w:rPr>
          <w:noProof/>
        </w:rPr>
        <w:t>alineatul (3),</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La 19 decembrie 2006, Consiliul a adoptat Regulamentul (CE) nr. 2027/2006</w:t>
      </w:r>
      <w:r>
        <w:rPr>
          <w:rStyle w:val="FootnoteReference"/>
          <w:noProof/>
        </w:rPr>
        <w:footnoteReference w:id="3"/>
      </w:r>
      <w:r>
        <w:rPr>
          <w:noProof/>
        </w:rPr>
        <w:t xml:space="preserve"> privind încheierea Acordului de parteneriat în sectorul pescuitului între Comunitatea Europeană și Republica Capului Verde (denumit în continuare „acordul”), acord intrat în vigoare la 30 martie 2007, care ulterior a fost reînnoit tacit și care este încă în vigoare.</w:t>
      </w:r>
    </w:p>
    <w:p>
      <w:pPr>
        <w:pStyle w:val="ManualConsidrant"/>
        <w:rPr>
          <w:noProof/>
        </w:rPr>
      </w:pPr>
      <w:r>
        <w:t>(2)</w:t>
      </w:r>
      <w:r>
        <w:tab/>
      </w:r>
      <w:r>
        <w:rPr>
          <w:noProof/>
        </w:rPr>
        <w:t>Ultimul protocol la acord expiră la 22 decembrie 2018.</w:t>
      </w:r>
    </w:p>
    <w:p>
      <w:pPr>
        <w:pStyle w:val="ManualConsidrant"/>
        <w:rPr>
          <w:noProof/>
        </w:rPr>
      </w:pPr>
      <w:r>
        <w:t>(3)</w:t>
      </w:r>
      <w:r>
        <w:tab/>
      </w:r>
      <w:r>
        <w:rPr>
          <w:noProof/>
        </w:rPr>
        <w:t xml:space="preserve">Comisia a negociat, în numele Uniunii Europene, un nou protocol privind punerea în aplicare a acordului (denumit în continuare „protocolul”). Ca urmare a negocierilor, protocolul a fost parafat la 12 octombrie 2018. </w:t>
      </w:r>
    </w:p>
    <w:p>
      <w:pPr>
        <w:pStyle w:val="ManualConsidrant"/>
        <w:rPr>
          <w:noProof/>
        </w:rPr>
      </w:pPr>
      <w:r>
        <w:t>(4)</w:t>
      </w:r>
      <w:r>
        <w:tab/>
      </w:r>
      <w:r>
        <w:rPr>
          <w:noProof/>
        </w:rPr>
        <w:t>În conformitate cu Decizia 2018/.../UE a Consiliului</w:t>
      </w:r>
      <w:r>
        <w:rPr>
          <w:rStyle w:val="FootnoteReference"/>
          <w:noProof/>
        </w:rPr>
        <w:footnoteReference w:id="4"/>
      </w:r>
      <w:r>
        <w:rPr>
          <w:noProof/>
        </w:rPr>
        <w:t>, Protocolul privind punerea în aplicare a Acordului în domeniul pescuitului dintre Comunitatea Europeană și Republica Capului Verde a fost semnat la [</w:t>
      </w:r>
      <w:r>
        <w:rPr>
          <w:i/>
          <w:noProof/>
        </w:rPr>
        <w:t>a se introduce data semnării</w:t>
      </w:r>
      <w:r>
        <w:rPr>
          <w:noProof/>
        </w:rPr>
        <w:t>].</w:t>
      </w:r>
    </w:p>
    <w:p>
      <w:pPr>
        <w:pStyle w:val="ManualConsidrant"/>
        <w:rPr>
          <w:noProof/>
        </w:rPr>
      </w:pPr>
      <w:r>
        <w:t>(5)</w:t>
      </w:r>
      <w:r>
        <w:tab/>
      </w:r>
      <w:r>
        <w:rPr>
          <w:noProof/>
        </w:rPr>
        <w:t>Posibilitățile de pescuit prevăzute de protocol ar trebui repartizate între statele membre pentru întreaga perioadă de aplicare a protocolului.</w:t>
      </w:r>
    </w:p>
    <w:p>
      <w:pPr>
        <w:pStyle w:val="ManualConsidrant"/>
        <w:rPr>
          <w:noProof/>
        </w:rPr>
      </w:pPr>
      <w:r>
        <w:t>(6)</w:t>
      </w:r>
      <w:r>
        <w:tab/>
      </w:r>
      <w:r>
        <w:rPr>
          <w:noProof/>
        </w:rPr>
        <w:t>Protocolul se va aplica cu titlu provizoriu de la data semnării sale pentru a asigura începerea rapidă a activităților de pescuit de către navele Uniunii. Prin urmare, ar trebui ca prezentul regulament să se aplice de la aceeași dată,</w:t>
      </w:r>
    </w:p>
    <w:p>
      <w:pPr>
        <w:rPr>
          <w:noProof/>
        </w:rPr>
      </w:pPr>
    </w:p>
    <w:p>
      <w:pPr>
        <w:pStyle w:val="Formuledadoption"/>
        <w:rPr>
          <w:noProof/>
        </w:rPr>
      </w:pPr>
      <w:r>
        <w:rPr>
          <w:noProof/>
        </w:rPr>
        <w:lastRenderedPageBreak/>
        <w:t>ADOPTĂ PREZENTUL REGULAMENT:</w:t>
      </w:r>
    </w:p>
    <w:p>
      <w:pPr>
        <w:pStyle w:val="Titrearticle"/>
        <w:rPr>
          <w:noProof/>
        </w:rPr>
      </w:pPr>
      <w:r>
        <w:rPr>
          <w:noProof/>
        </w:rPr>
        <w:t>Articolul 1</w:t>
      </w:r>
    </w:p>
    <w:p>
      <w:pPr>
        <w:rPr>
          <w:noProof/>
        </w:rPr>
      </w:pPr>
      <w:r>
        <w:rPr>
          <w:noProof/>
        </w:rPr>
        <w:t>(1)</w:t>
      </w:r>
      <w:r>
        <w:rPr>
          <w:noProof/>
        </w:rPr>
        <w:tab/>
        <w:t>Posibilitățile de pescuit stabilite în temeiul protocolului privind punerea în aplicare a Acordului de parteneriat în domeniul pescuitului dintre Comunitatea Europeană și Republica Capului Verde (2019-2024) (denumit în continuare „protocolul”) sunt repartizate între statele membre după cum urmează:</w:t>
      </w:r>
    </w:p>
    <w:p>
      <w:pPr>
        <w:rPr>
          <w:noProof/>
        </w:rPr>
      </w:pPr>
      <w:r>
        <w:rPr>
          <w:noProof/>
        </w:rPr>
        <w:t>(a)</w:t>
      </w:r>
      <w:r>
        <w:rPr>
          <w:noProof/>
        </w:rPr>
        <w:tab/>
        <w:t>nave de pescuit ton cu plasă-pungă:</w:t>
      </w:r>
    </w:p>
    <w:p>
      <w:pPr>
        <w:rPr>
          <w:noProof/>
        </w:rPr>
      </w:pPr>
      <w:r>
        <w:rPr>
          <w:noProof/>
        </w:rPr>
        <w:t>Spania:</w:t>
      </w:r>
      <w:r>
        <w:rPr>
          <w:noProof/>
        </w:rPr>
        <w:tab/>
      </w:r>
      <w:r>
        <w:rPr>
          <w:noProof/>
        </w:rPr>
        <w:tab/>
        <w:t>[16]</w:t>
      </w:r>
      <w:r>
        <w:rPr>
          <w:noProof/>
        </w:rPr>
        <w:tab/>
        <w:t>nave</w:t>
      </w:r>
    </w:p>
    <w:p>
      <w:pPr>
        <w:rPr>
          <w:noProof/>
        </w:rPr>
      </w:pPr>
      <w:r>
        <w:rPr>
          <w:noProof/>
        </w:rPr>
        <w:t xml:space="preserve">Franța: </w:t>
      </w:r>
      <w:r>
        <w:rPr>
          <w:noProof/>
        </w:rPr>
        <w:tab/>
        <w:t>[12]</w:t>
      </w:r>
      <w:r>
        <w:rPr>
          <w:noProof/>
        </w:rPr>
        <w:tab/>
        <w:t>nave</w:t>
      </w:r>
    </w:p>
    <w:p>
      <w:pPr>
        <w:rPr>
          <w:noProof/>
        </w:rPr>
      </w:pPr>
      <w:r>
        <w:rPr>
          <w:noProof/>
        </w:rPr>
        <w:t>(b)</w:t>
      </w:r>
      <w:r>
        <w:rPr>
          <w:noProof/>
        </w:rPr>
        <w:tab/>
        <w:t>nave cu paragate plutitoare:</w:t>
      </w:r>
    </w:p>
    <w:p>
      <w:pPr>
        <w:rPr>
          <w:noProof/>
        </w:rPr>
      </w:pPr>
      <w:r>
        <w:rPr>
          <w:noProof/>
        </w:rPr>
        <w:t>Spania:</w:t>
      </w:r>
      <w:r>
        <w:rPr>
          <w:noProof/>
        </w:rPr>
        <w:tab/>
      </w:r>
      <w:r>
        <w:rPr>
          <w:noProof/>
        </w:rPr>
        <w:tab/>
        <w:t>[21]</w:t>
      </w:r>
      <w:r>
        <w:rPr>
          <w:noProof/>
        </w:rPr>
        <w:tab/>
        <w:t>nave</w:t>
      </w:r>
    </w:p>
    <w:p>
      <w:pPr>
        <w:rPr>
          <w:noProof/>
        </w:rPr>
      </w:pPr>
      <w:r>
        <w:rPr>
          <w:noProof/>
        </w:rPr>
        <w:t>Portugalia:</w:t>
      </w:r>
      <w:r>
        <w:rPr>
          <w:noProof/>
        </w:rPr>
        <w:tab/>
        <w:t>[6]</w:t>
      </w:r>
      <w:r>
        <w:rPr>
          <w:noProof/>
        </w:rPr>
        <w:tab/>
        <w:t>nave</w:t>
      </w:r>
    </w:p>
    <w:p>
      <w:pPr>
        <w:rPr>
          <w:noProof/>
        </w:rPr>
      </w:pPr>
      <w:r>
        <w:rPr>
          <w:noProof/>
        </w:rPr>
        <w:t>(c)</w:t>
      </w:r>
      <w:r>
        <w:rPr>
          <w:noProof/>
        </w:rPr>
        <w:tab/>
        <w:t>nave de pescuit ton cu platformă și paragate:</w:t>
      </w:r>
    </w:p>
    <w:p>
      <w:pPr>
        <w:rPr>
          <w:noProof/>
        </w:rPr>
      </w:pPr>
      <w:r>
        <w:rPr>
          <w:noProof/>
        </w:rPr>
        <w:t>Spania</w:t>
      </w:r>
      <w:r>
        <w:rPr>
          <w:noProof/>
        </w:rPr>
        <w:tab/>
      </w:r>
      <w:r>
        <w:rPr>
          <w:noProof/>
        </w:rPr>
        <w:tab/>
        <w:t>[8]</w:t>
      </w:r>
      <w:r>
        <w:rPr>
          <w:noProof/>
        </w:rPr>
        <w:tab/>
        <w:t>nave</w:t>
      </w:r>
    </w:p>
    <w:p>
      <w:pPr>
        <w:rPr>
          <w:noProof/>
        </w:rPr>
      </w:pPr>
      <w:r>
        <w:rPr>
          <w:noProof/>
        </w:rPr>
        <w:t xml:space="preserve">Franța </w:t>
      </w:r>
      <w:r>
        <w:rPr>
          <w:noProof/>
        </w:rPr>
        <w:tab/>
      </w:r>
      <w:r>
        <w:rPr>
          <w:noProof/>
        </w:rPr>
        <w:tab/>
        <w:t>[4]</w:t>
      </w:r>
      <w:r>
        <w:rPr>
          <w:noProof/>
        </w:rPr>
        <w:tab/>
        <w:t>nave</w:t>
      </w:r>
    </w:p>
    <w:p>
      <w:pPr>
        <w:rPr>
          <w:noProof/>
        </w:rPr>
      </w:pPr>
      <w:r>
        <w:rPr>
          <w:noProof/>
        </w:rPr>
        <w:t>Portugalia:</w:t>
      </w:r>
      <w:r>
        <w:rPr>
          <w:noProof/>
        </w:rPr>
        <w:tab/>
        <w:t>[2]</w:t>
      </w:r>
      <w:r>
        <w:rPr>
          <w:noProof/>
        </w:rPr>
        <w:tab/>
        <w:t>nave</w:t>
      </w:r>
    </w:p>
    <w:p>
      <w:pPr>
        <w:pStyle w:val="Titrearticle"/>
        <w:rPr>
          <w:noProof/>
        </w:rPr>
      </w:pPr>
      <w:r>
        <w:rPr>
          <w:noProof/>
        </w:rPr>
        <w:t>Articolul 2</w:t>
      </w:r>
    </w:p>
    <w:p>
      <w:pPr>
        <w:rPr>
          <w:noProof/>
        </w:rPr>
      </w:pPr>
      <w:r>
        <w:rPr>
          <w:noProof/>
        </w:rPr>
        <w:t xml:space="preserve">Prezentul regulament intră în vigoare în ziua următoare datei publicării în </w:t>
      </w:r>
      <w:r>
        <w:rPr>
          <w:i/>
          <w:noProof/>
        </w:rPr>
        <w:t>Jurnalul Oficial al Uniunii Europene</w:t>
      </w:r>
    </w:p>
    <w:p>
      <w:pPr>
        <w:rPr>
          <w:noProof/>
        </w:rPr>
      </w:pPr>
      <w:r>
        <w:rPr>
          <w:noProof/>
        </w:rPr>
        <w:t>El se aplică de la data aplicării protocolului.</w:t>
      </w:r>
    </w:p>
    <w:p>
      <w:pPr>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Adoptate în cadrul Consiliului Justiție și Afaceri Interne din 4-5 iunie 2018.</w:t>
      </w:r>
    </w:p>
  </w:footnote>
  <w:footnote w:id="2">
    <w:p>
      <w:pPr>
        <w:pStyle w:val="FootnoteText"/>
        <w:rPr>
          <w:lang w:val="fr-BE"/>
        </w:rPr>
      </w:pPr>
      <w:r>
        <w:rPr>
          <w:rStyle w:val="FootnoteReference"/>
        </w:rPr>
        <w:footnoteRef/>
      </w:r>
      <w:r>
        <w:tab/>
        <w:t>JO L414, 30.12.2006, p. 3.</w:t>
      </w:r>
    </w:p>
  </w:footnote>
  <w:footnote w:id="3">
    <w:p>
      <w:pPr>
        <w:pStyle w:val="Footno"/>
      </w:pPr>
      <w:r>
        <w:rPr>
          <w:rStyle w:val="FootnoteReference"/>
        </w:rPr>
        <w:footnoteRef/>
      </w:r>
      <w:r>
        <w:tab/>
        <w:t>Regulamentul (CE) nr. 2027/2006 al Consiliului din 19 decembrie 2006 privind încheierea Acordului de parteneriat în sectorul pescuitului între Comunitatea Europeană și Republica Capului Verde (JO L 414, 30.12.2006, p. 1).</w:t>
      </w:r>
    </w:p>
  </w:footnote>
  <w:footnote w:id="4">
    <w:p>
      <w:pPr>
        <w:pStyle w:val="FootnoteText"/>
        <w:ind w:left="0" w:firstLine="0"/>
        <w:rPr>
          <w:lang w:val="nb-NO"/>
        </w:rPr>
      </w:pPr>
      <w:r>
        <w:rPr>
          <w:rStyle w:val="FootnoteReference"/>
        </w:rPr>
        <w:footnoteRef/>
      </w:r>
      <w:r>
        <w:tab/>
        <w:t>Decizie... (JO L...,...,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0: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52599C27-E39E-4FA3-9135-5C9C2F03D2B7"/>
    <w:docVar w:name="LW_COVERPAGE_TYPE" w:val="1"/>
    <w:docVar w:name="LW_CROSSREFERENCE" w:val="&lt;UNUSED&gt;"/>
    <w:docVar w:name="LW_DocType" w:val="COM"/>
    <w:docVar w:name="LW_EMISSION" w:val="14.3.2019"/>
    <w:docVar w:name="LW_EMISSION_ISODATE" w:val="2019-03-14"/>
    <w:docVar w:name="LW_EMISSION_LOCATION" w:val="BRX"/>
    <w:docVar w:name="LW_EMISSION_PREFIX" w:val="Bruxelle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repartizarea posibilit\u259?\u539?ilor de pescuit în temeiul Protocolului privind punerea în aplicare a Acordului de parteneriat în domeniul pescuitului dintre Comunitatea European\u259? \u537?i Republica Capului Verde (2019-2024)_x000b_"/>
    <w:docVar w:name="LW_TYPE.DOC.CP" w:val="REGULAMENT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CE5014-DEBC-4899-BADA-F56435B4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967</Words>
  <Characters>5845</Characters>
  <Application>Microsoft Office Word</Application>
  <DocSecurity>0</DocSecurity>
  <Lines>119</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2018-12-14T14:47:00Z</cp:lastPrinted>
  <dcterms:created xsi:type="dcterms:W3CDTF">2019-02-15T12:41:00Z</dcterms:created>
  <dcterms:modified xsi:type="dcterms:W3CDTF">2019-03-13T13:30:00Z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