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E4A4A66-9003-4655-A3E4-6C71D24F63E6"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color w:val="000000"/>
          <w:u w:color="000000"/>
          <w:bdr w:val="nil"/>
        </w:rPr>
        <w:tab/>
        <w:t>Razlogi za predlog in njegovi cilji</w:t>
      </w:r>
    </w:p>
    <w:p>
      <w:pPr>
        <w:pBdr>
          <w:top w:val="nil"/>
          <w:left w:val="nil"/>
          <w:bottom w:val="nil"/>
          <w:right w:val="nil"/>
          <w:between w:val="nil"/>
          <w:bar w:val="nil"/>
        </w:pBdr>
        <w:spacing w:before="0" w:after="240"/>
        <w:rPr>
          <w:rFonts w:eastAsia="Arial Unicode MS"/>
          <w:noProof/>
        </w:rPr>
      </w:pPr>
      <w:r>
        <w:rPr>
          <w:noProof/>
        </w:rPr>
        <w:t>Komisija je na podlagi ustreznih pogajalskih smernic</w:t>
      </w:r>
      <w:r>
        <w:rPr>
          <w:rStyle w:val="FootnoteReference"/>
          <w:noProof/>
        </w:rPr>
        <w:footnoteReference w:id="1"/>
      </w:r>
      <w:r>
        <w:rPr>
          <w:noProof/>
        </w:rPr>
        <w:t xml:space="preserve"> opravila pogajanja z vlado Republike Zelenortski otoki (v nadaljnjem besedilu: Zelenortski otoki) za sklenitev novega protokola k Sporazumu o partnerstvu v ribiškem sektorju med Evropsko skupnostjo in Republiko Zelenortski otoki</w:t>
      </w:r>
      <w:r>
        <w:rPr>
          <w:rStyle w:val="FootnoteReference"/>
          <w:noProof/>
        </w:rPr>
        <w:footnoteReference w:id="2"/>
      </w:r>
      <w:r>
        <w:rPr>
          <w:noProof/>
        </w:rPr>
        <w:t xml:space="preserve">. Po koncu pogajanj je bil 12. oktobra 2018 parafiran nov protokol. Protokol zajema petletno obdobje od datuma začetka njegove začasne uporabe, to je od datuma njegovega podpisa, kot je navedeno v členu 15 Protokola. </w:t>
      </w:r>
    </w:p>
    <w:p>
      <w:pPr>
        <w:pBdr>
          <w:top w:val="nil"/>
          <w:left w:val="nil"/>
          <w:bottom w:val="nil"/>
          <w:right w:val="nil"/>
          <w:between w:val="nil"/>
          <w:bar w:val="nil"/>
        </w:pBdr>
        <w:spacing w:before="0" w:after="240"/>
        <w:rPr>
          <w:rFonts w:eastAsia="Arial Unicode MS"/>
          <w:noProof/>
        </w:rPr>
      </w:pPr>
      <w:r>
        <w:rPr>
          <w:noProof/>
        </w:rPr>
        <w:t>Glavni cilj novega protokola je plovilom Unije zagotoviti ribolovne možnosti v vodah Zelenortskih otokov na podlagi najboljšega razpoložljivega znanstvenega mnenja in ob upoštevanju priporočil Mednarodne komisije za ohranitev tunov v Atlantiku. Pri novem protokolu se upoštevajo rezultati ocene zadnjega protokola (2014–2018) in v prihodnost usmerjene ocene smotrnosti sklenitve novega protokola. Obe oceni so izvedli zunanji strokovnjaki. Protokol bo Evropski uniji in Republiki Zelenortski otoki prav tako omogočil tesnejše sodelovanje pri spodbujanju odgovornega izkoriščanja ribolovnih virov v vodah Zelenortskih otokov ter podprl prizadevanja Zelenortskih otokov za razvoj njihovega modrega gospodarstva, kar je v interesu obeh pogodbenic.</w:t>
      </w:r>
    </w:p>
    <w:p>
      <w:pPr>
        <w:pBdr>
          <w:top w:val="nil"/>
          <w:left w:val="nil"/>
          <w:bottom w:val="nil"/>
          <w:right w:val="nil"/>
          <w:between w:val="nil"/>
          <w:bar w:val="nil"/>
        </w:pBdr>
        <w:spacing w:before="0"/>
        <w:rPr>
          <w:noProof/>
        </w:rPr>
      </w:pPr>
      <w:r>
        <w:rPr>
          <w:noProof/>
        </w:rPr>
        <w:t>Protokol določa ribolovne možnosti za naslednje kategorije:</w:t>
      </w:r>
    </w:p>
    <w:p>
      <w:pPr>
        <w:pStyle w:val="Point0letter"/>
        <w:numPr>
          <w:ilvl w:val="1"/>
          <w:numId w:val="6"/>
        </w:numPr>
        <w:rPr>
          <w:noProof/>
        </w:rPr>
      </w:pPr>
      <w:r>
        <w:rPr>
          <w:noProof/>
        </w:rPr>
        <w:t>28 zamrzovalnih plovil za ribolov tuna s potegalko;</w:t>
      </w:r>
    </w:p>
    <w:p>
      <w:pPr>
        <w:pStyle w:val="Point0letter"/>
        <w:numPr>
          <w:ilvl w:val="1"/>
          <w:numId w:val="6"/>
        </w:numPr>
        <w:rPr>
          <w:noProof/>
        </w:rPr>
      </w:pPr>
      <w:r>
        <w:rPr>
          <w:noProof/>
        </w:rPr>
        <w:t>27 plovil s površinskim parangalom;</w:t>
      </w:r>
    </w:p>
    <w:p>
      <w:pPr>
        <w:pStyle w:val="Point0letter"/>
        <w:numPr>
          <w:ilvl w:val="1"/>
          <w:numId w:val="6"/>
        </w:numPr>
        <w:rPr>
          <w:noProof/>
        </w:rPr>
      </w:pPr>
      <w:r>
        <w:rPr>
          <w:noProof/>
        </w:rPr>
        <w:t>14 plovil za ribolov tuna z ribiško palico.</w:t>
      </w:r>
    </w:p>
    <w:p>
      <w:pPr>
        <w:pBdr>
          <w:top w:val="nil"/>
          <w:left w:val="nil"/>
          <w:bottom w:val="nil"/>
          <w:right w:val="nil"/>
          <w:between w:val="nil"/>
          <w:bar w:val="nil"/>
        </w:pBdr>
        <w:spacing w:before="0" w:after="240"/>
        <w:rPr>
          <w:noProof/>
        </w:rPr>
      </w:pPr>
      <w:r>
        <w:rPr>
          <w:noProof/>
        </w:rPr>
        <w:t>Treba je določiti način razdelitve teh ribolovnih možnosti med države članice.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spacing w:before="0" w:after="240"/>
        <w:rPr>
          <w:noProof/>
        </w:rPr>
      </w:pPr>
      <w:r>
        <w:rPr>
          <w:noProof/>
        </w:rPr>
        <w:t xml:space="preserve">Izbrana pravna podlaga je Pogodba o delovanju Evropske unije, ki v členu 43(3) določa, da Svet na predlog Komisije sprejme dodelitev ribolovnih možnosti. </w:t>
      </w:r>
    </w:p>
    <w:p>
      <w:pPr>
        <w:pStyle w:val="ManualHeading2"/>
        <w:rPr>
          <w:rFonts w:eastAsia="Arial Unicode MS"/>
          <w:noProof/>
          <w:u w:color="000000"/>
          <w:bdr w:val="nil"/>
        </w:rPr>
      </w:pPr>
      <w:r>
        <w:rPr>
          <w:noProof/>
          <w:u w:color="000000"/>
          <w:bdr w:val="nil"/>
        </w:rPr>
        <w:t>•</w:t>
      </w:r>
      <w:r>
        <w:rPr>
          <w:noProof/>
          <w:u w:color="000000"/>
          <w:bdr w:val="nil"/>
        </w:rPr>
        <w:tab/>
        <w:t>Subsidiarnost (za neizključno pristojnost)</w:t>
      </w:r>
    </w:p>
    <w:p>
      <w:pPr>
        <w:spacing w:before="0" w:after="240"/>
        <w:rPr>
          <w:noProof/>
        </w:rPr>
      </w:pPr>
      <w:r>
        <w:rPr>
          <w:noProof/>
        </w:rPr>
        <w:t xml:space="preserve">Področje ukrepa je v izključni pristojnosti Evropske unije. </w:t>
      </w:r>
    </w:p>
    <w:p>
      <w:pPr>
        <w:spacing w:before="0" w:after="240"/>
        <w:rPr>
          <w:noProof/>
        </w:rPr>
      </w:pP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Naknadne ocene/preverjanja ustreznosti obstoječe zakonodaje</w:t>
      </w:r>
    </w:p>
    <w:p>
      <w:pPr>
        <w:pBdr>
          <w:top w:val="nil"/>
          <w:left w:val="nil"/>
          <w:bottom w:val="nil"/>
          <w:right w:val="nil"/>
          <w:between w:val="nil"/>
          <w:bar w:val="nil"/>
        </w:pBdr>
        <w:spacing w:before="0" w:after="240"/>
        <w:rPr>
          <w:noProof/>
        </w:rPr>
      </w:pPr>
      <w:r>
        <w:rPr>
          <w:noProof/>
        </w:rPr>
        <w:t>V okviru naknadne in predhodne ocene so bila opravljena posvetovanja z zainteresiranimi stranmi o morebitnem novem protokolu med Evropsko unijo in Republiko Zelenortski otoki. Na tehničnih sestankih so bila opravljena tudi posvetovanja s strokovnjaki iz držav članic in sektorja. Na podlagi teh posvetovanj je bilo sklenjeno, da bi bilo za Evropsko unijo in Republiko Zelenortski otoki koristno, da bi sklenili nov protokol k sporazumu o partnerstvu v ribiškem sektorju.</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pBdr>
          <w:top w:val="nil"/>
          <w:left w:val="nil"/>
          <w:bottom w:val="nil"/>
          <w:right w:val="nil"/>
          <w:between w:val="nil"/>
          <w:bar w:val="nil"/>
        </w:pBdr>
        <w:spacing w:before="0" w:after="240"/>
        <w:rPr>
          <w:rFonts w:eastAsia="Arial Unicode MS"/>
          <w:noProof/>
        </w:rPr>
      </w:pPr>
      <w:r>
        <w:rPr>
          <w:noProof/>
        </w:rPr>
        <w:t>V okviru ocene so bila opravljena posvetovanja z državami članicami, predstavniki sektorja, mednarodnimi organizacijami civilne družbe ter ribiško upravo in civilno družbo Zelenortskih otokov. Posvetovanja so potekala tudi v okviru Svetovalnega sveta za ribolov v oddaljenih vodah.</w:t>
      </w:r>
    </w:p>
    <w:p>
      <w:pPr>
        <w:pStyle w:val="ManualHeading2"/>
        <w:rPr>
          <w:rFonts w:eastAsia="Arial Unicode MS"/>
          <w:noProof/>
          <w:u w:color="000000"/>
          <w:bdr w:val="nil"/>
        </w:rPr>
      </w:pPr>
      <w:r>
        <w:rPr>
          <w:noProof/>
          <w:u w:color="000000"/>
          <w:bdr w:val="nil"/>
        </w:rPr>
        <w:t>•</w:t>
      </w:r>
      <w:r>
        <w:rPr>
          <w:noProof/>
          <w:u w:color="000000"/>
          <w:bdr w:val="nil"/>
        </w:rPr>
        <w:tab/>
        <w:t>Zbiranje in uporaba strokovnih mnenj</w:t>
      </w:r>
    </w:p>
    <w:p>
      <w:pPr>
        <w:spacing w:before="0" w:after="240"/>
        <w:rPr>
          <w:noProof/>
        </w:rPr>
      </w:pPr>
      <w:r>
        <w:rPr>
          <w:noProof/>
        </w:rPr>
        <w:t xml:space="preserve">Predhodno in naknadno oceno je za Komisijo v skladu s členom 31(10) uredbe o skupni ribiški politiki opravil neodvisni svetovalec. </w:t>
      </w:r>
    </w:p>
    <w:p>
      <w:pPr>
        <w:pStyle w:val="ManualHeading1"/>
        <w:rPr>
          <w:noProof/>
        </w:rPr>
      </w:pPr>
      <w:r>
        <w:rPr>
          <w:noProof/>
        </w:rPr>
        <w:t>4.</w:t>
      </w:r>
      <w:r>
        <w:rPr>
          <w:noProof/>
        </w:rPr>
        <w:tab/>
        <w:t>PRORAČUNSKE POSLEDICE</w:t>
      </w:r>
    </w:p>
    <w:p>
      <w:pPr>
        <w:spacing w:before="0" w:after="240"/>
        <w:rPr>
          <w:noProof/>
        </w:rPr>
      </w:pPr>
      <w:r>
        <w:rPr>
          <w:noProof/>
        </w:rPr>
        <w:t>Osnutek uredbe ne vpliva na proračun Unije.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pPr>
        <w:spacing w:before="0" w:after="240"/>
        <w:rPr>
          <w:noProof/>
        </w:rPr>
      </w:pPr>
      <w:r>
        <w:rPr>
          <w:noProof/>
        </w:rPr>
        <w:t xml:space="preserve">Ta postopek se začenja vzporedno s postopkoma v zvezi s sklepom Sveta o podpisu, v imenu Unije, Protokola k Sporazumu o partnerstvu v ribiškem sektorju med Evropsko skupnostjo in Republiko Zelenortski otoki ter sklepom Sveta o njegovi sklenitvi. Ta uredba se mora začeti uporabljati takoj, ko so na podlagi sporazuma možne ribolovne dejavnosti, tj. od datuma začetka začasne uporabe Protokola.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dodelitvi ribolovnih možnosti v skladu s Protokolom o izvajanju Sporazuma o partnerstvu v ribiškem sektorju med Evropsko skupnostjo in Republiko Zelenortski otoki (2019–2024)</w:t>
      </w:r>
      <w:r>
        <w:rPr>
          <w:noProof/>
        </w:rPr>
        <w:br/>
      </w:r>
    </w:p>
    <w:p>
      <w:pPr>
        <w:pStyle w:val="Institutionquiagit"/>
        <w:rPr>
          <w:noProof/>
        </w:rPr>
      </w:pPr>
      <w:r>
        <w:rPr>
          <w:noProof/>
        </w:rPr>
        <w:t>SVET EVROPSKE UNIJE JE –</w:t>
      </w:r>
    </w:p>
    <w:p>
      <w:pPr>
        <w:rPr>
          <w:noProof/>
        </w:rPr>
      </w:pPr>
      <w:r>
        <w:rPr>
          <w:noProof/>
        </w:rPr>
        <w:t>ob upoštevanju Pogodbe o delovanju Evropske unije in zlasti člena 43(3)</w:t>
      </w:r>
    </w:p>
    <w:p>
      <w:pPr>
        <w:rPr>
          <w:noProof/>
        </w:rPr>
      </w:pPr>
      <w:r>
        <w:rPr>
          <w:noProof/>
        </w:rPr>
        <w:t>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Svet je 19. decembra 2006 sprejel Uredbo (ES) št. 2027/2006</w:t>
      </w:r>
      <w:r>
        <w:rPr>
          <w:rStyle w:val="FootnoteReference"/>
          <w:noProof/>
        </w:rPr>
        <w:footnoteReference w:id="3"/>
      </w:r>
      <w:r>
        <w:rPr>
          <w:noProof/>
        </w:rPr>
        <w:t xml:space="preserve"> o sklenitvi Sporazuma o partnerstvu v ribiškem sektorju med Evropsko skupnostjo in Republiko Zelenortski otoki (v nadaljnjem besedilu: Sporazum); Sporazum, ki je začel veljati 30. marca 2007, je bil nato samodejno podaljšan in še vedno velja.</w:t>
      </w:r>
    </w:p>
    <w:p>
      <w:pPr>
        <w:pStyle w:val="ManualConsidrant"/>
        <w:rPr>
          <w:noProof/>
        </w:rPr>
      </w:pPr>
      <w:r>
        <w:t>(2)</w:t>
      </w:r>
      <w:r>
        <w:tab/>
      </w:r>
      <w:r>
        <w:rPr>
          <w:noProof/>
        </w:rPr>
        <w:t>Zadnji protokol k Sporazumu je prenehal veljati 22. decembra 2018.</w:t>
      </w:r>
    </w:p>
    <w:p>
      <w:pPr>
        <w:pStyle w:val="ManualConsidrant"/>
        <w:rPr>
          <w:noProof/>
        </w:rPr>
      </w:pPr>
      <w:r>
        <w:t>(3)</w:t>
      </w:r>
      <w:r>
        <w:tab/>
      </w:r>
      <w:r>
        <w:rPr>
          <w:noProof/>
        </w:rPr>
        <w:t xml:space="preserve">Komisija je v imenu Evropske unije s pogajanji dosegla dogovor o novem protokolu o izvajanju Sporazuma (v nadaljnjem besedilu: Protokol). Po zaključku pogajanj je bil Protokol parafiran 12. oktobra 2018. </w:t>
      </w:r>
    </w:p>
    <w:p>
      <w:pPr>
        <w:pStyle w:val="ManualConsidrant"/>
        <w:rPr>
          <w:noProof/>
        </w:rPr>
      </w:pPr>
      <w:r>
        <w:t>(4)</w:t>
      </w:r>
      <w:r>
        <w:tab/>
      </w:r>
      <w:r>
        <w:rPr>
          <w:noProof/>
        </w:rPr>
        <w:t>Protokol o izvajanju Sporazuma v ribiškem sektorju med Evropsko skupnostjo in Republiko Zelenortski otoki je bil v skladu s Sklepom Sveta (EU) 2018/...</w:t>
      </w:r>
      <w:r>
        <w:rPr>
          <w:rStyle w:val="FootnoteReference"/>
          <w:noProof/>
        </w:rPr>
        <w:footnoteReference w:id="4"/>
      </w:r>
      <w:r>
        <w:rPr>
          <w:noProof/>
        </w:rPr>
        <w:t xml:space="preserve"> podpisan [</w:t>
      </w:r>
      <w:r>
        <w:rPr>
          <w:i/>
          <w:noProof/>
        </w:rPr>
        <w:t>vstaviti datum podpisa</w:t>
      </w:r>
      <w:r>
        <w:rPr>
          <w:noProof/>
        </w:rPr>
        <w:t>].</w:t>
      </w:r>
    </w:p>
    <w:p>
      <w:pPr>
        <w:pStyle w:val="ManualConsidrant"/>
        <w:rPr>
          <w:noProof/>
        </w:rPr>
      </w:pPr>
      <w:r>
        <w:t>(5)</w:t>
      </w:r>
      <w:r>
        <w:tab/>
      </w:r>
      <w:r>
        <w:rPr>
          <w:noProof/>
        </w:rPr>
        <w:t>Ribolovne možnosti iz Protokola je treba državam članicam dodeliti za celotno trajanje njegove uporabe.</w:t>
      </w:r>
    </w:p>
    <w:p>
      <w:pPr>
        <w:pStyle w:val="ManualConsidrant"/>
        <w:rPr>
          <w:noProof/>
        </w:rPr>
      </w:pPr>
      <w:r>
        <w:t>(6)</w:t>
      </w:r>
      <w:r>
        <w:tab/>
      </w:r>
      <w:r>
        <w:rPr>
          <w:noProof/>
        </w:rPr>
        <w:t>Protokol se začasno uporablja od datuma podpisa, da se zagotovi čimprejšnji začetek ribolovnih dejavnosti plovil Unije. Zato bi bilo treba to uredbo uporabljati od istega datuma –</w:t>
      </w:r>
    </w:p>
    <w:p>
      <w:pPr>
        <w:rPr>
          <w:noProof/>
        </w:rPr>
      </w:pPr>
    </w:p>
    <w:p>
      <w:pPr>
        <w:pStyle w:val="Formuledadoption"/>
        <w:rPr>
          <w:noProof/>
        </w:rPr>
      </w:pPr>
      <w:r>
        <w:rPr>
          <w:noProof/>
        </w:rPr>
        <w:t>SPREJEL NASLEDNJO UREDBO:</w:t>
      </w:r>
    </w:p>
    <w:p>
      <w:pPr>
        <w:pStyle w:val="Titrearticle"/>
        <w:rPr>
          <w:noProof/>
        </w:rPr>
      </w:pPr>
      <w:r>
        <w:rPr>
          <w:noProof/>
        </w:rPr>
        <w:t>Člen 1</w:t>
      </w:r>
    </w:p>
    <w:p>
      <w:pPr>
        <w:rPr>
          <w:noProof/>
        </w:rPr>
      </w:pPr>
      <w:r>
        <w:rPr>
          <w:noProof/>
        </w:rPr>
        <w:t>(1)</w:t>
      </w:r>
      <w:r>
        <w:rPr>
          <w:noProof/>
        </w:rPr>
        <w:tab/>
        <w:t>Ribolovne možnosti, določene na podlagi Protokola o izvajanju Sporazuma o partnerstvu v ribiškem sektorju med Evropsko skupnostjo in Republiko Zelenortski otoki (2019–2024) (v nadaljnjem besedilu: Protokol), se državam članicam dodelijo, kot sledi:</w:t>
      </w:r>
    </w:p>
    <w:p>
      <w:pPr>
        <w:rPr>
          <w:noProof/>
        </w:rPr>
      </w:pPr>
      <w:r>
        <w:rPr>
          <w:noProof/>
        </w:rPr>
        <w:t>(a)</w:t>
      </w:r>
      <w:r>
        <w:rPr>
          <w:noProof/>
        </w:rPr>
        <w:tab/>
        <w:t>plovila za ribolov tuna s potegalko:</w:t>
      </w:r>
    </w:p>
    <w:p>
      <w:pPr>
        <w:rPr>
          <w:noProof/>
        </w:rPr>
      </w:pPr>
      <w:r>
        <w:rPr>
          <w:noProof/>
        </w:rPr>
        <w:t>Španija:</w:t>
      </w:r>
      <w:r>
        <w:rPr>
          <w:noProof/>
        </w:rPr>
        <w:tab/>
      </w:r>
      <w:r>
        <w:rPr>
          <w:noProof/>
        </w:rPr>
        <w:tab/>
        <w:t>[16]</w:t>
      </w:r>
      <w:r>
        <w:rPr>
          <w:noProof/>
        </w:rPr>
        <w:tab/>
        <w:t>plovil</w:t>
      </w:r>
    </w:p>
    <w:p>
      <w:pPr>
        <w:rPr>
          <w:noProof/>
        </w:rPr>
      </w:pPr>
      <w:r>
        <w:rPr>
          <w:noProof/>
        </w:rPr>
        <w:t xml:space="preserve">Francija:   </w:t>
      </w:r>
      <w:r>
        <w:rPr>
          <w:noProof/>
        </w:rPr>
        <w:tab/>
      </w:r>
      <w:r>
        <w:rPr>
          <w:noProof/>
        </w:rPr>
        <w:tab/>
        <w:t>[12]</w:t>
      </w:r>
      <w:r>
        <w:rPr>
          <w:noProof/>
        </w:rPr>
        <w:tab/>
        <w:t>plovil</w:t>
      </w:r>
    </w:p>
    <w:p>
      <w:pPr>
        <w:rPr>
          <w:noProof/>
        </w:rPr>
      </w:pPr>
      <w:r>
        <w:rPr>
          <w:noProof/>
        </w:rPr>
        <w:t>(b)</w:t>
      </w:r>
      <w:r>
        <w:rPr>
          <w:noProof/>
        </w:rPr>
        <w:tab/>
        <w:t>plovila s površinskim parangalom:</w:t>
      </w:r>
    </w:p>
    <w:p>
      <w:pPr>
        <w:rPr>
          <w:noProof/>
        </w:rPr>
      </w:pPr>
      <w:r>
        <w:rPr>
          <w:noProof/>
        </w:rPr>
        <w:t>Španija:</w:t>
      </w:r>
      <w:r>
        <w:rPr>
          <w:noProof/>
        </w:rPr>
        <w:tab/>
      </w:r>
      <w:r>
        <w:rPr>
          <w:noProof/>
        </w:rPr>
        <w:tab/>
        <w:t>[21]</w:t>
      </w:r>
      <w:r>
        <w:rPr>
          <w:noProof/>
        </w:rPr>
        <w:tab/>
        <w:t>plovil</w:t>
      </w:r>
    </w:p>
    <w:p>
      <w:pPr>
        <w:rPr>
          <w:noProof/>
        </w:rPr>
      </w:pPr>
      <w:r>
        <w:rPr>
          <w:noProof/>
        </w:rPr>
        <w:t>Portugalska:</w:t>
      </w:r>
      <w:r>
        <w:rPr>
          <w:noProof/>
        </w:rPr>
        <w:tab/>
      </w:r>
      <w:r>
        <w:rPr>
          <w:noProof/>
        </w:rPr>
        <w:tab/>
        <w:t>[6]</w:t>
      </w:r>
      <w:r>
        <w:rPr>
          <w:noProof/>
        </w:rPr>
        <w:tab/>
        <w:t>plovil</w:t>
      </w:r>
    </w:p>
    <w:p>
      <w:pPr>
        <w:rPr>
          <w:noProof/>
        </w:rPr>
      </w:pPr>
      <w:r>
        <w:rPr>
          <w:noProof/>
        </w:rPr>
        <w:t>(c)</w:t>
      </w:r>
      <w:r>
        <w:rPr>
          <w:noProof/>
        </w:rPr>
        <w:tab/>
        <w:t>plovila za ribolov tuna z ribiško palico:</w:t>
      </w:r>
    </w:p>
    <w:p>
      <w:pPr>
        <w:rPr>
          <w:noProof/>
        </w:rPr>
      </w:pPr>
      <w:r>
        <w:rPr>
          <w:noProof/>
        </w:rPr>
        <w:t>Španija:</w:t>
      </w:r>
      <w:r>
        <w:rPr>
          <w:noProof/>
        </w:rPr>
        <w:tab/>
      </w:r>
      <w:r>
        <w:rPr>
          <w:noProof/>
        </w:rPr>
        <w:tab/>
        <w:t>[8]</w:t>
      </w:r>
      <w:r>
        <w:rPr>
          <w:noProof/>
        </w:rPr>
        <w:tab/>
        <w:t>plovil</w:t>
      </w:r>
    </w:p>
    <w:p>
      <w:pPr>
        <w:rPr>
          <w:noProof/>
        </w:rPr>
      </w:pPr>
      <w:r>
        <w:rPr>
          <w:noProof/>
        </w:rPr>
        <w:t xml:space="preserve">Francija: </w:t>
      </w:r>
      <w:r>
        <w:rPr>
          <w:noProof/>
        </w:rPr>
        <w:tab/>
      </w:r>
      <w:r>
        <w:rPr>
          <w:noProof/>
        </w:rPr>
        <w:tab/>
        <w:t>[4]</w:t>
      </w:r>
      <w:r>
        <w:rPr>
          <w:noProof/>
        </w:rPr>
        <w:tab/>
        <w:t>plovila</w:t>
      </w:r>
    </w:p>
    <w:p>
      <w:pPr>
        <w:rPr>
          <w:noProof/>
        </w:rPr>
      </w:pPr>
      <w:r>
        <w:rPr>
          <w:noProof/>
        </w:rPr>
        <w:t>Portugalska:</w:t>
      </w:r>
      <w:r>
        <w:rPr>
          <w:noProof/>
        </w:rPr>
        <w:tab/>
      </w:r>
      <w:r>
        <w:rPr>
          <w:noProof/>
        </w:rPr>
        <w:tab/>
        <w:t>[2]</w:t>
      </w:r>
      <w:r>
        <w:rPr>
          <w:noProof/>
        </w:rPr>
        <w:tab/>
        <w:t>plovili</w:t>
      </w:r>
    </w:p>
    <w:p>
      <w:pPr>
        <w:pStyle w:val="Titrearticle"/>
        <w:rPr>
          <w:noProof/>
        </w:rPr>
      </w:pPr>
      <w:r>
        <w:rPr>
          <w:noProof/>
        </w:rPr>
        <w:t>Člen 2</w:t>
      </w:r>
    </w:p>
    <w:p>
      <w:pPr>
        <w:rPr>
          <w:noProof/>
        </w:rPr>
      </w:pPr>
      <w:r>
        <w:rPr>
          <w:noProof/>
        </w:rPr>
        <w:t>Ta uredba začne veljati dan po objavi v </w:t>
      </w:r>
      <w:r>
        <w:rPr>
          <w:i/>
          <w:noProof/>
        </w:rPr>
        <w:t>Uradnem listu Evropske unije</w:t>
      </w:r>
      <w:r>
        <w:rPr>
          <w:noProof/>
        </w:rPr>
        <w:t>.</w:t>
      </w:r>
    </w:p>
    <w:p>
      <w:pPr>
        <w:rPr>
          <w:noProof/>
        </w:rPr>
      </w:pPr>
      <w:r>
        <w:rPr>
          <w:noProof/>
        </w:rPr>
        <w:t>Uporablja se od datuma začetka uporabe Protokola.</w:t>
      </w:r>
    </w:p>
    <w:p>
      <w:pPr>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Sprejete na zasedanju Sveta za pravosodje in notranje zadeve 4. in 5. junija 2018.</w:t>
      </w:r>
    </w:p>
  </w:footnote>
  <w:footnote w:id="2">
    <w:p>
      <w:pPr>
        <w:pStyle w:val="FootnoteText"/>
      </w:pPr>
      <w:r>
        <w:rPr>
          <w:rStyle w:val="FootnoteReference"/>
        </w:rPr>
        <w:footnoteRef/>
      </w:r>
      <w:r>
        <w:tab/>
        <w:t>UL L 414, 30.12.2006, str. 3.</w:t>
      </w:r>
    </w:p>
  </w:footnote>
  <w:footnote w:id="3">
    <w:p>
      <w:pPr>
        <w:pStyle w:val="Footno"/>
      </w:pPr>
      <w:r>
        <w:rPr>
          <w:rStyle w:val="FootnoteReference"/>
        </w:rPr>
        <w:footnoteRef/>
      </w:r>
      <w:r>
        <w:tab/>
        <w:t>Uredba Sveta (ES) št. 2027/2006 z dne 19. decembra 2006 o sklenitvi Sporazuma o partnerstvu v ribiškem sektorju med Evropsko skupnostjo in Republiko Zelenortski otoki (UL L 414, 30.12.2006, str. 1).</w:t>
      </w:r>
    </w:p>
  </w:footnote>
  <w:footnote w:id="4">
    <w:p>
      <w:pPr>
        <w:pStyle w:val="FootnoteText"/>
        <w:ind w:left="0" w:firstLine="0"/>
      </w:pPr>
      <w:r>
        <w:rPr>
          <w:rStyle w:val="FootnoteReference"/>
        </w:rPr>
        <w:footnoteRef/>
      </w:r>
      <w:r>
        <w:tab/>
        <w:t>Sklep ... (UL L ..., ..., str.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0: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E4A4A66-9003-4655-A3E4-6C71D24F63E6"/>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delitvi ribolovnih mo\u382?nosti v skladu s Protokolom o izvajanju Sporazuma o partnerstvu v ribi\u353?kem sektorju med Evropsko skupnostjo in Republiko Zelenortski otoki (2019\u8211?2024)_x000b_"/>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1CCEF5-8158-402C-B0BF-341986F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833</Words>
  <Characters>5049</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2019-02-12T15:46:00Z</dcterms:created>
  <dcterms:modified xsi:type="dcterms:W3CDTF">2019-03-13T13:30:00Z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