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964F5B0-2B93-42D0-BBC9-7F626369B133"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Przyczyny i cele wniosku</w:t>
      </w:r>
    </w:p>
    <w:p>
      <w:pPr>
        <w:pBdr>
          <w:top w:val="nil"/>
          <w:left w:val="nil"/>
          <w:bottom w:val="nil"/>
          <w:right w:val="nil"/>
          <w:between w:val="nil"/>
          <w:bar w:val="nil"/>
        </w:pBdr>
        <w:spacing w:before="0" w:after="240"/>
        <w:rPr>
          <w:rFonts w:eastAsia="Arial Unicode MS"/>
          <w:noProof/>
        </w:rPr>
      </w:pPr>
      <w:r>
        <w:rPr>
          <w:noProof/>
        </w:rPr>
        <w:t>Na podstawie odpowiednich wytycznych negocjacyjnych</w:t>
      </w:r>
      <w:r>
        <w:rPr>
          <w:rStyle w:val="FootnoteReference"/>
          <w:noProof/>
        </w:rPr>
        <w:footnoteReference w:id="1"/>
      </w:r>
      <w:r>
        <w:rPr>
          <w:noProof/>
        </w:rPr>
        <w:t xml:space="preserve"> Komisja przeprowadziła negocjacje z rządem Republiki Zielonego Przylądka („Republika Zielonego Przylądka”) w celu zawarcia nowego protokołu do Umowy partnerskiej w sprawie połowów między Wspólnotą Europejską a Republiką Zielonego Przylądka</w:t>
      </w:r>
      <w:r>
        <w:rPr>
          <w:rStyle w:val="FootnoteReference"/>
          <w:noProof/>
        </w:rPr>
        <w:footnoteReference w:id="2"/>
      </w:r>
      <w:r>
        <w:rPr>
          <w:noProof/>
        </w:rPr>
        <w:t xml:space="preserve">. W wyniku tych negocjacji nowy protokół parafowano w dniu 12 października 2018 r. Protokół obejmuje okres pięciu lat, począwszy od daty jego tymczasowego stosowania, tj. od daty jego podpisania, zgodnie z art. 15. </w:t>
      </w:r>
    </w:p>
    <w:p>
      <w:pPr>
        <w:pBdr>
          <w:top w:val="nil"/>
          <w:left w:val="nil"/>
          <w:bottom w:val="nil"/>
          <w:right w:val="nil"/>
          <w:between w:val="nil"/>
          <w:bar w:val="nil"/>
        </w:pBdr>
        <w:spacing w:before="0" w:after="240"/>
        <w:rPr>
          <w:rFonts w:eastAsia="Arial Unicode MS"/>
          <w:noProof/>
        </w:rPr>
      </w:pPr>
      <w:r>
        <w:rPr>
          <w:noProof/>
        </w:rPr>
        <w:t>Głównym celem nowego protokołu jest zapewnienie statkom unijnym uprawnień do połowów na wodach Republiki Zielonego Przylądka na podstawie najlepszych dostępnych opinii naukowych i z uwzględnieniem zaleceń Międzynarodowej Komisji ds. Ochrony Tuńczyka Atlantyckiego (ICCAT). Ten nowy protokół uwzględnia wyniki oceny ostatniego protokołu (na lata 2014–2018) oraz perspektywicznej oceny dotyczącej potrzeby zawarcia nowego protokołu. Obie oceny zostały przeprowadzone przez ekspertów zewnętrznych. Protokół umożliwi także Unii Europejskiej oraz Republice Zielonego Przylądka bliższą współpracę w celu propagowania rozsądnej eksploatacji zasobów rybnych w wodach Republiki Zielonego Przylądka oraz wsparcie wysiłków Republiki Zielonego Przylądka na rzecz rozwoju niebieskiej gospodarki, w interesie obu stron.</w:t>
      </w:r>
    </w:p>
    <w:p>
      <w:pPr>
        <w:pBdr>
          <w:top w:val="nil"/>
          <w:left w:val="nil"/>
          <w:bottom w:val="nil"/>
          <w:right w:val="nil"/>
          <w:between w:val="nil"/>
          <w:bar w:val="nil"/>
        </w:pBdr>
        <w:spacing w:before="0"/>
        <w:rPr>
          <w:noProof/>
        </w:rPr>
      </w:pPr>
      <w:r>
        <w:rPr>
          <w:noProof/>
        </w:rPr>
        <w:t>Protokół przewiduje w szczególności uprawnienia do połowów w następujących kategoriach:</w:t>
      </w:r>
    </w:p>
    <w:p>
      <w:pPr>
        <w:pStyle w:val="Point0"/>
        <w:rPr>
          <w:noProof/>
        </w:rPr>
      </w:pPr>
      <w:r>
        <w:rPr>
          <w:noProof/>
        </w:rPr>
        <w:t>a)</w:t>
      </w:r>
      <w:r>
        <w:rPr>
          <w:noProof/>
        </w:rPr>
        <w:tab/>
        <w:t>28 sejnerów-zamrażalni do połowu tuńczyka;</w:t>
      </w:r>
    </w:p>
    <w:p>
      <w:pPr>
        <w:pStyle w:val="Point0"/>
        <w:rPr>
          <w:noProof/>
        </w:rPr>
      </w:pPr>
      <w:r>
        <w:rPr>
          <w:noProof/>
        </w:rPr>
        <w:t>b)</w:t>
      </w:r>
      <w:r>
        <w:rPr>
          <w:noProof/>
        </w:rPr>
        <w:tab/>
        <w:t>27 taklowców powierzchniowych;</w:t>
      </w:r>
    </w:p>
    <w:p>
      <w:pPr>
        <w:pStyle w:val="Point0"/>
        <w:rPr>
          <w:noProof/>
        </w:rPr>
      </w:pPr>
      <w:r>
        <w:rPr>
          <w:noProof/>
        </w:rPr>
        <w:t>c)</w:t>
      </w:r>
      <w:r>
        <w:rPr>
          <w:noProof/>
        </w:rPr>
        <w:tab/>
        <w:t>14 kliprów tuńczykowych.</w:t>
      </w:r>
    </w:p>
    <w:p>
      <w:pPr>
        <w:pBdr>
          <w:top w:val="nil"/>
          <w:left w:val="nil"/>
          <w:bottom w:val="nil"/>
          <w:right w:val="nil"/>
          <w:between w:val="nil"/>
          <w:bar w:val="nil"/>
        </w:pBdr>
        <w:spacing w:before="0" w:after="240"/>
        <w:rPr>
          <w:noProof/>
        </w:rPr>
      </w:pPr>
      <w:r>
        <w:rPr>
          <w:noProof/>
        </w:rPr>
        <w:t>Należy ustanowić metodę podziału uprawnień do połowów między państwa członkowskie.</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spacing w:before="0" w:after="240"/>
        <w:rPr>
          <w:noProof/>
        </w:rPr>
      </w:pPr>
      <w:r>
        <w:rPr>
          <w:noProof/>
        </w:rPr>
        <w:t xml:space="preserve">Wybraną podstawą prawną jest Traktat o funkcjonowaniu Unii Europejskiej, którego art. 43 ust. 3 stanowi, że Rada przyjmuje, na wniosek Komisji, przydział uprawnień do połowów. </w:t>
      </w:r>
    </w:p>
    <w:p>
      <w:pPr>
        <w:pStyle w:val="ManualHeading2"/>
        <w:rPr>
          <w:rFonts w:eastAsia="Arial Unicode MS"/>
          <w:noProof/>
          <w:u w:color="000000"/>
          <w:bdr w:val="nil"/>
        </w:rPr>
      </w:pPr>
      <w:r>
        <w:rPr>
          <w:noProof/>
        </w:rPr>
        <w:t>•</w:t>
      </w:r>
      <w:r>
        <w:rPr>
          <w:noProof/>
        </w:rPr>
        <w:tab/>
        <w:t>Pomocniczość (w przypadku kompetencji niewyłącznych)</w:t>
      </w:r>
    </w:p>
    <w:p>
      <w:pPr>
        <w:spacing w:before="0" w:after="240"/>
        <w:rPr>
          <w:noProof/>
        </w:rPr>
      </w:pPr>
      <w:r>
        <w:rPr>
          <w:noProof/>
        </w:rPr>
        <w:t xml:space="preserve">Obszar polityki należy do wyłącznych kompetencji Unii Europejskiej. </w:t>
      </w:r>
    </w:p>
    <w:p>
      <w:pPr>
        <w:spacing w:before="0" w:after="240"/>
        <w:rPr>
          <w:noProof/>
        </w:rPr>
      </w:pPr>
    </w:p>
    <w:p>
      <w:pPr>
        <w:pStyle w:val="ManualHeading1"/>
        <w:rPr>
          <w:noProof/>
        </w:rPr>
      </w:pPr>
      <w:r>
        <w:rPr>
          <w:noProof/>
        </w:rPr>
        <w:lastRenderedPageBreak/>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pPr>
        <w:pBdr>
          <w:top w:val="nil"/>
          <w:left w:val="nil"/>
          <w:bottom w:val="nil"/>
          <w:right w:val="nil"/>
          <w:between w:val="nil"/>
          <w:bar w:val="nil"/>
        </w:pBdr>
        <w:spacing w:before="0" w:after="240"/>
        <w:rPr>
          <w:noProof/>
        </w:rPr>
      </w:pPr>
      <w:r>
        <w:rPr>
          <w:noProof/>
        </w:rPr>
        <w:t xml:space="preserve">Konsultacje z zainteresowanymi stronami przeprowadzono w trakcie oceny </w:t>
      </w:r>
      <w:r>
        <w:rPr>
          <w:i/>
          <w:noProof/>
        </w:rPr>
        <w:t>ex post</w:t>
      </w:r>
      <w:r>
        <w:rPr>
          <w:noProof/>
        </w:rPr>
        <w:t xml:space="preserve"> oraz oceny </w:t>
      </w:r>
      <w:r>
        <w:rPr>
          <w:i/>
          <w:noProof/>
        </w:rPr>
        <w:t>ex ante</w:t>
      </w:r>
      <w:r>
        <w:rPr>
          <w:noProof/>
        </w:rPr>
        <w:t xml:space="preserve"> dotyczącej ewentualnego nowego protokołu między Unią Europejską a Republiką Zielonego Przylądka. Podczas spotkań technicznych przeprowadzono również konsultacje z ekspertami z państw członkowskich oraz z sektora rybołówstwa. W wyniku tych konsultacji stwierdzono, że zawarcie nowego protokołu do umowy partnerskiej w sprawie połowów byłoby korzystne dla Unii Europejskiej i Republiki Zielonego Przylądka.</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W ramach oceny przeprowadzono konsultacje z państwami członkowskimi, przedstawicielami przemysłu, międzynarodowymi organizacjami społeczeństwa obywatelskiego, a także z administracją rybołówstwa i społeczeństwem obywatelskim Republiki Zielonego Przylądka. Konsultacje odbyły się również w ramach Komitetu Doradczego ds. Floty Dalekomorskiej.</w:t>
      </w:r>
    </w:p>
    <w:p>
      <w:pPr>
        <w:pStyle w:val="ManualHeading2"/>
        <w:rPr>
          <w:rFonts w:eastAsia="Arial Unicode MS"/>
          <w:noProof/>
          <w:u w:color="000000"/>
          <w:bdr w:val="nil"/>
        </w:rPr>
      </w:pPr>
      <w:r>
        <w:rPr>
          <w:noProof/>
        </w:rPr>
        <w:t>•</w:t>
      </w:r>
      <w:r>
        <w:rPr>
          <w:noProof/>
        </w:rPr>
        <w:tab/>
        <w:t>Gromadzenie i wykorzystanie wiedzy eksperckiej</w:t>
      </w:r>
    </w:p>
    <w:p>
      <w:pPr>
        <w:spacing w:before="0" w:after="240"/>
        <w:rPr>
          <w:noProof/>
        </w:rPr>
      </w:pPr>
      <w:r>
        <w:rPr>
          <w:noProof/>
        </w:rPr>
        <w:t xml:space="preserve">Komisja zwróciła się o przeprowadzenie ocen </w:t>
      </w:r>
      <w:r>
        <w:rPr>
          <w:i/>
          <w:noProof/>
        </w:rPr>
        <w:t>ex post</w:t>
      </w:r>
      <w:r>
        <w:rPr>
          <w:noProof/>
        </w:rPr>
        <w:t xml:space="preserve"> i </w:t>
      </w:r>
      <w:r>
        <w:rPr>
          <w:i/>
          <w:noProof/>
        </w:rPr>
        <w:t>ex ante</w:t>
      </w:r>
      <w:r>
        <w:rPr>
          <w:noProof/>
        </w:rPr>
        <w:t xml:space="preserve"> do niezależnego konsultanta, zgodnie z przepisami art. 31 ust. 10 rozporządzenia ustanawiającego wspólną politykę rybołówstwa. </w:t>
      </w:r>
    </w:p>
    <w:p>
      <w:pPr>
        <w:pStyle w:val="ManualHeading1"/>
        <w:rPr>
          <w:noProof/>
        </w:rPr>
      </w:pPr>
      <w:r>
        <w:rPr>
          <w:noProof/>
        </w:rPr>
        <w:t>4.</w:t>
      </w:r>
      <w:r>
        <w:rPr>
          <w:noProof/>
        </w:rPr>
        <w:tab/>
        <w:t>WPŁYW NA BUDŻET</w:t>
      </w:r>
    </w:p>
    <w:p>
      <w:pPr>
        <w:spacing w:before="0" w:after="240"/>
        <w:rPr>
          <w:noProof/>
        </w:rPr>
      </w:pPr>
      <w:r>
        <w:rPr>
          <w:noProof/>
        </w:rPr>
        <w:t>Projekt rozporządzenia nie ma wpływu na budżet Unii.</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spacing w:before="0" w:after="240"/>
        <w:rPr>
          <w:noProof/>
        </w:rPr>
      </w:pPr>
      <w:r>
        <w:rPr>
          <w:noProof/>
        </w:rPr>
        <w:t xml:space="preserve">Niniejsza procedura została zainicjowana równocześnie z procedurą dotyczącą decyzji Rady w sprawie podpisania, w imieniu Unii, protokołu do Umowy partnerskiej w sprawie połowów między Wspólnotą Europejską a Republiką Zielonego Przylądka i procedurą dotyczącą decyzji Rady w sprawie jej zawarcia. Niniejsze rozporządzenie powinno mieć zastosowanie od chwili, gdy możliwe będzie prowadzenie działalności połowowej na podstawie umowy, tj. od dnia rozpoczęcia tymczasowego stosowania protokołu.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2019/0072 (NLE)</w:t>
      </w:r>
    </w:p>
    <w:p>
      <w:pPr>
        <w:pStyle w:val="Statut"/>
        <w:rPr>
          <w:noProof/>
        </w:rPr>
      </w:pPr>
      <w:r>
        <w:rPr>
          <w:noProof/>
        </w:rPr>
        <w:t>Wniosek</w:t>
      </w:r>
    </w:p>
    <w:p>
      <w:pPr>
        <w:pStyle w:val="Typedudocument"/>
        <w:rPr>
          <w:noProof/>
        </w:rPr>
      </w:pPr>
      <w:r>
        <w:rPr>
          <w:noProof/>
        </w:rPr>
        <w:t>ROZPORZĄDZENIE RADY</w:t>
      </w:r>
    </w:p>
    <w:p>
      <w:pPr>
        <w:pStyle w:val="Titreobjet"/>
        <w:rPr>
          <w:noProof/>
        </w:rPr>
      </w:pPr>
      <w:r>
        <w:rPr>
          <w:noProof/>
        </w:rPr>
        <w:t>w sprawie przydziału uprawnień do połowów na mocy protokołu w sprawie wykonania Umowy partnerskiej w sprawie połowów między Wspólnotą Europejską a Republiką Zielonego Przylądka (lata 2019–2024)</w:t>
      </w:r>
      <w:r>
        <w:rPr>
          <w:noProof/>
        </w:rPr>
        <w:br/>
      </w:r>
    </w:p>
    <w:p>
      <w:pPr>
        <w:pStyle w:val="Institutionquiagit"/>
        <w:rPr>
          <w:noProof/>
        </w:rPr>
      </w:pPr>
      <w:r>
        <w:rPr>
          <w:noProof/>
        </w:rPr>
        <w:t>RADA UNII EUROPEJSKIEJ,</w:t>
      </w:r>
    </w:p>
    <w:p>
      <w:pPr>
        <w:rPr>
          <w:noProof/>
        </w:rPr>
      </w:pPr>
      <w:r>
        <w:rPr>
          <w:noProof/>
        </w:rPr>
        <w:t>uwzględniając Traktat o funkcjonowaniu Unii Europejskiej, w szczególności jego art. 43</w:t>
      </w:r>
    </w:p>
    <w:p>
      <w:pPr>
        <w:rPr>
          <w:noProof/>
        </w:rPr>
      </w:pPr>
      <w:r>
        <w:rPr>
          <w:noProof/>
        </w:rPr>
        <w:t>ust. 3,</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W dniu 19 grudnia 2006 r. Rada przyjęła rozporządzenie (WE) nr 2027/2006</w:t>
      </w:r>
      <w:r>
        <w:rPr>
          <w:rStyle w:val="FootnoteReference"/>
          <w:noProof/>
        </w:rPr>
        <w:footnoteReference w:id="3"/>
      </w:r>
      <w:r>
        <w:rPr>
          <w:noProof/>
        </w:rPr>
        <w:t xml:space="preserve"> w sprawie zawarcia Umowy partnerskiej w sprawie połowów między Wspólnotą Europejską a Republiką Zielonego Przylądka (zwanej dalej „umową”); umowa, która weszła w życie w dniu 30 marca 2007 r., była następnie automatycznie przedłużana i pozostaje w mocy.</w:t>
      </w:r>
    </w:p>
    <w:p>
      <w:pPr>
        <w:pStyle w:val="ManualConsidrant"/>
        <w:rPr>
          <w:noProof/>
        </w:rPr>
      </w:pPr>
      <w:r>
        <w:t>(2)</w:t>
      </w:r>
      <w:r>
        <w:tab/>
      </w:r>
      <w:r>
        <w:rPr>
          <w:noProof/>
        </w:rPr>
        <w:t>Ostatni obowiązujący protokół do umowy wygasa z dniem 22 grudnia 2018 r.</w:t>
      </w:r>
    </w:p>
    <w:p>
      <w:pPr>
        <w:pStyle w:val="ManualConsidrant"/>
        <w:rPr>
          <w:noProof/>
        </w:rPr>
      </w:pPr>
      <w:r>
        <w:t>(3)</w:t>
      </w:r>
      <w:r>
        <w:tab/>
      </w:r>
      <w:r>
        <w:rPr>
          <w:noProof/>
        </w:rPr>
        <w:t xml:space="preserve">Komisja wynegocjowała, w imieniu Unii Europejskiej, nowy protokół w sprawie wykonania umowy (zwany dalej „protokołem”). W wyniku negocjacji protokół został parafowany w dniu 12 października 2018 r. </w:t>
      </w:r>
    </w:p>
    <w:p>
      <w:pPr>
        <w:pStyle w:val="ManualConsidrant"/>
        <w:rPr>
          <w:noProof/>
        </w:rPr>
      </w:pPr>
      <w:r>
        <w:t>(4)</w:t>
      </w:r>
      <w:r>
        <w:tab/>
      </w:r>
      <w:r>
        <w:rPr>
          <w:noProof/>
        </w:rPr>
        <w:t>Zgodnie z decyzją Rady 2018/.../UE</w:t>
      </w:r>
      <w:r>
        <w:rPr>
          <w:rStyle w:val="FootnoteReference"/>
          <w:noProof/>
        </w:rPr>
        <w:footnoteReference w:id="4"/>
      </w:r>
      <w:r>
        <w:rPr>
          <w:noProof/>
        </w:rPr>
        <w:t xml:space="preserve"> protokół w sprawie wykonania Umowy partnerskiej w sprawie połowów między Wspólnotą Europejską a Republiką Zielonego Przylądka został podpisany w dniu [</w:t>
      </w:r>
      <w:r>
        <w:rPr>
          <w:i/>
          <w:noProof/>
        </w:rPr>
        <w:t>wstawić datę podpisania</w:t>
      </w:r>
      <w:r>
        <w:rPr>
          <w:noProof/>
        </w:rPr>
        <w:t>].</w:t>
      </w:r>
    </w:p>
    <w:p>
      <w:pPr>
        <w:pStyle w:val="ManualConsidrant"/>
        <w:rPr>
          <w:noProof/>
        </w:rPr>
      </w:pPr>
      <w:r>
        <w:t>(5)</w:t>
      </w:r>
      <w:r>
        <w:tab/>
      </w:r>
      <w:r>
        <w:rPr>
          <w:noProof/>
        </w:rPr>
        <w:t>Należy przydzielić państwom członkowskim uprawnienia do połowów, o których mowa w protokole, na cały okres jego stosowania.</w:t>
      </w:r>
    </w:p>
    <w:p>
      <w:pPr>
        <w:pStyle w:val="ManualConsidrant"/>
        <w:rPr>
          <w:noProof/>
        </w:rPr>
      </w:pPr>
      <w:r>
        <w:t>(6)</w:t>
      </w:r>
      <w:r>
        <w:tab/>
      </w:r>
      <w:r>
        <w:rPr>
          <w:noProof/>
        </w:rPr>
        <w:t>Protokół będzie stosowany tymczasowo od daty jego podpisania, aby zapewnić szybkie rozpoczęcie działalności połowowej przez statki unijne. Niniejsze rozporządzenie należy zatem stosować począwszy od tej samej daty,</w:t>
      </w:r>
    </w:p>
    <w:p>
      <w:pPr>
        <w:rPr>
          <w:noProof/>
        </w:rPr>
      </w:pPr>
    </w:p>
    <w:p>
      <w:pPr>
        <w:pStyle w:val="Formuledadoption"/>
        <w:rPr>
          <w:noProof/>
        </w:rPr>
      </w:pPr>
      <w:r>
        <w:rPr>
          <w:noProof/>
        </w:rPr>
        <w:lastRenderedPageBreak/>
        <w:t>PRZYJMUJE NINIEJSZE ROZPORZĄDZENIE:</w:t>
      </w:r>
    </w:p>
    <w:p>
      <w:pPr>
        <w:pStyle w:val="Titrearticle"/>
        <w:rPr>
          <w:noProof/>
        </w:rPr>
      </w:pPr>
      <w:r>
        <w:rPr>
          <w:noProof/>
        </w:rPr>
        <w:t>Artykuł 1</w:t>
      </w:r>
    </w:p>
    <w:p>
      <w:pPr>
        <w:rPr>
          <w:noProof/>
        </w:rPr>
      </w:pPr>
      <w:r>
        <w:rPr>
          <w:noProof/>
        </w:rPr>
        <w:t>1)</w:t>
      </w:r>
      <w:r>
        <w:rPr>
          <w:noProof/>
        </w:rPr>
        <w:tab/>
        <w:t>Uprawnienia do połowów ustalone na mocy protokołu w sprawie wykonania Umowy partnerskiej w sprawie połowów między Unią Europejską a Republiką Zielonego Przylądka (lata 2019–2024) (zwanego dalej „protokołem”) są przydzielane państwom członkowskim w następujący sposób:</w:t>
      </w:r>
    </w:p>
    <w:p>
      <w:pPr>
        <w:rPr>
          <w:noProof/>
        </w:rPr>
      </w:pPr>
      <w:r>
        <w:rPr>
          <w:noProof/>
        </w:rPr>
        <w:t>a)</w:t>
      </w:r>
      <w:r>
        <w:rPr>
          <w:noProof/>
        </w:rPr>
        <w:tab/>
        <w:t>sejnery do połowu tuńczyka:</w:t>
      </w:r>
    </w:p>
    <w:p>
      <w:pPr>
        <w:rPr>
          <w:noProof/>
        </w:rPr>
      </w:pPr>
      <w:r>
        <w:rPr>
          <w:noProof/>
        </w:rPr>
        <w:t>Hiszpania:</w:t>
      </w:r>
      <w:r>
        <w:rPr>
          <w:noProof/>
        </w:rPr>
        <w:tab/>
      </w:r>
      <w:r>
        <w:rPr>
          <w:noProof/>
        </w:rPr>
        <w:tab/>
        <w:t>[16]</w:t>
      </w:r>
      <w:r>
        <w:rPr>
          <w:noProof/>
        </w:rPr>
        <w:tab/>
        <w:t>statków</w:t>
      </w:r>
    </w:p>
    <w:p>
      <w:pPr>
        <w:rPr>
          <w:noProof/>
        </w:rPr>
      </w:pPr>
      <w:r>
        <w:rPr>
          <w:noProof/>
        </w:rPr>
        <w:t>Francja:</w:t>
      </w:r>
      <w:r>
        <w:rPr>
          <w:noProof/>
        </w:rPr>
        <w:tab/>
      </w:r>
      <w:r>
        <w:rPr>
          <w:noProof/>
        </w:rPr>
        <w:tab/>
        <w:t>[12]</w:t>
      </w:r>
      <w:r>
        <w:rPr>
          <w:noProof/>
        </w:rPr>
        <w:tab/>
        <w:t>statków</w:t>
      </w:r>
    </w:p>
    <w:p>
      <w:pPr>
        <w:rPr>
          <w:noProof/>
        </w:rPr>
      </w:pPr>
      <w:r>
        <w:rPr>
          <w:noProof/>
        </w:rPr>
        <w:t>b)</w:t>
      </w:r>
      <w:r>
        <w:rPr>
          <w:noProof/>
        </w:rPr>
        <w:tab/>
        <w:t>taklowce powierzchniowe:</w:t>
      </w:r>
    </w:p>
    <w:p>
      <w:pPr>
        <w:rPr>
          <w:noProof/>
        </w:rPr>
      </w:pPr>
      <w:r>
        <w:rPr>
          <w:noProof/>
        </w:rPr>
        <w:t>Hiszpania:</w:t>
      </w:r>
      <w:r>
        <w:rPr>
          <w:noProof/>
        </w:rPr>
        <w:tab/>
      </w:r>
      <w:r>
        <w:rPr>
          <w:noProof/>
        </w:rPr>
        <w:tab/>
        <w:t>[21]</w:t>
      </w:r>
      <w:r>
        <w:rPr>
          <w:noProof/>
        </w:rPr>
        <w:tab/>
        <w:t>statków</w:t>
      </w:r>
    </w:p>
    <w:p>
      <w:pPr>
        <w:rPr>
          <w:noProof/>
        </w:rPr>
      </w:pPr>
      <w:r>
        <w:rPr>
          <w:noProof/>
        </w:rPr>
        <w:t>Portugalia:</w:t>
      </w:r>
      <w:r>
        <w:rPr>
          <w:noProof/>
        </w:rPr>
        <w:tab/>
      </w:r>
      <w:r>
        <w:rPr>
          <w:noProof/>
        </w:rPr>
        <w:tab/>
        <w:t>[6]</w:t>
      </w:r>
      <w:r>
        <w:rPr>
          <w:noProof/>
        </w:rPr>
        <w:tab/>
        <w:t>statków</w:t>
      </w:r>
    </w:p>
    <w:p>
      <w:pPr>
        <w:rPr>
          <w:noProof/>
        </w:rPr>
      </w:pPr>
      <w:r>
        <w:rPr>
          <w:noProof/>
        </w:rPr>
        <w:t>c)</w:t>
      </w:r>
      <w:r>
        <w:rPr>
          <w:noProof/>
        </w:rPr>
        <w:tab/>
        <w:t>klipry tuńczykowe:</w:t>
      </w:r>
    </w:p>
    <w:p>
      <w:pPr>
        <w:rPr>
          <w:noProof/>
        </w:rPr>
      </w:pPr>
      <w:r>
        <w:rPr>
          <w:noProof/>
        </w:rPr>
        <w:t>Hiszpania</w:t>
      </w:r>
      <w:r>
        <w:rPr>
          <w:noProof/>
        </w:rPr>
        <w:tab/>
      </w:r>
      <w:r>
        <w:rPr>
          <w:noProof/>
        </w:rPr>
        <w:tab/>
        <w:t>[8]</w:t>
      </w:r>
      <w:r>
        <w:rPr>
          <w:noProof/>
        </w:rPr>
        <w:tab/>
        <w:t>statków</w:t>
      </w:r>
    </w:p>
    <w:p>
      <w:pPr>
        <w:rPr>
          <w:noProof/>
        </w:rPr>
      </w:pPr>
      <w:r>
        <w:rPr>
          <w:noProof/>
        </w:rPr>
        <w:t xml:space="preserve">Francja </w:t>
      </w:r>
      <w:r>
        <w:rPr>
          <w:noProof/>
        </w:rPr>
        <w:tab/>
      </w:r>
      <w:r>
        <w:rPr>
          <w:noProof/>
        </w:rPr>
        <w:tab/>
        <w:t>[4]</w:t>
      </w:r>
      <w:r>
        <w:rPr>
          <w:noProof/>
        </w:rPr>
        <w:tab/>
        <w:t>statków</w:t>
      </w:r>
    </w:p>
    <w:p>
      <w:pPr>
        <w:rPr>
          <w:noProof/>
        </w:rPr>
      </w:pPr>
      <w:r>
        <w:rPr>
          <w:noProof/>
        </w:rPr>
        <w:t>Portugalia:</w:t>
      </w:r>
      <w:r>
        <w:rPr>
          <w:noProof/>
        </w:rPr>
        <w:tab/>
      </w:r>
      <w:r>
        <w:rPr>
          <w:noProof/>
        </w:rPr>
        <w:tab/>
        <w:t>[2]</w:t>
      </w:r>
      <w:r>
        <w:rPr>
          <w:noProof/>
        </w:rPr>
        <w:tab/>
        <w:t>statków</w:t>
      </w:r>
    </w:p>
    <w:p>
      <w:pPr>
        <w:pStyle w:val="Titrearticle"/>
        <w:rPr>
          <w:noProof/>
        </w:rPr>
      </w:pPr>
      <w:r>
        <w:rPr>
          <w:noProof/>
        </w:rPr>
        <w:t>Artykuł 2</w:t>
      </w:r>
    </w:p>
    <w:p>
      <w:pPr>
        <w:rPr>
          <w:noProof/>
        </w:rPr>
      </w:pPr>
      <w:r>
        <w:rPr>
          <w:noProof/>
        </w:rPr>
        <w:t>Niniejsze rozporządzenie wchodzi w życie następnego dnia po jego opublikowaniu w </w:t>
      </w:r>
      <w:r>
        <w:rPr>
          <w:i/>
          <w:noProof/>
        </w:rPr>
        <w:t>Dzienniku Urzędowym Unii Europejskiej</w:t>
      </w:r>
      <w:r>
        <w:rPr>
          <w:noProof/>
        </w:rPr>
        <w:t>.</w:t>
      </w:r>
    </w:p>
    <w:p>
      <w:pPr>
        <w:rPr>
          <w:noProof/>
        </w:rPr>
      </w:pPr>
      <w:r>
        <w:rPr>
          <w:noProof/>
        </w:rPr>
        <w:t>Niniejsze rozporządzenie stosuje się od dnia rozpoczęcia stosowania protokołu.</w:t>
      </w:r>
    </w:p>
    <w:p>
      <w:pPr>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Przyjęte na posiedzeniu Rady ds. Wymiaru Sprawiedliwości i Spraw Wewnętrznych w dniach 4–5 czerwca 2018 r.</w:t>
      </w:r>
    </w:p>
  </w:footnote>
  <w:footnote w:id="2">
    <w:p>
      <w:pPr>
        <w:pStyle w:val="FootnoteText"/>
      </w:pPr>
      <w:r>
        <w:rPr>
          <w:rStyle w:val="FootnoteReference"/>
        </w:rPr>
        <w:footnoteRef/>
      </w:r>
      <w:r>
        <w:tab/>
        <w:t>Dz.U. L 414 z 30.12.2006, s. 3.</w:t>
      </w:r>
    </w:p>
  </w:footnote>
  <w:footnote w:id="3">
    <w:p>
      <w:pPr>
        <w:pStyle w:val="Footno"/>
      </w:pPr>
      <w:r>
        <w:rPr>
          <w:rStyle w:val="FootnoteReference"/>
        </w:rPr>
        <w:footnoteRef/>
      </w:r>
      <w:r>
        <w:tab/>
        <w:t>Rozporządzenie Rady (WE) nr 2027/2006 z dnia 19 grudnia 2006 r. w sprawie zawarcia Umowy partnerskiej w sprawie połowów między Wspólnotą Europejską a Republiką Zielonego Przylądka (Dz.U. L 414 z 30.12.2006, s. 1).</w:t>
      </w:r>
    </w:p>
  </w:footnote>
  <w:footnote w:id="4">
    <w:p>
      <w:pPr>
        <w:pStyle w:val="FootnoteText"/>
        <w:ind w:left="0" w:firstLine="0"/>
      </w:pPr>
      <w:r>
        <w:rPr>
          <w:rStyle w:val="FootnoteReference"/>
        </w:rPr>
        <w:footnoteRef/>
      </w:r>
      <w:r>
        <w:tab/>
        <w:t>Decyzja … (Dz.U. L ... z ...,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40: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964F5B0-2B93-42D0-BBC9-7F626369B133"/>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ksela, dnia "/>
    <w:docVar w:name="LW_EMISSION_SUFFIX" w:val=" r."/>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przydzia\u322?u uprawnie\u324? do po\u322?owów na mocy protoko\u322?u w sprawie wykonania Umowy partnerskiej w sprawie po\u322?owów mi\u281?dzy Wspólnot\u261? Europejsk\u261? a Republik\u261? Zielonego Przyl\u261?dka (lata 2019\u8211?2024)_x000b_"/>
    <w:docVar w:name="LW_TYPE.DOC.CP" w:val="ROZPORZ\u260?DZ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C4DE1E-ED85-45AC-9FFA-A07D688A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Pages>
  <Words>841</Words>
  <Characters>5673</Characters>
  <Application>Microsoft Office Word</Application>
  <DocSecurity>0</DocSecurity>
  <Lines>120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2019-02-15T15:01:00Z</dcterms:created>
  <dcterms:modified xsi:type="dcterms:W3CDTF">2019-03-13T13:40:00Z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