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2E5A9E-E752-41E3-B580-DDE2AB57170D" style="width:450.8pt;height:37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Priekšlikuma pamatojums un mērķi</w:t>
      </w:r>
    </w:p>
    <w:p>
      <w:pPr>
        <w:pBdr>
          <w:top w:val="nil"/>
          <w:left w:val="nil"/>
          <w:bottom w:val="nil"/>
          <w:right w:val="nil"/>
          <w:between w:val="nil"/>
          <w:bar w:val="nil"/>
        </w:pBdr>
        <w:spacing w:before="0" w:after="240"/>
        <w:rPr>
          <w:rFonts w:eastAsia="Arial Unicode MS"/>
          <w:noProof/>
        </w:rPr>
      </w:pPr>
      <w:r>
        <w:rPr>
          <w:noProof/>
        </w:rPr>
        <w:t>Komisija, pamatodamās uz attiecīgajām sarunu norādēm</w:t>
      </w:r>
      <w:r>
        <w:rPr>
          <w:rStyle w:val="FootnoteReference"/>
          <w:noProof/>
        </w:rPr>
        <w:footnoteReference w:id="1"/>
      </w:r>
      <w:r>
        <w:rPr>
          <w:noProof/>
        </w:rPr>
        <w:t>, ar Kaboverdes Republikas (“Kaboverde”) valdību ir risinājusi sarunas par to, lai noslēgtu jaunu protokolu, kas pievienojams partnerattiecību nolīgumam zivsaimniecības nozarē starp Eiropas Kopienu un Kaboverdes Republiku</w:t>
      </w:r>
      <w:r>
        <w:rPr>
          <w:rStyle w:val="FootnoteReference"/>
          <w:noProof/>
        </w:rPr>
        <w:footnoteReference w:id="2"/>
      </w:r>
      <w:r>
        <w:rPr>
          <w:noProof/>
        </w:rPr>
        <w:t xml:space="preserve">. Šo sarunu iznākumā 2018. gada 12. oktobrī tika parafēts jauns protokols. Protokols aptver piecu gadu laikposmu no tā provizoriskās piemērošanas sākuma dienas, t. i., no parakstīšanas dienas, kā noteikts protokola 15. pantā. </w:t>
      </w:r>
    </w:p>
    <w:p>
      <w:pPr>
        <w:pBdr>
          <w:top w:val="nil"/>
          <w:left w:val="nil"/>
          <w:bottom w:val="nil"/>
          <w:right w:val="nil"/>
          <w:between w:val="nil"/>
          <w:bar w:val="nil"/>
        </w:pBdr>
        <w:spacing w:before="0" w:after="240"/>
        <w:rPr>
          <w:rFonts w:eastAsia="Arial Unicode MS"/>
          <w:noProof/>
        </w:rPr>
      </w:pPr>
      <w:r>
        <w:rPr>
          <w:noProof/>
        </w:rPr>
        <w:t>Jaunā protokola galvenais mērķis ir piešķirt Savienības kuģiem Kaboverdes ūdeņos zvejas iespējas un vienlaikus pamatoties uz labākajiem pieejamajiem zinātniskajiem ieteikumiem un ievērot Starptautiskās Atlantijas tunzivju saglabāšanas komisijas (</w:t>
      </w:r>
      <w:r>
        <w:rPr>
          <w:i/>
          <w:noProof/>
        </w:rPr>
        <w:t>ICCAT</w:t>
      </w:r>
      <w:r>
        <w:rPr>
          <w:noProof/>
        </w:rPr>
        <w:t>) ieteikumus. Jaunajā protokolā ņemti vērā iepriekšējā, 2014.–2018. gada protokola izvērtējuma rezultāti un provizorisks novērtējums par to, vai jauna protokola noslēgšana būtu lietderīga. Vērtēšanu veica neatkarīgi eksperti. Protokols turklāt ļaus Eiropas Savienībai un Kaboverdes Republikai ciešāk sadarboties, lai veicinātu zvejas resursu atbildīgu izmantošanu Kaboverdes ūdeņos, un atbalstīt Kaboverdes centienus attīstīt savu jūras nozaru ekonomiku – tas ir abu pušu interesēs.</w:t>
      </w:r>
    </w:p>
    <w:p>
      <w:pPr>
        <w:pBdr>
          <w:top w:val="nil"/>
          <w:left w:val="nil"/>
          <w:bottom w:val="nil"/>
          <w:right w:val="nil"/>
          <w:between w:val="nil"/>
          <w:bar w:val="nil"/>
        </w:pBdr>
        <w:spacing w:before="0"/>
        <w:rPr>
          <w:noProof/>
        </w:rPr>
      </w:pPr>
      <w:r>
        <w:rPr>
          <w:noProof/>
        </w:rPr>
        <w:t>Protokolā paredzētas zvejas iespējas šādās kategorijās:</w:t>
      </w:r>
    </w:p>
    <w:p>
      <w:pPr>
        <w:pStyle w:val="Point0letter"/>
        <w:numPr>
          <w:ilvl w:val="1"/>
          <w:numId w:val="6"/>
        </w:numPr>
        <w:rPr>
          <w:noProof/>
        </w:rPr>
      </w:pPr>
      <w:r>
        <w:rPr>
          <w:noProof/>
        </w:rPr>
        <w:t>28 tunzivju saldētājseineri,</w:t>
      </w:r>
    </w:p>
    <w:p>
      <w:pPr>
        <w:pStyle w:val="Point0letter"/>
        <w:numPr>
          <w:ilvl w:val="1"/>
          <w:numId w:val="6"/>
        </w:numPr>
        <w:rPr>
          <w:noProof/>
        </w:rPr>
      </w:pPr>
      <w:r>
        <w:rPr>
          <w:noProof/>
        </w:rPr>
        <w:t>27 kuģi zvejai ar dreifējošām āķu jedām,</w:t>
      </w:r>
    </w:p>
    <w:p>
      <w:pPr>
        <w:pStyle w:val="Point0letter"/>
        <w:numPr>
          <w:ilvl w:val="1"/>
          <w:numId w:val="6"/>
        </w:numPr>
        <w:rPr>
          <w:noProof/>
        </w:rPr>
      </w:pPr>
      <w:r>
        <w:rPr>
          <w:noProof/>
        </w:rPr>
        <w:t>14 kuģi tunzivju zvejai ar makšķerrīkiem.</w:t>
      </w:r>
    </w:p>
    <w:p>
      <w:pPr>
        <w:pBdr>
          <w:top w:val="nil"/>
          <w:left w:val="nil"/>
          <w:bottom w:val="nil"/>
          <w:right w:val="nil"/>
          <w:between w:val="nil"/>
          <w:bar w:val="nil"/>
        </w:pBdr>
        <w:spacing w:before="0" w:after="240"/>
        <w:rPr>
          <w:noProof/>
        </w:rPr>
      </w:pPr>
      <w:r>
        <w:rPr>
          <w:noProof/>
        </w:rPr>
        <w:t>Būtu jānosaka šo zvejas iespēju sadalījums dalībvalstīm.</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spacing w:before="0" w:after="240"/>
        <w:rPr>
          <w:noProof/>
        </w:rPr>
      </w:pPr>
      <w:r>
        <w:rPr>
          <w:noProof/>
        </w:rPr>
        <w:t xml:space="preserve">Juridiskais pamats ir Līgums par Eiropas Savienības darbību; tā 43. panta 3. punkts nosaka, ka Padome pēc Komisijas priekšlikuma iedala zvejas iespējas. </w:t>
      </w:r>
    </w:p>
    <w:p>
      <w:pPr>
        <w:pStyle w:val="ManualHeading2"/>
        <w:rPr>
          <w:rFonts w:eastAsia="Arial Unicode MS"/>
          <w:noProof/>
          <w:u w:color="000000"/>
          <w:bdr w:val="nil"/>
        </w:rPr>
      </w:pPr>
      <w:r>
        <w:rPr>
          <w:noProof/>
        </w:rPr>
        <w:t>•</w:t>
      </w:r>
      <w:r>
        <w:rPr>
          <w:noProof/>
        </w:rPr>
        <w:tab/>
        <w:t>Subsidiaritāte (neekskluzīvas kompetences gadījumā)</w:t>
      </w:r>
    </w:p>
    <w:p>
      <w:pPr>
        <w:spacing w:before="0" w:after="240"/>
        <w:rPr>
          <w:noProof/>
        </w:rPr>
      </w:pPr>
      <w:r>
        <w:rPr>
          <w:noProof/>
        </w:rPr>
        <w:t xml:space="preserve">Šī darbības joma ir ekskluzīvā Eiropas Savienības kompetencē. </w:t>
      </w:r>
    </w:p>
    <w:p>
      <w:pPr>
        <w:spacing w:before="0" w:after="240"/>
        <w:rPr>
          <w:noProof/>
        </w:rPr>
      </w:pP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pBdr>
          <w:top w:val="nil"/>
          <w:left w:val="nil"/>
          <w:bottom w:val="nil"/>
          <w:right w:val="nil"/>
          <w:between w:val="nil"/>
          <w:bar w:val="nil"/>
        </w:pBdr>
        <w:spacing w:before="0" w:after="240"/>
        <w:rPr>
          <w:noProof/>
        </w:rPr>
      </w:pPr>
      <w:r>
        <w:rPr>
          <w:noProof/>
        </w:rPr>
        <w:t xml:space="preserve">Apspriešanās ar ieinteresētajām personām notika, veicot </w:t>
      </w:r>
      <w:r>
        <w:rPr>
          <w:i/>
          <w:noProof/>
        </w:rPr>
        <w:t>ex post</w:t>
      </w:r>
      <w:r>
        <w:rPr>
          <w:noProof/>
        </w:rPr>
        <w:t xml:space="preserve"> (retrospektīvu) un </w:t>
      </w:r>
      <w:r>
        <w:rPr>
          <w:i/>
          <w:noProof/>
        </w:rPr>
        <w:t>ex ante</w:t>
      </w:r>
      <w:r>
        <w:rPr>
          <w:noProof/>
        </w:rPr>
        <w:t xml:space="preserve"> (provizorisku) izvērtējumu par iespējamu jauna protokola noslēgšanu starp Eiropas Savienību un Kaboverdes Republiku. Tehnisko sanāksmju laikā notika apspriešanās arī ar dalībvalstu </w:t>
      </w:r>
      <w:r>
        <w:rPr>
          <w:noProof/>
        </w:rPr>
        <w:lastRenderedPageBreak/>
        <w:t>ekspertiem un nozares pārstāvjiem. Šo apspriešanos iznākumā secināts, ka Eiropas Savienībai un Kaboverdes Republikai būtu lietderīgi noslēgt jaunu zivsaimniecības nolīguma protokolu.</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Izvērtēšanas procesā notika apspriešanās ar dalībvalstīm, nozares pārstāvjiem, starptautiskām pilsoniskās sabiedrības organizācijām, kā arī ar Kaboverdes zivsaimniecības pārvaldi un pilsonisko sabiedrību. Apspriešanās notika arī Tāljūras flotes konsultatīvajā padomē.</w:t>
      </w:r>
    </w:p>
    <w:p>
      <w:pPr>
        <w:pStyle w:val="ManualHeading2"/>
        <w:rPr>
          <w:rFonts w:eastAsia="Arial Unicode MS"/>
          <w:noProof/>
          <w:u w:color="000000"/>
          <w:bdr w:val="nil"/>
        </w:rPr>
      </w:pPr>
      <w:r>
        <w:rPr>
          <w:noProof/>
        </w:rPr>
        <w:t>•</w:t>
      </w:r>
      <w:r>
        <w:rPr>
          <w:noProof/>
        </w:rPr>
        <w:tab/>
        <w:t>Ekspertu atzinumu pieprasīšana un izmantošana</w:t>
      </w:r>
    </w:p>
    <w:p>
      <w:pPr>
        <w:spacing w:before="0" w:after="240"/>
        <w:rPr>
          <w:noProof/>
        </w:rPr>
      </w:pPr>
      <w:r>
        <w:rPr>
          <w:noProof/>
        </w:rPr>
        <w:t xml:space="preserve">Saskaņā ar Kopējās zivsaimniecības politikas regulas 31. panta 10. punktu Komisija </w:t>
      </w:r>
      <w:r>
        <w:rPr>
          <w:i/>
          <w:noProof/>
        </w:rPr>
        <w:t>ex post</w:t>
      </w:r>
      <w:r>
        <w:rPr>
          <w:noProof/>
        </w:rPr>
        <w:t xml:space="preserve"> un </w:t>
      </w:r>
      <w:r>
        <w:rPr>
          <w:i/>
          <w:noProof/>
        </w:rPr>
        <w:t>ex ante</w:t>
      </w:r>
      <w:r>
        <w:rPr>
          <w:noProof/>
        </w:rPr>
        <w:t xml:space="preserve"> vērtējumu veikšanai piesaistīja neatkarīgu konsultantu. </w:t>
      </w:r>
    </w:p>
    <w:p>
      <w:pPr>
        <w:pStyle w:val="ManualHeading1"/>
        <w:rPr>
          <w:noProof/>
        </w:rPr>
      </w:pPr>
      <w:r>
        <w:rPr>
          <w:noProof/>
        </w:rPr>
        <w:t>4.</w:t>
      </w:r>
      <w:r>
        <w:rPr>
          <w:noProof/>
        </w:rPr>
        <w:tab/>
        <w:t>IETEKME UZ BUDŽETU</w:t>
      </w:r>
    </w:p>
    <w:p>
      <w:pPr>
        <w:spacing w:before="0" w:after="240"/>
        <w:rPr>
          <w:noProof/>
        </w:rPr>
      </w:pPr>
      <w:r>
        <w:rPr>
          <w:noProof/>
        </w:rPr>
        <w:t>Regulas projekts Savienības budžetu neietekmē.</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spacing w:before="0" w:after="240"/>
        <w:rPr>
          <w:noProof/>
        </w:rPr>
      </w:pPr>
      <w:r>
        <w:rPr>
          <w:noProof/>
        </w:rPr>
        <w:t xml:space="preserve">Šī procedūra tiek uzsākta līdztekus procedūrai, kas attiecas uz Padomes lēmumu par to, lai Savienības vārdā parakstītu protokolu, kas pievienojams zivsaimniecības partnerattiecību nolīgumam starp Eiropas Savienību un Kaboverdes Republiku, un Padomes lēmumu par minētā protokola noslēgšanu. Šī regula jāsāk piemērot, tiklīdz saskaņā ar nolīgumu kļūst iespējamas zvejas darbības, t. i., no protokola provizoriskās piemērošanas sākuma dienas.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par zvejas iespēju iedalīšanu saskaņā ar protokolu, ar kuru īsteno Partnerattiecību nolīgumu zivsaimniecības nozarē starp Eiropas Kopienu un Kaboverdes Republiku (2019–2024)</w:t>
      </w:r>
      <w:r>
        <w:rPr>
          <w:noProof/>
        </w:rPr>
        <w:br/>
      </w:r>
    </w:p>
    <w:p>
      <w:pPr>
        <w:pStyle w:val="Institutionquiagit"/>
        <w:rPr>
          <w:noProof/>
        </w:rPr>
      </w:pPr>
      <w:r>
        <w:rPr>
          <w:noProof/>
        </w:rPr>
        <w:t>EIROPAS SAVIENĪBAS PADOME,</w:t>
      </w:r>
    </w:p>
    <w:p>
      <w:pPr>
        <w:rPr>
          <w:noProof/>
        </w:rPr>
      </w:pPr>
      <w:r>
        <w:rPr>
          <w:noProof/>
        </w:rPr>
        <w:t>ņemot vērā Līgumu par Eiropas Savienības darbību un jo īpaši tā 43. panta</w:t>
      </w:r>
    </w:p>
    <w:p>
      <w:pPr>
        <w:rPr>
          <w:noProof/>
        </w:rPr>
      </w:pPr>
      <w:r>
        <w:rPr>
          <w:noProof/>
        </w:rPr>
        <w:t>3.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2006. gada 19. decembrī Padome ir pieņēmusi Regulu (EK) Nr. 2027/2006</w:t>
      </w:r>
      <w:r>
        <w:rPr>
          <w:rStyle w:val="FootnoteReference"/>
          <w:noProof/>
        </w:rPr>
        <w:footnoteReference w:id="3"/>
      </w:r>
      <w:r>
        <w:rPr>
          <w:noProof/>
        </w:rPr>
        <w:t xml:space="preserve"> par to, lai noslēgtu partnerattiecību nolīgumu zivsaimniecības nozarē starp Eiropas Kopienu un Kaboverdes Republiku (“nolīgums”), kurš stājies spēkā 2007. gada 30. martā, pēc tam automātiski atjaunots un joprojām ir spēkā.</w:t>
      </w:r>
    </w:p>
    <w:p>
      <w:pPr>
        <w:pStyle w:val="ManualConsidrant"/>
        <w:rPr>
          <w:noProof/>
        </w:rPr>
      </w:pPr>
      <w:r>
        <w:t>(2)</w:t>
      </w:r>
      <w:r>
        <w:tab/>
      </w:r>
      <w:r>
        <w:rPr>
          <w:noProof/>
        </w:rPr>
        <w:t>Nolīguma līdzšinējā protokola darbības termiņš ir beidzies 2018. gada 22. decembrī.</w:t>
      </w:r>
    </w:p>
    <w:p>
      <w:pPr>
        <w:pStyle w:val="ManualConsidrant"/>
        <w:rPr>
          <w:noProof/>
        </w:rPr>
      </w:pPr>
      <w:r>
        <w:t>(3)</w:t>
      </w:r>
      <w:r>
        <w:tab/>
      </w:r>
      <w:r>
        <w:rPr>
          <w:noProof/>
        </w:rPr>
        <w:t xml:space="preserve">Komisija Eiropas Savienības vārdā ir risinājusi sarunas par jaunu nolīguma īstenošanas protokolu (“protokols”). Šo sarunu iznākumā protokols tika parafēts 2018. gada 12. oktobrī. </w:t>
      </w:r>
    </w:p>
    <w:p>
      <w:pPr>
        <w:pStyle w:val="ManualConsidrant"/>
        <w:rPr>
          <w:noProof/>
        </w:rPr>
      </w:pPr>
      <w:r>
        <w:t>(4)</w:t>
      </w:r>
      <w:r>
        <w:tab/>
      </w:r>
      <w:r>
        <w:rPr>
          <w:noProof/>
        </w:rPr>
        <w:t>Ievērojot Padomes Lēmumu (ES) 2018/...</w:t>
      </w:r>
      <w:r>
        <w:rPr>
          <w:rStyle w:val="FootnoteReference"/>
          <w:noProof/>
        </w:rPr>
        <w:footnoteReference w:id="4"/>
      </w:r>
      <w:r>
        <w:rPr>
          <w:noProof/>
        </w:rPr>
        <w:t>, protokols, ar kuru īsteno Partnerattiecību nolīgumu zivsaimniecības nozarē starp Eiropas Kopienu un Kaboverdes Republiku, ir parakstīts [</w:t>
      </w:r>
      <w:r>
        <w:rPr>
          <w:i/>
          <w:noProof/>
        </w:rPr>
        <w:t>ierakstīt datumu</w:t>
      </w:r>
      <w:r>
        <w:rPr>
          <w:noProof/>
        </w:rPr>
        <w:t>].</w:t>
      </w:r>
    </w:p>
    <w:p>
      <w:pPr>
        <w:pStyle w:val="ManualConsidrant"/>
        <w:rPr>
          <w:noProof/>
        </w:rPr>
      </w:pPr>
      <w:r>
        <w:t>(5)</w:t>
      </w:r>
      <w:r>
        <w:tab/>
      </w:r>
      <w:r>
        <w:rPr>
          <w:noProof/>
        </w:rPr>
        <w:t>Protokola paredzētās dalībvalstu zvejas iespējas būtu jāiedala uz visu protokola piemērošanas laiku.</w:t>
      </w:r>
    </w:p>
    <w:p>
      <w:pPr>
        <w:pStyle w:val="ManualConsidrant"/>
        <w:rPr>
          <w:noProof/>
        </w:rPr>
      </w:pPr>
      <w:r>
        <w:t>(6)</w:t>
      </w:r>
      <w:r>
        <w:tab/>
      </w:r>
      <w:r>
        <w:rPr>
          <w:noProof/>
        </w:rPr>
        <w:t>Lai nodrošinātu Savienības kuģu zvejas darbību raitu uzsākšanu, protokols tiks provizoriski piemērots no tā parakstīšanas dienas. Tāpēc šī regula būtu jāpiemēro no tās pašas dienas,</w:t>
      </w:r>
    </w:p>
    <w:p>
      <w:pPr>
        <w:rPr>
          <w:noProof/>
        </w:rPr>
      </w:pPr>
    </w:p>
    <w:p>
      <w:pPr>
        <w:pStyle w:val="Formuledadoption"/>
        <w:rPr>
          <w:noProof/>
        </w:rPr>
      </w:pPr>
      <w:r>
        <w:rPr>
          <w:noProof/>
        </w:rPr>
        <w:t>IR PIEŅĒMUSI ŠO REGULU.</w:t>
      </w:r>
    </w:p>
    <w:p>
      <w:pPr>
        <w:pStyle w:val="Titrearticle"/>
        <w:rPr>
          <w:noProof/>
        </w:rPr>
      </w:pPr>
      <w:r>
        <w:rPr>
          <w:noProof/>
        </w:rPr>
        <w:t>1. pants</w:t>
      </w:r>
    </w:p>
    <w:p>
      <w:pPr>
        <w:rPr>
          <w:noProof/>
        </w:rPr>
      </w:pPr>
      <w:r>
        <w:rPr>
          <w:noProof/>
        </w:rPr>
        <w:t>1.</w:t>
      </w:r>
      <w:r>
        <w:rPr>
          <w:noProof/>
        </w:rPr>
        <w:tab/>
        <w:t>Eiropas Kopienas un Kaboverdes Republikas noslēgtā zivsaimniecības partnerattiecību nolīguma īstenošanas protokola (2019–2024) (“protokols”) paredzēto zvejas iespēju sadalījums dalībvalstīm ir šāds:</w:t>
      </w:r>
    </w:p>
    <w:p>
      <w:pPr>
        <w:rPr>
          <w:noProof/>
        </w:rPr>
      </w:pPr>
      <w:r>
        <w:rPr>
          <w:noProof/>
        </w:rPr>
        <w:lastRenderedPageBreak/>
        <w:t>a)</w:t>
      </w:r>
      <w:r>
        <w:rPr>
          <w:noProof/>
        </w:rPr>
        <w:tab/>
        <w:t>tunzivju seineri:</w:t>
      </w:r>
    </w:p>
    <w:p>
      <w:pPr>
        <w:rPr>
          <w:noProof/>
        </w:rPr>
      </w:pPr>
      <w:r>
        <w:rPr>
          <w:noProof/>
        </w:rPr>
        <w:t>Spānija:</w:t>
      </w:r>
      <w:r>
        <w:rPr>
          <w:noProof/>
        </w:rPr>
        <w:tab/>
      </w:r>
      <w:r>
        <w:rPr>
          <w:noProof/>
        </w:rPr>
        <w:tab/>
        <w:t>[16]</w:t>
      </w:r>
      <w:r>
        <w:rPr>
          <w:noProof/>
        </w:rPr>
        <w:tab/>
        <w:t>kuģi</w:t>
      </w:r>
    </w:p>
    <w:p>
      <w:pPr>
        <w:rPr>
          <w:noProof/>
        </w:rPr>
      </w:pPr>
      <w:r>
        <w:rPr>
          <w:noProof/>
        </w:rPr>
        <w:t xml:space="preserve">Francija:   </w:t>
      </w:r>
      <w:r>
        <w:rPr>
          <w:noProof/>
        </w:rPr>
        <w:tab/>
      </w:r>
      <w:r>
        <w:rPr>
          <w:noProof/>
        </w:rPr>
        <w:tab/>
        <w:t>[12]</w:t>
      </w:r>
      <w:r>
        <w:rPr>
          <w:noProof/>
        </w:rPr>
        <w:tab/>
        <w:t>kuģi</w:t>
      </w:r>
    </w:p>
    <w:p>
      <w:pPr>
        <w:rPr>
          <w:noProof/>
        </w:rPr>
      </w:pPr>
      <w:r>
        <w:rPr>
          <w:noProof/>
        </w:rPr>
        <w:t>b)</w:t>
      </w:r>
      <w:r>
        <w:rPr>
          <w:noProof/>
        </w:rPr>
        <w:tab/>
        <w:t>kuģi zvejai ar dreifējošām āķu jedām:</w:t>
      </w:r>
    </w:p>
    <w:p>
      <w:pPr>
        <w:rPr>
          <w:noProof/>
        </w:rPr>
      </w:pPr>
      <w:r>
        <w:rPr>
          <w:noProof/>
        </w:rPr>
        <w:t>Spānija:</w:t>
      </w:r>
      <w:r>
        <w:rPr>
          <w:noProof/>
        </w:rPr>
        <w:tab/>
      </w:r>
      <w:r>
        <w:rPr>
          <w:noProof/>
        </w:rPr>
        <w:tab/>
        <w:t>[21]</w:t>
      </w:r>
      <w:r>
        <w:rPr>
          <w:noProof/>
        </w:rPr>
        <w:tab/>
        <w:t>kuģi</w:t>
      </w:r>
    </w:p>
    <w:p>
      <w:pPr>
        <w:rPr>
          <w:noProof/>
        </w:rPr>
      </w:pPr>
      <w:r>
        <w:rPr>
          <w:noProof/>
        </w:rPr>
        <w:t>Portugāle:</w:t>
      </w:r>
      <w:r>
        <w:rPr>
          <w:noProof/>
        </w:rPr>
        <w:tab/>
      </w:r>
      <w:r>
        <w:rPr>
          <w:noProof/>
        </w:rPr>
        <w:tab/>
        <w:t>[6]</w:t>
      </w:r>
      <w:r>
        <w:rPr>
          <w:noProof/>
        </w:rPr>
        <w:tab/>
        <w:t>kuģi</w:t>
      </w:r>
    </w:p>
    <w:p>
      <w:pPr>
        <w:rPr>
          <w:noProof/>
        </w:rPr>
      </w:pPr>
      <w:r>
        <w:rPr>
          <w:noProof/>
        </w:rPr>
        <w:t>c)</w:t>
      </w:r>
      <w:r>
        <w:rPr>
          <w:noProof/>
        </w:rPr>
        <w:tab/>
        <w:t>kuģi tunzivju zvejai ar makšķerrīkiem:</w:t>
      </w:r>
    </w:p>
    <w:p>
      <w:pPr>
        <w:rPr>
          <w:noProof/>
        </w:rPr>
      </w:pPr>
      <w:r>
        <w:rPr>
          <w:noProof/>
        </w:rPr>
        <w:t>Spānija:</w:t>
      </w:r>
      <w:r>
        <w:rPr>
          <w:noProof/>
        </w:rPr>
        <w:tab/>
      </w:r>
      <w:r>
        <w:rPr>
          <w:noProof/>
        </w:rPr>
        <w:tab/>
        <w:t>[8]</w:t>
      </w:r>
      <w:r>
        <w:rPr>
          <w:noProof/>
        </w:rPr>
        <w:tab/>
        <w:t>kuģi</w:t>
      </w:r>
    </w:p>
    <w:p>
      <w:pPr>
        <w:rPr>
          <w:noProof/>
        </w:rPr>
      </w:pPr>
      <w:r>
        <w:rPr>
          <w:noProof/>
        </w:rPr>
        <w:t xml:space="preserve">Francija: </w:t>
      </w:r>
      <w:r>
        <w:rPr>
          <w:noProof/>
        </w:rPr>
        <w:tab/>
      </w:r>
      <w:r>
        <w:rPr>
          <w:noProof/>
        </w:rPr>
        <w:tab/>
        <w:t>[4]</w:t>
      </w:r>
      <w:r>
        <w:rPr>
          <w:noProof/>
        </w:rPr>
        <w:tab/>
        <w:t>kuģi</w:t>
      </w:r>
    </w:p>
    <w:p>
      <w:pPr>
        <w:rPr>
          <w:noProof/>
        </w:rPr>
      </w:pPr>
      <w:r>
        <w:rPr>
          <w:noProof/>
        </w:rPr>
        <w:t>Portugāle:</w:t>
      </w:r>
      <w:r>
        <w:rPr>
          <w:noProof/>
        </w:rPr>
        <w:tab/>
      </w:r>
      <w:r>
        <w:rPr>
          <w:noProof/>
        </w:rPr>
        <w:tab/>
        <w:t>[2]</w:t>
      </w:r>
      <w:r>
        <w:rPr>
          <w:noProof/>
        </w:rPr>
        <w:tab/>
        <w:t>kuģi</w:t>
      </w:r>
    </w:p>
    <w:p>
      <w:pPr>
        <w:pStyle w:val="Titrearticle"/>
        <w:rPr>
          <w:noProof/>
        </w:rPr>
      </w:pPr>
      <w:r>
        <w:rPr>
          <w:noProof/>
        </w:rPr>
        <w:t>2. pants</w:t>
      </w:r>
    </w:p>
    <w:p>
      <w:pPr>
        <w:rPr>
          <w:noProof/>
        </w:rPr>
      </w:pPr>
      <w:r>
        <w:rPr>
          <w:noProof/>
        </w:rPr>
        <w:t xml:space="preserve">Šī regula stājas spēkā nākamajā dienā pēc tās publicēšanas </w:t>
      </w:r>
      <w:r>
        <w:rPr>
          <w:i/>
          <w:noProof/>
        </w:rPr>
        <w:t>Eiropas Savienības Oficiālajā Vēstnesī</w:t>
      </w:r>
      <w:r>
        <w:rPr>
          <w:noProof/>
        </w:rPr>
        <w:t>.</w:t>
      </w:r>
    </w:p>
    <w:p>
      <w:pPr>
        <w:rPr>
          <w:noProof/>
        </w:rPr>
      </w:pPr>
      <w:r>
        <w:rPr>
          <w:noProof/>
        </w:rPr>
        <w:t>To piemēro no protokola piemērošanas dienas.</w:t>
      </w:r>
    </w:p>
    <w:p>
      <w:pPr>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Pieņemtas Tieslietu un iekšlietu padomē 2018. gada 4.–5. jūnijā.</w:t>
      </w:r>
    </w:p>
  </w:footnote>
  <w:footnote w:id="2">
    <w:p>
      <w:pPr>
        <w:pStyle w:val="FootnoteText"/>
        <w:rPr>
          <w:lang w:val="fr-BE"/>
        </w:rPr>
      </w:pPr>
      <w:r>
        <w:rPr>
          <w:rStyle w:val="FootnoteReference"/>
        </w:rPr>
        <w:footnoteRef/>
      </w:r>
      <w:r>
        <w:tab/>
        <w:t>OV L 414, 30.12.2006., 3. lpp.</w:t>
      </w:r>
    </w:p>
  </w:footnote>
  <w:footnote w:id="3">
    <w:p>
      <w:pPr>
        <w:pStyle w:val="Footno"/>
      </w:pPr>
      <w:r>
        <w:rPr>
          <w:rStyle w:val="FootnoteReference"/>
        </w:rPr>
        <w:footnoteRef/>
      </w:r>
      <w:r>
        <w:tab/>
        <w:t>Padomes 2006. gada 19. decembra Regula (EK) Nr. 2027/2006, lai noslēgtu Partnerattiecību nolīgumu zivsaimniecības nozarē starp Eiropas Kopienu un Kaboverdes Republiku (OV L 414, 30.12.2006., 1. lpp.).</w:t>
      </w:r>
    </w:p>
  </w:footnote>
  <w:footnote w:id="4">
    <w:p>
      <w:pPr>
        <w:pStyle w:val="FootnoteText"/>
        <w:ind w:left="0" w:firstLine="0"/>
        <w:rPr>
          <w:lang w:val="nb-NO"/>
        </w:rPr>
      </w:pPr>
      <w:r>
        <w:rPr>
          <w:rStyle w:val="FootnoteReference"/>
        </w:rPr>
        <w:footnoteRef/>
      </w:r>
      <w:r>
        <w:tab/>
        <w:t>Lēmums ... (OV L [...], [...], [...].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2: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32E5A9E-E752-41E3-B580-DDE2AB57170D"/>
    <w:docVar w:name="LW_COVERPAGE_TYPE" w:val="1"/>
    <w:docVar w:name="LW_CROSSREFERENCE" w:val="&lt;UNUSED&gt;"/>
    <w:docVar w:name="LW_DocType" w:val="COM"/>
    <w:docVar w:name="LW_EMISSION" w:val="14.3.2019"/>
    <w:docVar w:name="LW_EMISSION_ISODATE" w:val="2019-03-14"/>
    <w:docVar w:name="LW_EMISSION_LOCATION" w:val="BRX"/>
    <w:docVar w:name="LW_EMISSION_PREFIX" w:val="Briselē,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zvejas iesp\u275?ju iedal\u299?\u353?anu saska\u326?\u257? ar protokolu, ar kuru \u299?steno Partnerattiec\u299?bu nol\u299?gumu zivsaimniec\u299?bas nozar\u275? starp Eiropas Kopienu un Kaboverdes Republiku (2019\u8211?2024)_x000b_"/>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5F6F61-2193-41CE-9A7D-728E68EC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744</Words>
  <Characters>5097</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2018-12-14T14:47:00Z</cp:lastPrinted>
  <dcterms:created xsi:type="dcterms:W3CDTF">2019-02-15T12:34:00Z</dcterms:created>
  <dcterms:modified xsi:type="dcterms:W3CDTF">2019-03-13T13:32:00Z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