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7DFB37C-4AFD-4941-9BBC-5EABE7061531"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Pasiūlymo pagrindimas ir tikslai</w:t>
      </w:r>
    </w:p>
    <w:p>
      <w:pPr>
        <w:pBdr>
          <w:top w:val="nil"/>
          <w:left w:val="nil"/>
          <w:bottom w:val="nil"/>
          <w:right w:val="nil"/>
          <w:between w:val="nil"/>
          <w:bar w:val="nil"/>
        </w:pBdr>
        <w:spacing w:before="0" w:after="240"/>
        <w:rPr>
          <w:rFonts w:eastAsia="Arial Unicode MS"/>
          <w:noProof/>
        </w:rPr>
      </w:pPr>
      <w:r>
        <w:rPr>
          <w:noProof/>
        </w:rPr>
        <w:t>Remdamasi atitinkamais derybiniais nurodymais</w:t>
      </w:r>
      <w:r>
        <w:rPr>
          <w:rStyle w:val="FootnoteReference"/>
          <w:noProof/>
        </w:rPr>
        <w:footnoteReference w:id="1"/>
      </w:r>
      <w:r>
        <w:rPr>
          <w:noProof/>
        </w:rPr>
        <w:t xml:space="preserve"> Komisija derėjosi su Žaliojo Kyšulio Respublikos (toliau – Žaliasis Kyšulys) vyriausybe dėl Europos bendrijos ir Žaliojo Kyšulio Respublikos žvejybos partnerystės susitarimo naujo protokolo sudarymo</w:t>
      </w:r>
      <w:r>
        <w:rPr>
          <w:rStyle w:val="FootnoteReference"/>
          <w:noProof/>
          <w:vertAlign w:val="baseline"/>
        </w:rPr>
        <w:t xml:space="preserve"> </w:t>
      </w:r>
      <w:r>
        <w:rPr>
          <w:rStyle w:val="FootnoteReference"/>
          <w:noProof/>
        </w:rPr>
        <w:footnoteReference w:id="2"/>
      </w:r>
      <w:r>
        <w:rPr>
          <w:noProof/>
        </w:rPr>
        <w:t xml:space="preserve">. Pasibaigus šioms deryboms, 2018 m. spalio 12 d. parafuotas naujas protokolas. Protokolas bus taikomas penkerius metus nuo jo laikino taikymo pradžios, t. y. jo pasirašymo dienos, kaip nurodyta jo 15 straipsnyje. </w:t>
      </w:r>
    </w:p>
    <w:p>
      <w:pPr>
        <w:pBdr>
          <w:top w:val="nil"/>
          <w:left w:val="nil"/>
          <w:bottom w:val="nil"/>
          <w:right w:val="nil"/>
          <w:between w:val="nil"/>
          <w:bar w:val="nil"/>
        </w:pBdr>
        <w:spacing w:before="0" w:after="240"/>
        <w:rPr>
          <w:rFonts w:eastAsia="Arial Unicode MS"/>
          <w:noProof/>
        </w:rPr>
      </w:pPr>
      <w:r>
        <w:rPr>
          <w:noProof/>
        </w:rPr>
        <w:t>Pagrindinis naujojo protokolo tikslas – remiantis patikimiausia turima moksline informacija ir laikantis Tarptautinės Atlanto tunų apsaugos komisijos (ICCAT) rekomendacijų suteikti Sąjungos laivams žvejybos Žaliojo Kyšulio vandenyse galimybių. Naujajame protokole atsižvelgiama į ankstesniojo protokolo (2014–2018 m.) vertinimo ir perspektyvinio naujo protokolo sudarymo tikslingumo vertinimo rezultatus. Abu vertinimus atliko išorės ekspertai. Protokolu taip pat bus suteiktos galimybės Europos Sąjungai ir Žaliajam Kyšuliui atsižvelgiant į abiejų šalių interesus artimiau bendradarbiauti remiant tausų Žaliojo Kyšulio vandenyse esančių žuvininkystės išteklių naudojimą ir Žaliojo Kyšulio pastangas plėtoti mėlynąją ekonomiką.</w:t>
      </w:r>
    </w:p>
    <w:p>
      <w:pPr>
        <w:pBdr>
          <w:top w:val="nil"/>
          <w:left w:val="nil"/>
          <w:bottom w:val="nil"/>
          <w:right w:val="nil"/>
          <w:between w:val="nil"/>
          <w:bar w:val="nil"/>
        </w:pBdr>
        <w:spacing w:before="0"/>
        <w:rPr>
          <w:noProof/>
        </w:rPr>
      </w:pPr>
      <w:r>
        <w:rPr>
          <w:noProof/>
        </w:rPr>
        <w:t>Protokole numatomos tokios nurodytų kategorijų žvejybos galimybės:</w:t>
      </w:r>
    </w:p>
    <w:p>
      <w:pPr>
        <w:pStyle w:val="Point0letter"/>
        <w:numPr>
          <w:ilvl w:val="1"/>
          <w:numId w:val="6"/>
        </w:numPr>
        <w:rPr>
          <w:noProof/>
        </w:rPr>
      </w:pPr>
      <w:r>
        <w:rPr>
          <w:noProof/>
        </w:rPr>
        <w:t>28 tunų žvejybos seineriai-šaldikliai;</w:t>
      </w:r>
    </w:p>
    <w:p>
      <w:pPr>
        <w:pStyle w:val="Point0letter"/>
        <w:numPr>
          <w:ilvl w:val="1"/>
          <w:numId w:val="6"/>
        </w:numPr>
        <w:rPr>
          <w:noProof/>
        </w:rPr>
      </w:pPr>
      <w:r>
        <w:rPr>
          <w:noProof/>
        </w:rPr>
        <w:t>27 dreifuojančiosiomis ūdomis žvejojantys laivai;</w:t>
      </w:r>
    </w:p>
    <w:p>
      <w:pPr>
        <w:pStyle w:val="Point0letter"/>
        <w:numPr>
          <w:ilvl w:val="1"/>
          <w:numId w:val="6"/>
        </w:numPr>
        <w:rPr>
          <w:noProof/>
        </w:rPr>
      </w:pPr>
      <w:r>
        <w:rPr>
          <w:noProof/>
        </w:rPr>
        <w:t>14 tunus kartinėmis ūdomis žvejojantys laivai.</w:t>
      </w:r>
    </w:p>
    <w:p>
      <w:pPr>
        <w:pBdr>
          <w:top w:val="nil"/>
          <w:left w:val="nil"/>
          <w:bottom w:val="nil"/>
          <w:right w:val="nil"/>
          <w:between w:val="nil"/>
          <w:bar w:val="nil"/>
        </w:pBdr>
        <w:spacing w:before="0" w:after="240"/>
        <w:rPr>
          <w:noProof/>
        </w:rPr>
      </w:pPr>
      <w:r>
        <w:rPr>
          <w:noProof/>
        </w:rPr>
        <w:t>Turėtų būti nustatytas žvejybos galimybių paskirstymo valstybėms narėms būdas.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spacing w:before="0" w:after="240"/>
        <w:rPr>
          <w:noProof/>
        </w:rPr>
      </w:pPr>
      <w:r>
        <w:rPr>
          <w:noProof/>
        </w:rPr>
        <w:t xml:space="preserve">Pasirinktas teisinis pagrindas – Sutartis dėl Europos Sąjungos veikimo, kurios 43 straipsnio 3 dalyje nustatyta, kad Taryba, remdamasi Komisijos pasiūlymu, patvirtina žvejybos galimybių paskirstymą. </w:t>
      </w:r>
    </w:p>
    <w:p>
      <w:pPr>
        <w:pStyle w:val="ManualHeading2"/>
        <w:rPr>
          <w:rFonts w:eastAsia="Arial Unicode MS"/>
          <w:noProof/>
          <w:u w:color="000000"/>
          <w:bdr w:val="nil"/>
        </w:rPr>
      </w:pPr>
      <w:r>
        <w:rPr>
          <w:noProof/>
        </w:rPr>
        <w:t>•</w:t>
      </w:r>
      <w:r>
        <w:rPr>
          <w:noProof/>
        </w:rPr>
        <w:tab/>
        <w:t>Subsidiarumo principas (neišimtinės kompetencijos atveju)</w:t>
      </w:r>
    </w:p>
    <w:p>
      <w:pPr>
        <w:spacing w:before="0" w:after="240"/>
        <w:rPr>
          <w:noProof/>
        </w:rPr>
      </w:pPr>
      <w:r>
        <w:rPr>
          <w:noProof/>
        </w:rPr>
        <w:t xml:space="preserve">Politikos sritis priklauso išimtinei Europos Sąjungos kompetencijai. </w:t>
      </w:r>
    </w:p>
    <w:p>
      <w:pPr>
        <w:spacing w:before="0" w:after="240"/>
        <w:rPr>
          <w:noProof/>
        </w:rPr>
      </w:pP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pBdr>
          <w:top w:val="nil"/>
          <w:left w:val="nil"/>
          <w:bottom w:val="nil"/>
          <w:right w:val="nil"/>
          <w:between w:val="nil"/>
          <w:bar w:val="nil"/>
        </w:pBdr>
        <w:spacing w:before="0" w:after="240"/>
        <w:rPr>
          <w:noProof/>
        </w:rPr>
      </w:pPr>
      <w:r>
        <w:rPr>
          <w:noProof/>
        </w:rPr>
        <w:t xml:space="preserve">Atliekant su galimu nauju Europos Sąjungos ir Žaliojo Kyšulio Respublikos protokolu susijusius </w:t>
      </w:r>
      <w:r>
        <w:rPr>
          <w:i/>
          <w:noProof/>
        </w:rPr>
        <w:t>ex post</w:t>
      </w:r>
      <w:r>
        <w:rPr>
          <w:noProof/>
        </w:rPr>
        <w:t xml:space="preserve"> ir </w:t>
      </w:r>
      <w:r>
        <w:rPr>
          <w:i/>
          <w:noProof/>
        </w:rPr>
        <w:t>ex ante</w:t>
      </w:r>
      <w:r>
        <w:rPr>
          <w:noProof/>
        </w:rPr>
        <w:t xml:space="preserve"> vertinimus konsultuotasi su suinteresuotosiomis šalimis. Techninio pobūdžio susitikimuose taip pat konsultuotasi su valstybių narių ir pramonės ekspertais. Po šių konsultacijų padaryta išvada, kad sudaryti naują žvejybos partnerystės susitarimo protokolą Europos Sąjungai ir Žaliojo Kyšulio Respublikai būtų naudinga.</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Atliekant vertinimą konsultuotasi su valstybėmis narėmis, pramonės atstovais ir tarptautinėmis pilietinės visuomenės organizacijomis, taip pat su Žaliojo Kyšulio žuvininkystės administracija ir pilietine visuomene. Konsultuotasi ir Tolimojo plaukiojimo laivyno patariamoje taryboje.</w:t>
      </w:r>
    </w:p>
    <w:p>
      <w:pPr>
        <w:pStyle w:val="ManualHeading2"/>
        <w:rPr>
          <w:rFonts w:eastAsia="Arial Unicode MS"/>
          <w:noProof/>
          <w:u w:color="000000"/>
          <w:bdr w:val="nil"/>
        </w:rPr>
      </w:pPr>
      <w:r>
        <w:rPr>
          <w:noProof/>
        </w:rPr>
        <w:t>•</w:t>
      </w:r>
      <w:r>
        <w:rPr>
          <w:noProof/>
        </w:rPr>
        <w:tab/>
        <w:t>Tiriamųjų duomenų rinkimas ir naudojimas</w:t>
      </w:r>
    </w:p>
    <w:p>
      <w:pPr>
        <w:spacing w:before="0" w:after="240"/>
        <w:rPr>
          <w:noProof/>
        </w:rPr>
      </w:pPr>
      <w:r>
        <w:rPr>
          <w:noProof/>
        </w:rPr>
        <w:t xml:space="preserve">Vadovaudamasi reglamento, kuriuo nustatoma bendra žuvininkystės politika, 31 straipsnio 10 dalimi Komisija </w:t>
      </w:r>
      <w:r>
        <w:rPr>
          <w:i/>
          <w:noProof/>
        </w:rPr>
        <w:t>ex post</w:t>
      </w:r>
      <w:r>
        <w:rPr>
          <w:noProof/>
        </w:rPr>
        <w:t xml:space="preserve"> ir </w:t>
      </w:r>
      <w:r>
        <w:rPr>
          <w:i/>
          <w:noProof/>
        </w:rPr>
        <w:t>ex ante</w:t>
      </w:r>
      <w:r>
        <w:rPr>
          <w:noProof/>
        </w:rPr>
        <w:t xml:space="preserve"> vertinimams pasamdė nepriklausomą konsultantą. </w:t>
      </w:r>
    </w:p>
    <w:p>
      <w:pPr>
        <w:pStyle w:val="ManualHeading1"/>
        <w:rPr>
          <w:noProof/>
        </w:rPr>
      </w:pPr>
      <w:r>
        <w:rPr>
          <w:noProof/>
        </w:rPr>
        <w:t>4.</w:t>
      </w:r>
      <w:r>
        <w:rPr>
          <w:noProof/>
        </w:rPr>
        <w:tab/>
        <w:t>POVEIKIS BIUDŽETUI</w:t>
      </w:r>
    </w:p>
    <w:p>
      <w:pPr>
        <w:spacing w:before="0" w:after="240"/>
        <w:rPr>
          <w:noProof/>
        </w:rPr>
      </w:pPr>
      <w:r>
        <w:rPr>
          <w:noProof/>
        </w:rPr>
        <w:t>Reglamento projektas neturi poveikio Sąjungos biudžetui.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spacing w:before="0" w:after="240"/>
        <w:rPr>
          <w:noProof/>
        </w:rPr>
      </w:pPr>
      <w:r>
        <w:rPr>
          <w:noProof/>
        </w:rPr>
        <w:t xml:space="preserve">Ši procedūra pradėta kartu su procedūromis, susijusiomis su Tarybos sprendimu dėl Europos bendrijos ir Žaliojo Kyšulio Respublikos žvejybos partnerystės susitarimo protokolo pasirašymo Sąjungos vardu ir Tarybos sprendimu dėl to protokolo sudarymo. Šis reglamentas turi būti pradėtas taikyti tada, kai pagal susitarimą galima pradėti vykdyti žvejybos veiklą, t. y. protokolo laikino taikymo pradžios datą.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2019/0072 (NLE)</w:t>
      </w:r>
    </w:p>
    <w:p>
      <w:pPr>
        <w:pStyle w:val="Statut"/>
        <w:rPr>
          <w:noProof/>
        </w:rPr>
      </w:pPr>
      <w:r>
        <w:rPr>
          <w:noProof/>
        </w:rPr>
        <w:t>Pasiūlymas</w:t>
      </w:r>
    </w:p>
    <w:p>
      <w:pPr>
        <w:pStyle w:val="Typedudocument"/>
        <w:rPr>
          <w:noProof/>
        </w:rPr>
      </w:pPr>
      <w:r>
        <w:rPr>
          <w:noProof/>
        </w:rPr>
        <w:t>TARYBOS REGLAMENTAS</w:t>
      </w:r>
    </w:p>
    <w:p>
      <w:pPr>
        <w:pStyle w:val="Titreobjet"/>
        <w:rPr>
          <w:noProof/>
        </w:rPr>
      </w:pPr>
      <w:r>
        <w:rPr>
          <w:noProof/>
        </w:rPr>
        <w:t>dėl žvejybos galimybių paskirstymo pagal Europos bendrijos ir Žaliojo Kyšulio Respublikos žvejybos partnerystės susitarimo įgyvendinimo protokolą (2019–2024 m.)</w:t>
      </w:r>
      <w:r>
        <w:rPr>
          <w:noProof/>
        </w:rPr>
        <w:br/>
      </w:r>
    </w:p>
    <w:p>
      <w:pPr>
        <w:pStyle w:val="Institutionquiagit"/>
        <w:rPr>
          <w:noProof/>
        </w:rPr>
      </w:pPr>
      <w:r>
        <w:rPr>
          <w:noProof/>
        </w:rPr>
        <w:t>EUROPOS SĄJUNGOS TARYBA,</w:t>
      </w:r>
    </w:p>
    <w:p>
      <w:pPr>
        <w:rPr>
          <w:noProof/>
        </w:rPr>
      </w:pPr>
      <w:r>
        <w:rPr>
          <w:noProof/>
        </w:rPr>
        <w:t>atsižvelgdama į Sutartį dėl Europos Sąjungos veikimo, ypač į jos 43 straipsnio</w:t>
      </w:r>
    </w:p>
    <w:p>
      <w:pPr>
        <w:rPr>
          <w:noProof/>
        </w:rPr>
      </w:pPr>
      <w:r>
        <w:rPr>
          <w:noProof/>
        </w:rPr>
        <w:t>3 dalį</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2006 m. gruodžio 19 d. Taryba priėmė Reglamentą (EB) Nr. 2027/2006</w:t>
      </w:r>
      <w:r>
        <w:rPr>
          <w:rStyle w:val="FootnoteReference"/>
          <w:noProof/>
        </w:rPr>
        <w:footnoteReference w:id="3"/>
      </w:r>
      <w:r>
        <w:rPr>
          <w:noProof/>
        </w:rPr>
        <w:t xml:space="preserve"> dėl Europos bendrijos ir Žaliojo Kyšulio Respublikos žvejybos partnerystės susitarimo sudarymo (toliau – Susitarimas); Susitarimas įsigaliojo 2007 m. kovo 30 d. ir nuo to laiko yra automatiškai pratęsiamas ir tebegalioja;</w:t>
      </w:r>
    </w:p>
    <w:p>
      <w:pPr>
        <w:pStyle w:val="ManualConsidrant"/>
        <w:rPr>
          <w:noProof/>
        </w:rPr>
      </w:pPr>
      <w:r>
        <w:t>(2)</w:t>
      </w:r>
      <w:r>
        <w:tab/>
      </w:r>
      <w:r>
        <w:rPr>
          <w:noProof/>
        </w:rPr>
        <w:t>paskutinis protokolas baigė galioti 2018 m. gruodžio 22 d.;</w:t>
      </w:r>
    </w:p>
    <w:p>
      <w:pPr>
        <w:pStyle w:val="ManualConsidrant"/>
        <w:rPr>
          <w:noProof/>
        </w:rPr>
      </w:pPr>
      <w:r>
        <w:t>(3)</w:t>
      </w:r>
      <w:r>
        <w:tab/>
      </w:r>
      <w:r>
        <w:rPr>
          <w:noProof/>
        </w:rPr>
        <w:t xml:space="preserve">Komisija Europos Sąjungos vardu derėjosi dėl naujo Susitarimo įgyvendinimo protokolo (toliau – Protokolas). Deryboms pasibaigus, 2018 m. spalio 12 d. Protokolas buvo parafuotas; </w:t>
      </w:r>
    </w:p>
    <w:p>
      <w:pPr>
        <w:pStyle w:val="ManualConsidrant"/>
        <w:rPr>
          <w:noProof/>
        </w:rPr>
      </w:pPr>
      <w:r>
        <w:t>(4)</w:t>
      </w:r>
      <w:r>
        <w:tab/>
      </w:r>
      <w:r>
        <w:rPr>
          <w:noProof/>
        </w:rPr>
        <w:t>pagal Tarybos sprendimą 2018/.../ES</w:t>
      </w:r>
      <w:r>
        <w:rPr>
          <w:rStyle w:val="FootnoteReference"/>
          <w:noProof/>
        </w:rPr>
        <w:footnoteReference w:id="4"/>
      </w:r>
      <w:r>
        <w:rPr>
          <w:noProof/>
        </w:rPr>
        <w:t xml:space="preserve"> protokolas, kuriuo įgyvendinamas Europos bendrijos ir Žaliojo Kyšulio Respublikos žvejybos partnerystės susitarimas, pasirašytas [</w:t>
      </w:r>
      <w:r>
        <w:rPr>
          <w:i/>
          <w:noProof/>
        </w:rPr>
        <w:t>įrašyti pasirašymo datą</w:t>
      </w:r>
      <w:r>
        <w:rPr>
          <w:noProof/>
        </w:rPr>
        <w:t>];</w:t>
      </w:r>
    </w:p>
    <w:p>
      <w:pPr>
        <w:pStyle w:val="ManualConsidrant"/>
        <w:rPr>
          <w:noProof/>
        </w:rPr>
      </w:pPr>
      <w:r>
        <w:t>(5)</w:t>
      </w:r>
      <w:r>
        <w:tab/>
      </w:r>
      <w:r>
        <w:rPr>
          <w:noProof/>
        </w:rPr>
        <w:t>Protokole numatytos žvejybos galimybės valstybėms narėms turėtų būti paskirstytos visam protokolo taikymo laikotarpiui;</w:t>
      </w:r>
    </w:p>
    <w:p>
      <w:pPr>
        <w:pStyle w:val="ManualConsidrant"/>
        <w:rPr>
          <w:noProof/>
        </w:rPr>
      </w:pPr>
      <w:r>
        <w:t>(6)</w:t>
      </w:r>
      <w:r>
        <w:tab/>
      </w:r>
      <w:r>
        <w:rPr>
          <w:noProof/>
        </w:rPr>
        <w:t>Protokolas bus taikomas laikinai nuo jo pasirašymo dienos, siekiant užtikrinti, kad Sąjungos laivai galėtų greitai pradėti žvejybos veiklą; todėl reikėtų nustatyti, kad šis reglamentas bus taikomas nuo tos pačios dienos,</w:t>
      </w:r>
    </w:p>
    <w:p>
      <w:pPr>
        <w:rPr>
          <w:noProof/>
        </w:rPr>
      </w:pPr>
    </w:p>
    <w:p>
      <w:pPr>
        <w:pStyle w:val="Formuledadoption"/>
        <w:rPr>
          <w:noProof/>
        </w:rPr>
      </w:pPr>
      <w:r>
        <w:rPr>
          <w:noProof/>
        </w:rPr>
        <w:t>PRIĖMĖ ŠĮ REGLAMENTĄ:</w:t>
      </w:r>
    </w:p>
    <w:p>
      <w:pPr>
        <w:pStyle w:val="Titrearticle"/>
        <w:rPr>
          <w:noProof/>
        </w:rPr>
      </w:pPr>
      <w:r>
        <w:rPr>
          <w:noProof/>
        </w:rPr>
        <w:t>1 straipsnis</w:t>
      </w:r>
    </w:p>
    <w:p>
      <w:pPr>
        <w:rPr>
          <w:noProof/>
        </w:rPr>
      </w:pPr>
      <w:r>
        <w:rPr>
          <w:noProof/>
        </w:rPr>
        <w:t>1)</w:t>
      </w:r>
      <w:r>
        <w:rPr>
          <w:noProof/>
        </w:rPr>
        <w:tab/>
        <w:t>Pagal protokolą, kuriuo įgyvendinamas Europos bendrijos ir Žaliojo Kyšulio Respublikos žvejybos partnerystės susitarimas (2019–2024 m.) (toliau – Protokolas), nustatytos žvejybos galimybės valstybėms narėms paskirstomos taip:</w:t>
      </w:r>
    </w:p>
    <w:p>
      <w:pPr>
        <w:rPr>
          <w:noProof/>
        </w:rPr>
      </w:pPr>
      <w:r>
        <w:rPr>
          <w:noProof/>
        </w:rPr>
        <w:t>a)</w:t>
      </w:r>
      <w:r>
        <w:rPr>
          <w:noProof/>
        </w:rPr>
        <w:tab/>
        <w:t>tunų žvejybos seineriai:</w:t>
      </w:r>
    </w:p>
    <w:p>
      <w:pPr>
        <w:rPr>
          <w:noProof/>
        </w:rPr>
      </w:pPr>
      <w:r>
        <w:rPr>
          <w:noProof/>
        </w:rPr>
        <w:t>Ispanija</w:t>
      </w:r>
      <w:r>
        <w:rPr>
          <w:noProof/>
        </w:rPr>
        <w:tab/>
      </w:r>
      <w:r>
        <w:rPr>
          <w:noProof/>
        </w:rPr>
        <w:tab/>
        <w:t>[16]</w:t>
      </w:r>
      <w:r>
        <w:rPr>
          <w:noProof/>
        </w:rPr>
        <w:tab/>
        <w:t>laivų</w:t>
      </w:r>
    </w:p>
    <w:p>
      <w:pPr>
        <w:rPr>
          <w:noProof/>
        </w:rPr>
      </w:pPr>
      <w:r>
        <w:rPr>
          <w:noProof/>
        </w:rPr>
        <w:t xml:space="preserve">Prancūzija   </w:t>
      </w:r>
      <w:r>
        <w:rPr>
          <w:noProof/>
        </w:rPr>
        <w:tab/>
      </w:r>
      <w:r>
        <w:rPr>
          <w:noProof/>
        </w:rPr>
        <w:tab/>
        <w:t>[12]</w:t>
      </w:r>
      <w:r>
        <w:rPr>
          <w:noProof/>
        </w:rPr>
        <w:tab/>
        <w:t>laivų</w:t>
      </w:r>
    </w:p>
    <w:p>
      <w:pPr>
        <w:rPr>
          <w:noProof/>
        </w:rPr>
      </w:pPr>
      <w:r>
        <w:rPr>
          <w:noProof/>
        </w:rPr>
        <w:t>b)</w:t>
      </w:r>
      <w:r>
        <w:rPr>
          <w:noProof/>
        </w:rPr>
        <w:tab/>
        <w:t>dreifuojančiomis ūdomis žvejojantys laivai:</w:t>
      </w:r>
    </w:p>
    <w:p>
      <w:pPr>
        <w:rPr>
          <w:noProof/>
        </w:rPr>
      </w:pPr>
      <w:r>
        <w:rPr>
          <w:noProof/>
        </w:rPr>
        <w:t>Ispanija</w:t>
      </w:r>
      <w:r>
        <w:rPr>
          <w:noProof/>
        </w:rPr>
        <w:tab/>
      </w:r>
      <w:r>
        <w:rPr>
          <w:noProof/>
        </w:rPr>
        <w:tab/>
        <w:t>[21]</w:t>
      </w:r>
      <w:r>
        <w:rPr>
          <w:noProof/>
        </w:rPr>
        <w:tab/>
        <w:t>laivas</w:t>
      </w:r>
    </w:p>
    <w:p>
      <w:pPr>
        <w:rPr>
          <w:noProof/>
        </w:rPr>
      </w:pPr>
      <w:r>
        <w:rPr>
          <w:noProof/>
        </w:rPr>
        <w:t>Portugalija</w:t>
      </w:r>
      <w:r>
        <w:rPr>
          <w:noProof/>
        </w:rPr>
        <w:tab/>
      </w:r>
      <w:r>
        <w:rPr>
          <w:noProof/>
        </w:rPr>
        <w:tab/>
        <w:t>[6]</w:t>
      </w:r>
      <w:r>
        <w:rPr>
          <w:noProof/>
        </w:rPr>
        <w:tab/>
        <w:t>laivai</w:t>
      </w:r>
    </w:p>
    <w:p>
      <w:pPr>
        <w:rPr>
          <w:noProof/>
        </w:rPr>
      </w:pPr>
      <w:r>
        <w:rPr>
          <w:noProof/>
        </w:rPr>
        <w:t>c)</w:t>
      </w:r>
      <w:r>
        <w:rPr>
          <w:noProof/>
        </w:rPr>
        <w:tab/>
        <w:t>tunus kartinėmis ūdomis žvejojantys laivai:</w:t>
      </w:r>
    </w:p>
    <w:p>
      <w:pPr>
        <w:rPr>
          <w:noProof/>
        </w:rPr>
      </w:pPr>
      <w:r>
        <w:rPr>
          <w:noProof/>
        </w:rPr>
        <w:t>Ispanija</w:t>
      </w:r>
      <w:r>
        <w:rPr>
          <w:noProof/>
        </w:rPr>
        <w:tab/>
      </w:r>
      <w:r>
        <w:rPr>
          <w:noProof/>
        </w:rPr>
        <w:tab/>
        <w:t>[8]</w:t>
      </w:r>
      <w:r>
        <w:rPr>
          <w:noProof/>
        </w:rPr>
        <w:tab/>
        <w:t>laivai</w:t>
      </w:r>
    </w:p>
    <w:p>
      <w:pPr>
        <w:rPr>
          <w:noProof/>
        </w:rPr>
      </w:pPr>
      <w:r>
        <w:rPr>
          <w:noProof/>
        </w:rPr>
        <w:t xml:space="preserve">Prancūzija </w:t>
      </w:r>
      <w:r>
        <w:rPr>
          <w:noProof/>
        </w:rPr>
        <w:tab/>
      </w:r>
      <w:r>
        <w:rPr>
          <w:noProof/>
        </w:rPr>
        <w:tab/>
        <w:t>[4]</w:t>
      </w:r>
      <w:r>
        <w:rPr>
          <w:noProof/>
        </w:rPr>
        <w:tab/>
        <w:t>laivai</w:t>
      </w:r>
    </w:p>
    <w:p>
      <w:pPr>
        <w:rPr>
          <w:noProof/>
        </w:rPr>
      </w:pPr>
      <w:r>
        <w:rPr>
          <w:noProof/>
        </w:rPr>
        <w:t>Portugalija</w:t>
      </w:r>
      <w:r>
        <w:rPr>
          <w:noProof/>
        </w:rPr>
        <w:tab/>
      </w:r>
      <w:r>
        <w:rPr>
          <w:noProof/>
        </w:rPr>
        <w:tab/>
        <w:t>[2]</w:t>
      </w:r>
      <w:r>
        <w:rPr>
          <w:noProof/>
        </w:rPr>
        <w:tab/>
        <w:t>laivai</w:t>
      </w:r>
    </w:p>
    <w:p>
      <w:pPr>
        <w:pStyle w:val="Titrearticle"/>
        <w:rPr>
          <w:noProof/>
        </w:rPr>
      </w:pPr>
      <w:r>
        <w:rPr>
          <w:noProof/>
        </w:rPr>
        <w:t>2 straipsnis</w:t>
      </w:r>
    </w:p>
    <w:p>
      <w:pPr>
        <w:rPr>
          <w:noProof/>
        </w:rPr>
      </w:pPr>
      <w:r>
        <w:rPr>
          <w:noProof/>
        </w:rPr>
        <w:t xml:space="preserve">Šis reglamentas įsigalioja kitą dieną po jo paskelbimo </w:t>
      </w:r>
      <w:r>
        <w:rPr>
          <w:i/>
          <w:noProof/>
        </w:rPr>
        <w:t>Europos Sąjungos oficialiajame leidinyje</w:t>
      </w:r>
      <w:r>
        <w:rPr>
          <w:noProof/>
        </w:rPr>
        <w:t>.</w:t>
      </w:r>
    </w:p>
    <w:p>
      <w:pPr>
        <w:rPr>
          <w:noProof/>
        </w:rPr>
      </w:pPr>
      <w:r>
        <w:rPr>
          <w:noProof/>
        </w:rPr>
        <w:t>Jis taikomas nuo Protokolo taikymo dienos.</w:t>
      </w:r>
    </w:p>
    <w:p>
      <w:pPr>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Priimta 2018 m. birželio 4–5 d. Teisingumo ir vidaus reikalų tarybos posėdyje.</w:t>
      </w:r>
    </w:p>
  </w:footnote>
  <w:footnote w:id="2">
    <w:p>
      <w:pPr>
        <w:pStyle w:val="FootnoteText"/>
        <w:rPr>
          <w:lang w:val="fr-BE"/>
        </w:rPr>
      </w:pPr>
      <w:r>
        <w:rPr>
          <w:rStyle w:val="FootnoteReference"/>
        </w:rPr>
        <w:footnoteRef/>
      </w:r>
      <w:r>
        <w:tab/>
        <w:t>OL L 414, 2006 12 30, p. 3.</w:t>
      </w:r>
    </w:p>
  </w:footnote>
  <w:footnote w:id="3">
    <w:p>
      <w:pPr>
        <w:pStyle w:val="Footno"/>
      </w:pPr>
      <w:r>
        <w:rPr>
          <w:rStyle w:val="FootnoteReference"/>
        </w:rPr>
        <w:footnoteRef/>
      </w:r>
      <w:r>
        <w:tab/>
        <w:t>2006 m. gruodžio 19 d. Tarybos reglamentas (EB) Nr. 2027/2006 dėl Europos bendrijos ir Žaliojo Kyšulio Respublikos žvejybos partnerystės susitarimo sudarymo (OL L 414, 2006 12 30, p. 1).</w:t>
      </w:r>
    </w:p>
  </w:footnote>
  <w:footnote w:id="4">
    <w:p>
      <w:pPr>
        <w:pStyle w:val="FootnoteText"/>
        <w:ind w:left="0" w:firstLine="0"/>
        <w:rPr>
          <w:lang w:val="nb-NO"/>
        </w:rPr>
      </w:pPr>
      <w:r>
        <w:rPr>
          <w:rStyle w:val="FootnoteReference"/>
        </w:rPr>
        <w:footnoteRef/>
      </w:r>
      <w:r>
        <w:tab/>
        <w:t>Sprendimas … (OL L ..., ...,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4: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7DFB37C-4AFD-4941-9BBC-5EABE7061531"/>
    <w:docVar w:name="LW_COVERPAGE_TYPE" w:val="1"/>
    <w:docVar w:name="LW_CROSSREFERENCE" w:val="&lt;UNUSED&gt;"/>
    <w:docVar w:name="LW_DocType" w:val="COM"/>
    <w:docVar w:name="LW_EMISSION" w:val="2019 03 14"/>
    <w:docVar w:name="LW_EMISSION_ISODATE" w:val="2019-03-14"/>
    <w:docVar w:name="LW_EMISSION_LOCATION" w:val="BRX"/>
    <w:docVar w:name="LW_EMISSION_PREFIX" w:val="Briuseli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u382?vejybos galimybi\u371? paskirstymo pagal Europos bendrijos ir \u381?aliojo Ky\u353?ulio Respublikos \u382?vejybos partneryst\u279?s susitarimo \u303?gyvendinimo protokol\u261? (2019\u8211?2024 m.)_x000b_"/>
    <w:docVar w:name="LW_TYPE.DOC.CP" w:val="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B2591F-9C94-40BF-BC97-35E38F87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5</Pages>
  <Words>730</Words>
  <Characters>5264</Characters>
  <Application>Microsoft Office Word</Application>
  <DocSecurity>0</DocSecurity>
  <Lines>112</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2019-02-14T10:41:00Z</dcterms:created>
  <dcterms:modified xsi:type="dcterms:W3CDTF">2019-03-13T13:34:00Z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