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64CE8A9-CAE7-4714-A851-2B7D68BD28F6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A javaslat indokai és céljai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Bizottság a vonatkozó tárgyalási irányelvek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alapján tárgyalásokat folytatott a Zöld-foki Köztársaság (a továbbiakban: Zöld-foki-szigetek) kormányával az Európai Közösség és a Zöld-foki Köztársaság között létrejött halászati partnerségi megállapodás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új jegyzőkönyvének megkötéséről. Az említett tárgyalásokat követően a felek 2018. október 12-én új jegyzőkönyvet parafáltak. A jegyzőkönyv az ideiglenes alkalmazás kezdetétől, vagyis az aláírásának napjától számított ötéves időszakra szól, amint azt a 15. cikke megállapítja.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új jegyzőkönyv elsődleges célja, hogy a rendelkezésre álló legjobb tudományos szakvélemények alapján és az Atlanti Tonhal Védelmére Létrehozott Nemzetközi Bizottság (ICCAT) ajánlásait figyelembe véve halászati lehetőségeket biztosítson az uniós hajók számára a Zöld-foki-szigetek vizein. Az új jegyzőkönyv figyelembe veszi a legutóbbi (2014 és 2018 közötti időszakra vonatkozó) jegyzőkönyv értékelésének, valamint egy, az új jegyzőkönyv megkötésének lehetőségét vizsgáló előretekintő értékelésnek az eredményeit. Mindkét értékelést külső szakértők végezték. A jegyzőkönyv azt is lehetővé teszi az Európai Unió és a Zöld-foki Köztársaság számára, hogy szorosabban együttműködjenek a zöld-foki-szigeteki vizeken a halászati erőforrások felelősségteljes kiaknázásának előmozdítása érdekében, és mindkét fél érdekében támogassák a Zöld-foki-szigetek azon erőfeszítéseit, amelyek az ország kék gazdaságának fejlesztésére irányulnak.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A jegyzőkönyv az alábbi halászati kategóriákban ír elő halászati lehetőségeket: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28 fagyasztóval felszerelt kerítőhálós tonhalhalászhajó;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27 felszíni horogsoros halászhajó;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14 horgászbotos tonhalhalászhajó.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Helyénvaló meghatározni e halászati lehetőségek tagállamok közötti elosztási arányait.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spacing w:before="0" w:after="240"/>
        <w:rPr>
          <w:noProof/>
        </w:rPr>
      </w:pPr>
      <w:r>
        <w:rPr>
          <w:noProof/>
        </w:rPr>
        <w:t xml:space="preserve">A választott jogalap az Európai Unió működéséről szóló szerződés, amely 43. cikkének (3) bekezdésében kiköti, hogy a halászati lehetőségek elosztásáról a Tanács határoz, a Bizottság javaslata alapján.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Szubszidiaritás (nem kizárólagos hatáskör esetén)</w:t>
      </w:r>
    </w:p>
    <w:p>
      <w:pPr>
        <w:spacing w:before="0" w:after="240"/>
        <w:rPr>
          <w:noProof/>
        </w:rPr>
      </w:pPr>
      <w:r>
        <w:rPr>
          <w:noProof/>
        </w:rPr>
        <w:t xml:space="preserve">Az érintett szakpolitikai területet az Európai Unió kizárólagos hatáskörébe tartozik. </w:t>
      </w:r>
    </w:p>
    <w:p>
      <w:pPr>
        <w:spacing w:before="0" w:after="240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jelenleg hatályban lévő jogszabályok utólagos értékelése / célravezetőségi vizsgálata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érdekelt felekkel az Európai Unió és a Zöld-foki Köztársaság közötti lehetséges új jegyzőkönyvről az utólagos és az előzetes értékelés során folyt egyeztetés. A technikai értekezletek során konzultációra került sor tagállami és ágazati szakértőkkel is. E konzultációk azzal a következtetéssel zárultak, hogy mind az Európai Uniónak, mind a Zöld-foki Köztársaságnak érdekében áll megkötni a halászati partnerségi megállapodás új jegyzőkönyvét.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Az érdekelt felekkel folytatott konzultációk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értékelés részeként konzultációra került sor a tagállamokkal, az ágazati képviselőkkel, egyes nemzetközi civil szervezetekkel, valamint a Zöld-foki-szigetek halászati közigazgatási szerveivel és civil társadalmi szervezeteivel. Konzultációk folytak a távolsági flottával foglalkozó tanácsadó testület keretében is.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Szakértői vélemények összegyűjtése és felhasználása</w:t>
      </w:r>
    </w:p>
    <w:p>
      <w:pPr>
        <w:spacing w:before="0" w:after="240"/>
        <w:rPr>
          <w:noProof/>
        </w:rPr>
      </w:pPr>
      <w:r>
        <w:rPr>
          <w:noProof/>
        </w:rPr>
        <w:t xml:space="preserve">A Bizottság a közös halászati politikáról szóló rendelet 31. cikkének (10) bekezdésében foglalt rendelkezésekkel összhangban az utólagos és az előzetes értékeléshez független szakértő segítségét vette igénybe.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spacing w:before="0" w:after="240"/>
        <w:rPr>
          <w:noProof/>
        </w:rPr>
      </w:pPr>
      <w:r>
        <w:rPr>
          <w:noProof/>
        </w:rPr>
        <w:t>A rendelettervezet nincs hatással az uniós költségvetésre.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>
      <w:pPr>
        <w:spacing w:before="0" w:after="240"/>
        <w:rPr>
          <w:noProof/>
        </w:rPr>
      </w:pPr>
      <w:r>
        <w:rPr>
          <w:noProof/>
        </w:rPr>
        <w:t xml:space="preserve">Ezen eljárás megindítására az Európai Közösség és a Zöld-foki Köztársaság között létrejött halászati partnerségi megállapodás jegyzőkönyvének az Unió nevében történő aláírásáról szóló tanácsi határozathoz, valamint a jegyzőkönyv megkötéséről szóló tanácsi határozathoz kapcsolódó eljárás megindításával párhuzamosan kerül sor. Ezt a rendeletet a megállapodásban rögzített halászati lehetőségek megnyílásának időpontjától, vagyis a jegyzőkönyv ideiglenes alkalmazásának kezdőnapjától kell alkalmazni.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2019/0072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RENDELETE</w:t>
      </w:r>
    </w:p>
    <w:p>
      <w:pPr>
        <w:pStyle w:val="Titreobjet"/>
        <w:rPr>
          <w:noProof/>
        </w:rPr>
      </w:pPr>
      <w:r>
        <w:rPr>
          <w:noProof/>
        </w:rPr>
        <w:t>az Európai Közösség és a Zöld-foki Köztársaság között létrejött halászati partnerségi megállapodás végrehajtásáról szóló jegyzőkönyv (2019–2024) szerinti halászati lehetőségek elosztásáról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43. cikke</w:t>
      </w:r>
    </w:p>
    <w:p>
      <w:pPr>
        <w:rPr>
          <w:noProof/>
        </w:rPr>
      </w:pPr>
      <w:r>
        <w:rPr>
          <w:noProof/>
        </w:rPr>
        <w:t>(3) bekezdésére,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Tanács 2006. december 19-én elfogadta az Európai Közösség és a Zöld-foki Köztársaság között létrejött halászati partnerségi megállapodás (a továbbiakban: megállapodás) megkötéséről szóló 2027/2006/EK tanácsi határozatot</w:t>
      </w:r>
      <w:r>
        <w:rPr>
          <w:rStyle w:val="FootnoteReference"/>
          <w:noProof/>
        </w:rPr>
        <w:footnoteReference w:id="3"/>
      </w:r>
      <w:r>
        <w:rPr>
          <w:noProof/>
        </w:rPr>
        <w:t>, amely megállapodás 2007. március 30-án lépett hatályba, később hallgatólagosan meghosszabbításra került és jelenleg is érvényben van.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megállapodás legutóbbi jegyzőkönyve 2018. december 22-én jár le.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A Bizottság az Európai Unió nevében tárgyalásokat folytatott a megállapodás végrehajtására vonatkozó új jegyzőkönyvről (a továbbiakban: jegyzőkönyv). A tárgyalások eredményeként a felek 2018. október 12-én parafálták a jegyzőkönyvet.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Felek az (EU) 2018/... tanácsi határozatnak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megfelelően [</w:t>
      </w:r>
      <w:r>
        <w:rPr>
          <w:i/>
          <w:noProof/>
        </w:rPr>
        <w:t>aláírás dátuma</w:t>
      </w:r>
      <w:r>
        <w:rPr>
          <w:noProof/>
        </w:rPr>
        <w:t>]-án/-én aláírták az Európai Közösség és a Zöld-foki Köztársaság között létrejött halászati megállapodás végrehajtására vonatkozó jegyzőkönyvet (2019–2024).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jegyzőkönyvben az alkalmazásának teljes időtartamára előírt halászati lehetőségeket helyénvaló elosztani a tagállamok között.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Annak érdekében, hogy az uniós hajók gyorsan megkezdhessék halászati tevékenységüket, a jegyzőkönyv az aláírásának napjától ideiglenesen alkalmazandó lesz. Helyénvaló tehát előírni, hogy ez a rendelet ugyanettől a naptól legyen alkalmazandó,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ELFOGADTA EZT A RENDELETET: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(1)</w:t>
      </w:r>
      <w:r>
        <w:rPr>
          <w:noProof/>
        </w:rPr>
        <w:tab/>
        <w:t>Az Európai Közösség és a Zöld-foki Köztársaság között létrejött halászati partnerségi megállapodás végrehajtásáról szóló jegyzőkönyvben (a továbbiakban: jegyzőkönyv) meghatározott halászati lehetőségeket a tagállamok között az alábbiak szerint kell elosztani: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kerítőhálós tonhalhalászhajók:</w:t>
      </w:r>
    </w:p>
    <w:p>
      <w:pPr>
        <w:rPr>
          <w:noProof/>
        </w:rPr>
      </w:pPr>
      <w:r>
        <w:rPr>
          <w:noProof/>
        </w:rPr>
        <w:t>Spanyolország:</w:t>
      </w:r>
      <w:r>
        <w:rPr>
          <w:noProof/>
        </w:rPr>
        <w:tab/>
      </w:r>
      <w:r>
        <w:rPr>
          <w:noProof/>
        </w:rPr>
        <w:tab/>
        <w:t>[16]</w:t>
      </w:r>
      <w:r>
        <w:rPr>
          <w:noProof/>
        </w:rPr>
        <w:tab/>
        <w:t>hajó</w:t>
      </w:r>
    </w:p>
    <w:p>
      <w:pPr>
        <w:rPr>
          <w:noProof/>
        </w:rPr>
      </w:pPr>
      <w:r>
        <w:rPr>
          <w:noProof/>
        </w:rPr>
        <w:t xml:space="preserve">Franciaország:   </w:t>
      </w:r>
      <w:r>
        <w:rPr>
          <w:noProof/>
        </w:rPr>
        <w:tab/>
      </w:r>
      <w:r>
        <w:rPr>
          <w:noProof/>
        </w:rPr>
        <w:tab/>
        <w:t>[12]</w:t>
      </w:r>
      <w:r>
        <w:rPr>
          <w:noProof/>
        </w:rPr>
        <w:tab/>
        <w:t>hajó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felszíni horogsoros halászhajók:</w:t>
      </w:r>
    </w:p>
    <w:p>
      <w:pPr>
        <w:rPr>
          <w:noProof/>
        </w:rPr>
      </w:pPr>
      <w:r>
        <w:rPr>
          <w:noProof/>
        </w:rPr>
        <w:t>Spanyolország:</w:t>
      </w:r>
      <w:r>
        <w:rPr>
          <w:noProof/>
        </w:rPr>
        <w:tab/>
      </w:r>
      <w:r>
        <w:rPr>
          <w:noProof/>
        </w:rPr>
        <w:tab/>
        <w:t>[21]</w:t>
      </w:r>
      <w:r>
        <w:rPr>
          <w:noProof/>
        </w:rPr>
        <w:tab/>
        <w:t>hajó</w:t>
      </w:r>
    </w:p>
    <w:p>
      <w:pPr>
        <w:rPr>
          <w:noProof/>
        </w:rPr>
      </w:pPr>
      <w:r>
        <w:rPr>
          <w:noProof/>
        </w:rPr>
        <w:t>Portugália:</w:t>
      </w:r>
      <w:r>
        <w:rPr>
          <w:noProof/>
        </w:rPr>
        <w:tab/>
      </w:r>
      <w:r>
        <w:rPr>
          <w:noProof/>
        </w:rPr>
        <w:tab/>
        <w:t>[6]</w:t>
      </w:r>
      <w:r>
        <w:rPr>
          <w:noProof/>
        </w:rPr>
        <w:tab/>
        <w:t>hajó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horgászbotos tonhalhalászhajók:</w:t>
      </w:r>
    </w:p>
    <w:p>
      <w:pPr>
        <w:rPr>
          <w:noProof/>
        </w:rPr>
      </w:pPr>
      <w:r>
        <w:rPr>
          <w:noProof/>
        </w:rPr>
        <w:t>Spanyolország</w:t>
      </w:r>
      <w:r>
        <w:rPr>
          <w:noProof/>
        </w:rPr>
        <w:tab/>
      </w:r>
      <w:r>
        <w:rPr>
          <w:noProof/>
        </w:rPr>
        <w:tab/>
        <w:t>[8]</w:t>
      </w:r>
      <w:r>
        <w:rPr>
          <w:noProof/>
        </w:rPr>
        <w:tab/>
        <w:t>hajó</w:t>
      </w:r>
    </w:p>
    <w:p>
      <w:pPr>
        <w:rPr>
          <w:noProof/>
        </w:rPr>
      </w:pPr>
      <w:r>
        <w:rPr>
          <w:noProof/>
        </w:rPr>
        <w:t xml:space="preserve">Franciaország </w:t>
      </w:r>
      <w:r>
        <w:rPr>
          <w:noProof/>
        </w:rPr>
        <w:tab/>
      </w:r>
      <w:r>
        <w:rPr>
          <w:noProof/>
        </w:rPr>
        <w:tab/>
        <w:t>[4]</w:t>
      </w:r>
      <w:r>
        <w:rPr>
          <w:noProof/>
        </w:rPr>
        <w:tab/>
        <w:t>hajó</w:t>
      </w:r>
    </w:p>
    <w:p>
      <w:pPr>
        <w:rPr>
          <w:noProof/>
        </w:rPr>
      </w:pPr>
      <w:r>
        <w:rPr>
          <w:noProof/>
        </w:rPr>
        <w:t>Portugália:</w:t>
      </w:r>
      <w:r>
        <w:rPr>
          <w:noProof/>
        </w:rPr>
        <w:tab/>
      </w:r>
      <w:r>
        <w:rPr>
          <w:noProof/>
        </w:rPr>
        <w:tab/>
        <w:t>[2]</w:t>
      </w:r>
      <w:r>
        <w:rPr>
          <w:noProof/>
        </w:rPr>
        <w:tab/>
        <w:t>hajó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napon lép hatályba.</w:t>
      </w:r>
    </w:p>
    <w:p>
      <w:pPr>
        <w:rPr>
          <w:noProof/>
        </w:rPr>
      </w:pPr>
      <w:r>
        <w:rPr>
          <w:noProof/>
        </w:rPr>
        <w:t>Ez a rendelet a jegyzőkönyv alkalmazásának kezdőnapjától alkalmazandó.</w:t>
      </w:r>
    </w:p>
    <w:p>
      <w:pPr>
        <w:rPr>
          <w:noProof/>
        </w:rPr>
      </w:pPr>
      <w:r>
        <w:rPr>
          <w:noProof/>
        </w:rPr>
        <w:t>Ez a rendelet teljes egészében kötelező és közvetlenül alkalmazandó valamennyi tagállamban.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Elfogadásukra a Bel- és Igazságügyi Tanács 2018. június 4–5-i ülésén került sor.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HL L 414., 2006.12.30., 3. o.</w:t>
      </w:r>
    </w:p>
  </w:footnote>
  <w:footnote w:id="3">
    <w:p>
      <w:pPr>
        <w:pStyle w:val="Footno"/>
      </w:pPr>
      <w:r>
        <w:rPr>
          <w:rStyle w:val="FootnoteReference"/>
        </w:rPr>
        <w:footnoteRef/>
      </w:r>
      <w:r>
        <w:tab/>
        <w:t>A Tanács 2027/2006/EK rendelete (2006. december 19.) az Európai Közösség és a Zöld-foki Köztársaság között létrejött halászati partnerségi megállapodás megkötéséről (HL L 414., 2006.12.30., 1. o.).</w:t>
      </w:r>
    </w:p>
  </w:footnote>
  <w:footnote w:id="4">
    <w:p>
      <w:pPr>
        <w:pStyle w:val="FootnoteText"/>
        <w:ind w:left="0" w:firstLine="0"/>
        <w:rPr>
          <w:lang w:val="nb-NO"/>
        </w:rPr>
      </w:pPr>
      <w:r>
        <w:rPr>
          <w:rStyle w:val="FootnoteReference"/>
        </w:rPr>
        <w:footnoteRef/>
      </w:r>
      <w:r>
        <w:tab/>
        <w:t>... határozat (HL […]., […]., […]. 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084B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76AE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F1ADA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6279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28A5A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4C433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9E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51E6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3 14:35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64CE8A9-CAE7-4714-A851-2B7D68BD28F6"/>
    <w:docVar w:name="LW_COVERPAGE_TYPE" w:val="1"/>
    <w:docVar w:name="LW_CROSSREFERENCE" w:val="&lt;UNUSED&gt;"/>
    <w:docVar w:name="LW_DocType" w:val="COM"/>
    <w:docVar w:name="LW_EMISSION" w:val="2019.3.14."/>
    <w:docVar w:name="LW_EMISSION_ISODATE" w:val="2019-03-14"/>
    <w:docVar w:name="LW_EMISSION_LOCATION" w:val="BRX"/>
    <w:docVar w:name="LW_EMISSION_PREFIX" w:val="Brüsszel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19"/>
    <w:docVar w:name="LW_REF.INST.NEW" w:val="COM"/>
    <w:docVar w:name="LW_REF.INST.NEW_ADOPTED" w:val="final"/>
    <w:docVar w:name="LW_REF.INST.NEW_TEXT" w:val="(2019) 13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Közösség és a Zöld-foki Köztársaság között létrejött halászati partnerségi megállapodás végrehajtásáról szóló jegyz\u337?könyv (2019\u8211?2024) szerinti halászati lehet\u337?ségek elosztásáról_x000b_"/>
    <w:docVar w:name="LW_TYPE.DOC.CP" w:val="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A45871-923F-4F5E-A940-D78C63E9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5</Pages>
  <Words>820</Words>
  <Characters>5972</Characters>
  <Application>Microsoft Office Word</Application>
  <DocSecurity>0</DocSecurity>
  <Lines>121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2018-12-14T14:47:00Z</cp:lastPrinted>
  <dcterms:created xsi:type="dcterms:W3CDTF">2019-02-13T17:20:00Z</dcterms:created>
  <dcterms:modified xsi:type="dcterms:W3CDTF">2019-03-13T13:35:00Z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