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24EA53D-1AB1-4376-B339-6D044FB1B912"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Ettepaneku põhjused ja eesmärgid</w:t>
      </w:r>
    </w:p>
    <w:p>
      <w:pPr>
        <w:pBdr>
          <w:top w:val="nil"/>
          <w:left w:val="nil"/>
          <w:bottom w:val="nil"/>
          <w:right w:val="nil"/>
          <w:between w:val="nil"/>
          <w:bar w:val="nil"/>
        </w:pBdr>
        <w:spacing w:before="0" w:after="240"/>
        <w:rPr>
          <w:rFonts w:eastAsia="Arial Unicode MS"/>
          <w:noProof/>
        </w:rPr>
      </w:pPr>
      <w:r>
        <w:rPr>
          <w:noProof/>
        </w:rPr>
        <w:t>Vastavalt asjakohastele läbirääkimisjuhistele</w:t>
      </w:r>
      <w:r>
        <w:rPr>
          <w:rStyle w:val="FootnoteReference"/>
          <w:noProof/>
        </w:rPr>
        <w:footnoteReference w:id="1"/>
      </w:r>
      <w:r>
        <w:rPr>
          <w:noProof/>
        </w:rPr>
        <w:t xml:space="preserve"> pidas Euroopa Komisjon Cabo Verde Vabariigi (edaspidi „Cabo Verde“) valitsusega läbirääkimisi, et sõlmida Euroopa Ühenduse ja Cabo Verde Vabariigi vahelise kalandussektori partnerluslepingu uus protokoll.</w:t>
      </w:r>
      <w:r>
        <w:rPr>
          <w:rStyle w:val="FootnoteReference"/>
          <w:noProof/>
          <w:vertAlign w:val="baseline"/>
        </w:rPr>
        <w:t xml:space="preserve"> </w:t>
      </w:r>
      <w:r>
        <w:rPr>
          <w:rStyle w:val="FootnoteReference"/>
          <w:noProof/>
        </w:rPr>
        <w:footnoteReference w:id="2"/>
      </w:r>
      <w:r>
        <w:rPr>
          <w:noProof/>
        </w:rPr>
        <w:t xml:space="preserve">. Nende läbirääkimiste tulemusena parafeeriti 12. oktoobril 2018. aastal uus protokoll. Protokoll kehtib viis aastat alates selle ajutise kohaldamise kuupäevast, st kuupäevast, mil see allkirjastati, nagu on osutatud artiklis 15. </w:t>
      </w:r>
    </w:p>
    <w:p>
      <w:pPr>
        <w:pBdr>
          <w:top w:val="nil"/>
          <w:left w:val="nil"/>
          <w:bottom w:val="nil"/>
          <w:right w:val="nil"/>
          <w:between w:val="nil"/>
          <w:bar w:val="nil"/>
        </w:pBdr>
        <w:spacing w:before="0" w:after="240"/>
        <w:rPr>
          <w:rFonts w:eastAsia="Arial Unicode MS"/>
          <w:noProof/>
        </w:rPr>
      </w:pPr>
      <w:r>
        <w:rPr>
          <w:noProof/>
        </w:rPr>
        <w:t>Uue protokolli peamine eesmärk on pakkuda liidu laevadele kalapüügivõimalusi Cabo Verde vetes, lähtudes parimatest saadaolevatest teaduslikest nõuannetest ja järgides Rahvusvahelise Atlandi Tuunikala Kaitse Komisjoni (ICCAT) soovitusi. Uue protokolli puhul on arvesse võetud eelmise protokolli (2014–2018) hindamise tulemusi ning uue protokolli sõlmimist käsitlevat ettevaatavat hinnangut. Mõlema hinnangu koostajaks olid väliseksperdid. Protokoll võimaldab Euroopa Liidul ja Cabo Verde Vabariigil teha tihedamat koostööd, et edendada kalavarude vastutustundlikku kasutamist Cabo Verde vetes ja toetada Cabo Verde sinist majandust mõlema poole huvides.</w:t>
      </w:r>
    </w:p>
    <w:p>
      <w:pPr>
        <w:pBdr>
          <w:top w:val="nil"/>
          <w:left w:val="nil"/>
          <w:bottom w:val="nil"/>
          <w:right w:val="nil"/>
          <w:between w:val="nil"/>
          <w:bar w:val="nil"/>
        </w:pBdr>
        <w:spacing w:before="0"/>
        <w:rPr>
          <w:noProof/>
        </w:rPr>
      </w:pPr>
      <w:r>
        <w:rPr>
          <w:noProof/>
        </w:rPr>
        <w:t>Protokolliga on ette nähtud kalapüügivõimalused järgmistele laevakategooriatele:</w:t>
      </w:r>
    </w:p>
    <w:p>
      <w:pPr>
        <w:pStyle w:val="Point0letter"/>
        <w:numPr>
          <w:ilvl w:val="1"/>
          <w:numId w:val="6"/>
        </w:numPr>
        <w:rPr>
          <w:noProof/>
        </w:rPr>
      </w:pPr>
      <w:r>
        <w:rPr>
          <w:noProof/>
        </w:rPr>
        <w:t>28 tuunikülmutusseinerit,</w:t>
      </w:r>
    </w:p>
    <w:p>
      <w:pPr>
        <w:pStyle w:val="Point0letter"/>
        <w:numPr>
          <w:ilvl w:val="1"/>
          <w:numId w:val="6"/>
        </w:numPr>
        <w:rPr>
          <w:noProof/>
        </w:rPr>
      </w:pPr>
      <w:r>
        <w:rPr>
          <w:noProof/>
        </w:rPr>
        <w:t>27 triivõngelaeva,</w:t>
      </w:r>
    </w:p>
    <w:p>
      <w:pPr>
        <w:pStyle w:val="Point0letter"/>
        <w:numPr>
          <w:ilvl w:val="1"/>
          <w:numId w:val="6"/>
        </w:numPr>
        <w:rPr>
          <w:noProof/>
        </w:rPr>
      </w:pPr>
      <w:r>
        <w:rPr>
          <w:noProof/>
        </w:rPr>
        <w:t>14 ritvõngedega tuunipüügilaeva.</w:t>
      </w:r>
    </w:p>
    <w:p>
      <w:pPr>
        <w:pBdr>
          <w:top w:val="nil"/>
          <w:left w:val="nil"/>
          <w:bottom w:val="nil"/>
          <w:right w:val="nil"/>
          <w:between w:val="nil"/>
          <w:bar w:val="nil"/>
        </w:pBdr>
        <w:spacing w:before="0" w:after="240"/>
        <w:rPr>
          <w:noProof/>
        </w:rPr>
      </w:pPr>
      <w:r>
        <w:rPr>
          <w:noProof/>
        </w:rPr>
        <w:t>Oleks vaja määrata kindlaks kalapüügivõimaluste liikmesriikide vahelise jaotamise põhimõtted.</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rPr>
        <w:t>•</w:t>
      </w:r>
      <w:r>
        <w:rPr>
          <w:noProof/>
        </w:rPr>
        <w:tab/>
        <w:t>Õiguslik alus</w:t>
      </w:r>
    </w:p>
    <w:p>
      <w:pPr>
        <w:spacing w:before="0" w:after="240"/>
        <w:rPr>
          <w:noProof/>
        </w:rPr>
      </w:pPr>
      <w:r>
        <w:rPr>
          <w:noProof/>
        </w:rPr>
        <w:t xml:space="preserve">Valitud õiguslik alus on Euroopa Liidu toimimise leping, mille artikli 43 lõikes 3 on sätestatud, et nõukogu kiidab kalapüügivõimaluste jaotamise heaks komisjoni ettepaneku alusel. </w:t>
      </w:r>
    </w:p>
    <w:p>
      <w:pPr>
        <w:pStyle w:val="ManualHeading2"/>
        <w:rPr>
          <w:rFonts w:eastAsia="Arial Unicode MS"/>
          <w:noProof/>
          <w:u w:color="000000"/>
          <w:bdr w:val="nil"/>
        </w:rPr>
      </w:pPr>
      <w:r>
        <w:rPr>
          <w:noProof/>
        </w:rPr>
        <w:t>•</w:t>
      </w:r>
      <w:r>
        <w:rPr>
          <w:noProof/>
        </w:rPr>
        <w:tab/>
        <w:t>Subsidiaarsus (ainupädevusse mittekuuluva valdkonna puhul)</w:t>
      </w:r>
    </w:p>
    <w:p>
      <w:pPr>
        <w:spacing w:before="0" w:after="240"/>
        <w:rPr>
          <w:noProof/>
        </w:rPr>
      </w:pPr>
      <w:r>
        <w:rPr>
          <w:noProof/>
        </w:rPr>
        <w:t xml:space="preserve">Tegevusvaldkond kuulub Euroopa Liidu ainupädevusse. </w:t>
      </w:r>
    </w:p>
    <w:p>
      <w:pPr>
        <w:spacing w:before="0" w:after="240"/>
        <w:rPr>
          <w:noProof/>
        </w:rPr>
      </w:pPr>
    </w:p>
    <w:p>
      <w:pPr>
        <w:pStyle w:val="ManualHeading1"/>
        <w:rPr>
          <w:noProof/>
        </w:rPr>
      </w:pPr>
      <w:r>
        <w:rPr>
          <w:noProof/>
        </w:rPr>
        <w:t>3.</w:t>
      </w:r>
      <w:r>
        <w:rPr>
          <w:noProof/>
        </w:rPr>
        <w:tab/>
        <w:t>JÄRELHINDAMISE, SIDUSRÜHMADEGA KONSULTEERIMISE JA MÕJU HINDAMISE TULEMUSED</w:t>
      </w:r>
    </w:p>
    <w:p>
      <w:pPr>
        <w:pStyle w:val="ManualHeading2"/>
        <w:rPr>
          <w:rFonts w:eastAsia="Arial Unicode MS"/>
          <w:noProof/>
          <w:u w:color="000000"/>
          <w:bdr w:val="nil"/>
        </w:rPr>
      </w:pPr>
      <w:r>
        <w:rPr>
          <w:noProof/>
        </w:rPr>
        <w:t>•</w:t>
      </w:r>
      <w:r>
        <w:rPr>
          <w:noProof/>
        </w:rPr>
        <w:tab/>
        <w:t>Praegu kehtivate õigusaktide järelhindamine või toimivuse kontroll</w:t>
      </w:r>
    </w:p>
    <w:p>
      <w:pPr>
        <w:pBdr>
          <w:top w:val="nil"/>
          <w:left w:val="nil"/>
          <w:bottom w:val="nil"/>
          <w:right w:val="nil"/>
          <w:between w:val="nil"/>
          <w:bar w:val="nil"/>
        </w:pBdr>
        <w:spacing w:before="0" w:after="240"/>
        <w:rPr>
          <w:noProof/>
        </w:rPr>
      </w:pPr>
      <w:r>
        <w:rPr>
          <w:noProof/>
        </w:rPr>
        <w:t>Euroopa Liidu ja Cabo Verde Vabariigi vahelise võimaliku uue protokolli üle konsulteeriti huvitatud isikutega eel- ja järelhindamiste käigus. Liikmesriikide ja tööstussektori ekspertidega konsulteeriti ka tehnilistel koosolekutel. Kõnealuste konsultatsioonide tulemusena jõuti järeldusele, et Euroopa Liidule ja Cabo Verde Vabariigile oleks kasulik sõlmida kalandussektori partnerluslepingu uus protokoll.</w:t>
      </w:r>
    </w:p>
    <w:p>
      <w:pPr>
        <w:pStyle w:val="ManualHeading2"/>
        <w:rPr>
          <w:rFonts w:eastAsia="Arial Unicode MS"/>
          <w:noProof/>
          <w:u w:color="000000"/>
          <w:bdr w:val="nil"/>
        </w:rPr>
      </w:pPr>
      <w:r>
        <w:rPr>
          <w:noProof/>
        </w:rPr>
        <w:t>•</w:t>
      </w:r>
      <w:r>
        <w:rPr>
          <w:noProof/>
        </w:rPr>
        <w:tab/>
        <w:t>Konsulteerimine sidusrühmadega</w:t>
      </w:r>
    </w:p>
    <w:p>
      <w:pPr>
        <w:pBdr>
          <w:top w:val="nil"/>
          <w:left w:val="nil"/>
          <w:bottom w:val="nil"/>
          <w:right w:val="nil"/>
          <w:between w:val="nil"/>
          <w:bar w:val="nil"/>
        </w:pBdr>
        <w:spacing w:before="0" w:after="240"/>
        <w:rPr>
          <w:rFonts w:eastAsia="Arial Unicode MS"/>
          <w:noProof/>
        </w:rPr>
      </w:pPr>
      <w:r>
        <w:rPr>
          <w:noProof/>
        </w:rPr>
        <w:t>Hindamise raames konsulteeriti liikmesriikide, tööstusharu esindajate ja rahvusvaheliste kodanikuühiskonna organisatsioonidega ning Cabo Verde kalandussektori haldusasutuste ja kodanikuühiskonnaga. Konsultatsioonid toimusid ka kaugpüügi nõuandekomisjoni raames.</w:t>
      </w:r>
    </w:p>
    <w:p>
      <w:pPr>
        <w:pStyle w:val="ManualHeading2"/>
        <w:rPr>
          <w:rFonts w:eastAsia="Arial Unicode MS"/>
          <w:noProof/>
          <w:u w:color="000000"/>
          <w:bdr w:val="nil"/>
        </w:rPr>
      </w:pPr>
      <w:r>
        <w:rPr>
          <w:noProof/>
        </w:rPr>
        <w:t>•</w:t>
      </w:r>
      <w:r>
        <w:rPr>
          <w:noProof/>
        </w:rPr>
        <w:tab/>
        <w:t>Eksperdiarvamuste kogumine ja kasutamine</w:t>
      </w:r>
    </w:p>
    <w:p>
      <w:pPr>
        <w:spacing w:before="0" w:after="240"/>
        <w:rPr>
          <w:noProof/>
        </w:rPr>
      </w:pPr>
      <w:r>
        <w:rPr>
          <w:noProof/>
        </w:rPr>
        <w:t xml:space="preserve">Ühise kalanduspoliitika määruse artikli 31 lõike 10 kohaselt kutsus komisjon eel- ja järelhindamist tegema sõltumatu konsultandi. </w:t>
      </w:r>
    </w:p>
    <w:p>
      <w:pPr>
        <w:pStyle w:val="ManualHeading1"/>
        <w:rPr>
          <w:noProof/>
        </w:rPr>
      </w:pPr>
      <w:r>
        <w:rPr>
          <w:noProof/>
        </w:rPr>
        <w:t>4.</w:t>
      </w:r>
      <w:r>
        <w:rPr>
          <w:noProof/>
        </w:rPr>
        <w:tab/>
        <w:t>MÕJU EELARVELE</w:t>
      </w:r>
    </w:p>
    <w:p>
      <w:pPr>
        <w:spacing w:before="0" w:after="240"/>
        <w:rPr>
          <w:noProof/>
        </w:rPr>
      </w:pPr>
      <w:r>
        <w:rPr>
          <w:noProof/>
        </w:rPr>
        <w:t>Määruse eelnõu ei mõjuta liidu eelarvet.</w:t>
      </w:r>
    </w:p>
    <w:p>
      <w:pPr>
        <w:pStyle w:val="ManualHeading1"/>
        <w:rPr>
          <w:noProof/>
        </w:rPr>
      </w:pPr>
      <w:r>
        <w:rPr>
          <w:noProof/>
        </w:rPr>
        <w:t>5.</w:t>
      </w:r>
      <w:r>
        <w:rPr>
          <w:noProof/>
        </w:rPr>
        <w:tab/>
        <w:t>MUU TEAVE</w:t>
      </w:r>
    </w:p>
    <w:p>
      <w:pPr>
        <w:pStyle w:val="ManualHeading2"/>
        <w:rPr>
          <w:rFonts w:eastAsia="Arial Unicode MS"/>
          <w:noProof/>
          <w:u w:color="000000"/>
          <w:bdr w:val="nil"/>
        </w:rPr>
      </w:pPr>
      <w:r>
        <w:rPr>
          <w:noProof/>
        </w:rPr>
        <w:t>•</w:t>
      </w:r>
      <w:r>
        <w:rPr>
          <w:noProof/>
        </w:rPr>
        <w:tab/>
        <w:t>Rakenduskavad ning järelevalve, hindamise ja aruandluse kord</w:t>
      </w:r>
    </w:p>
    <w:p>
      <w:pPr>
        <w:spacing w:before="0" w:after="240"/>
        <w:rPr>
          <w:noProof/>
        </w:rPr>
      </w:pPr>
      <w:r>
        <w:rPr>
          <w:noProof/>
        </w:rPr>
        <w:t xml:space="preserve">Käesolev menetlus on algatatud paralleelselt menetlustega, mis on seotud nõukogu otsusega Euroopa Ühenduse ja Cabo Verde Vabariigi vahelise kalandussektori partnerluslepingu rakendamise protokolli liidu nimel allkirjastamise kohta, samuti nõukogu otsusega lepingu sõlmimise kohta. Käesolevat määrust tuleb hakata kohaldama niipea, kui lepingukohane kalandustegevus osutub võimalikuks, st protokolli ajutise kohaldamise kuupäeval.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2019/0072 (NLE)</w:t>
      </w:r>
    </w:p>
    <w:p>
      <w:pPr>
        <w:pStyle w:val="Statut"/>
        <w:rPr>
          <w:noProof/>
        </w:rPr>
      </w:pPr>
      <w:r>
        <w:rPr>
          <w:noProof/>
        </w:rPr>
        <w:t>Ettepanek:</w:t>
      </w:r>
    </w:p>
    <w:p>
      <w:pPr>
        <w:pStyle w:val="Typedudocument"/>
        <w:rPr>
          <w:noProof/>
        </w:rPr>
      </w:pPr>
      <w:r>
        <w:rPr>
          <w:noProof/>
        </w:rPr>
        <w:t>NÕUKOGU MÄÄRUS,</w:t>
      </w:r>
    </w:p>
    <w:p>
      <w:pPr>
        <w:pStyle w:val="Titreobjet"/>
        <w:rPr>
          <w:noProof/>
        </w:rPr>
      </w:pPr>
      <w:r>
        <w:rPr>
          <w:noProof/>
        </w:rPr>
        <w:t>milles käsitletakse kalapüügivõimaluste jaotamist vastavalt Euroopa Ühenduse ja Cabo Verde Vabariigi vahelise kalandussektori partnerluslepingu rakendamise protokollile (2019–2024)</w:t>
      </w:r>
      <w:r>
        <w:rPr>
          <w:noProof/>
        </w:rPr>
        <w:br/>
      </w:r>
    </w:p>
    <w:p>
      <w:pPr>
        <w:pStyle w:val="Institutionquiagit"/>
        <w:rPr>
          <w:noProof/>
        </w:rPr>
      </w:pPr>
      <w:r>
        <w:rPr>
          <w:noProof/>
        </w:rPr>
        <w:t>EUROOPA LIIDU NÕUKOGU,</w:t>
      </w:r>
    </w:p>
    <w:p>
      <w:pPr>
        <w:rPr>
          <w:noProof/>
        </w:rPr>
      </w:pPr>
      <w:r>
        <w:rPr>
          <w:noProof/>
        </w:rPr>
        <w:t>võttes arvesse Euroopa Liidu toimimise lepingut, eriti selle artikli 43</w:t>
      </w:r>
    </w:p>
    <w:p>
      <w:pPr>
        <w:rPr>
          <w:noProof/>
        </w:rPr>
      </w:pPr>
      <w:r>
        <w:rPr>
          <w:noProof/>
        </w:rPr>
        <w:t>lõiget 3,</w:t>
      </w:r>
    </w:p>
    <w:p>
      <w:pPr>
        <w:rPr>
          <w:noProof/>
        </w:rPr>
      </w:pPr>
      <w:r>
        <w:rPr>
          <w:noProof/>
        </w:rPr>
        <w:t>võttes arvesse Euroopa Komisjoni ettepanekut</w:t>
      </w:r>
    </w:p>
    <w:p>
      <w:pPr>
        <w:rPr>
          <w:noProof/>
        </w:rPr>
      </w:pPr>
      <w:r>
        <w:rPr>
          <w:noProof/>
        </w:rPr>
        <w:t>ning arvestades järgmist:</w:t>
      </w:r>
    </w:p>
    <w:p>
      <w:pPr>
        <w:pStyle w:val="ManualConsidrant"/>
        <w:rPr>
          <w:noProof/>
        </w:rPr>
      </w:pPr>
      <w:r>
        <w:t>(1)</w:t>
      </w:r>
      <w:r>
        <w:tab/>
      </w:r>
      <w:r>
        <w:rPr>
          <w:noProof/>
        </w:rPr>
        <w:t>Nõukogu kiitis 19. detsembril 2006 vastu võetud määrusega (EÜ) nr 2027/2006</w:t>
      </w:r>
      <w:r>
        <w:rPr>
          <w:rStyle w:val="FootnoteReference"/>
          <w:noProof/>
        </w:rPr>
        <w:footnoteReference w:id="3"/>
      </w:r>
      <w:r>
        <w:rPr>
          <w:noProof/>
        </w:rPr>
        <w:t xml:space="preserve"> heaks Euroopa Ühenduse ja Cabo Verde Vabariigi vahelise kalandussektori partnerluslepingu sõlmimise (edaspidi „leping“), leping jõustus 30. märtsil 2007 ja seejärel on seda vaikimisi pikendatud.</w:t>
      </w:r>
    </w:p>
    <w:p>
      <w:pPr>
        <w:pStyle w:val="ManualConsidrant"/>
        <w:rPr>
          <w:noProof/>
        </w:rPr>
      </w:pPr>
      <w:r>
        <w:t>(2)</w:t>
      </w:r>
      <w:r>
        <w:tab/>
      </w:r>
      <w:r>
        <w:rPr>
          <w:noProof/>
        </w:rPr>
        <w:t>Lepingu viimane protokoll aegub 22. detsembril 2018.</w:t>
      </w:r>
    </w:p>
    <w:p>
      <w:pPr>
        <w:pStyle w:val="ManualConsidrant"/>
        <w:rPr>
          <w:noProof/>
        </w:rPr>
      </w:pPr>
      <w:r>
        <w:t>(3)</w:t>
      </w:r>
      <w:r>
        <w:tab/>
      </w:r>
      <w:r>
        <w:rPr>
          <w:noProof/>
        </w:rPr>
        <w:t xml:space="preserve">Komisjon on pidanud Euroopa Liidu nimel läbirääkimisi lepingu rakendamise uue protokolli üle (edaspidi „protokoll“). Läbirääkimiste tulemusena parafeeriti protokoll 12. oktoobril 2018. </w:t>
      </w:r>
    </w:p>
    <w:p>
      <w:pPr>
        <w:pStyle w:val="ManualConsidrant"/>
        <w:rPr>
          <w:noProof/>
        </w:rPr>
      </w:pPr>
      <w:r>
        <w:t>(4)</w:t>
      </w:r>
      <w:r>
        <w:tab/>
      </w:r>
      <w:r>
        <w:rPr>
          <w:noProof/>
        </w:rPr>
        <w:t>Kooskõlas nõukogu otsusega 2018/.../EL</w:t>
      </w:r>
      <w:r>
        <w:rPr>
          <w:rStyle w:val="FootnoteReference"/>
          <w:noProof/>
        </w:rPr>
        <w:footnoteReference w:id="4"/>
      </w:r>
      <w:r>
        <w:rPr>
          <w:noProof/>
        </w:rPr>
        <w:t xml:space="preserve"> allkirjastati [</w:t>
      </w:r>
      <w:r>
        <w:rPr>
          <w:i/>
          <w:noProof/>
        </w:rPr>
        <w:t>lisada allkirjastamise kuupäev</w:t>
      </w:r>
      <w:r>
        <w:rPr>
          <w:noProof/>
        </w:rPr>
        <w:t>] Euroopa Ühenduse ja Cabo Verde Vabariigi vahelise kalandussektori partnerluslepingu rakendamise protokoll.</w:t>
      </w:r>
    </w:p>
    <w:p>
      <w:pPr>
        <w:pStyle w:val="ManualConsidrant"/>
        <w:rPr>
          <w:noProof/>
        </w:rPr>
      </w:pPr>
      <w:r>
        <w:t>(5)</w:t>
      </w:r>
      <w:r>
        <w:tab/>
      </w:r>
      <w:r>
        <w:rPr>
          <w:noProof/>
        </w:rPr>
        <w:t>Protokollis sätestatud kalapüügivõimalused tuleks jaotada liikmesriikide vahel kogu protokolli kohaldamisajaks.</w:t>
      </w:r>
    </w:p>
    <w:p>
      <w:pPr>
        <w:pStyle w:val="ManualConsidrant"/>
        <w:rPr>
          <w:noProof/>
        </w:rPr>
      </w:pPr>
      <w:r>
        <w:t>(6)</w:t>
      </w:r>
      <w:r>
        <w:tab/>
      </w:r>
      <w:r>
        <w:rPr>
          <w:noProof/>
        </w:rPr>
        <w:t>Protokolli kohaldatakse allakirjutamise kuupäevast alates ajutiselt, et liidu laevad saaksid püügitegevust kiiresti alustada. Seega tuleks sätestada, et käesolevat määrust kohaldataks samast kuupäevast alates,</w:t>
      </w:r>
    </w:p>
    <w:p>
      <w:pPr>
        <w:rPr>
          <w:noProof/>
        </w:rPr>
      </w:pPr>
    </w:p>
    <w:p>
      <w:pPr>
        <w:pStyle w:val="Formuledadoption"/>
        <w:rPr>
          <w:noProof/>
        </w:rPr>
      </w:pPr>
      <w:r>
        <w:rPr>
          <w:noProof/>
        </w:rPr>
        <w:t>ON VASTU VÕTNUD KÄESOLEVA MÄÄRUSE:</w:t>
      </w:r>
    </w:p>
    <w:p>
      <w:pPr>
        <w:pStyle w:val="Titrearticle"/>
        <w:rPr>
          <w:noProof/>
        </w:rPr>
      </w:pPr>
      <w:r>
        <w:rPr>
          <w:noProof/>
        </w:rPr>
        <w:t>Artikkel 1</w:t>
      </w:r>
    </w:p>
    <w:p>
      <w:pPr>
        <w:rPr>
          <w:noProof/>
        </w:rPr>
      </w:pPr>
      <w:r>
        <w:rPr>
          <w:noProof/>
        </w:rPr>
        <w:t>(1)</w:t>
      </w:r>
      <w:r>
        <w:rPr>
          <w:noProof/>
        </w:rPr>
        <w:tab/>
        <w:t>Euroopa Ühenduse ja Cabo Verde Vabariigi vahelise kalandussektori partnerluslepingu rakendamise protokollis (2019–2024) (edaspidi „protokoll“) sätestatud kalapüügivõimalused jaotatakse liikmesriikide vahel järgmiselt:</w:t>
      </w:r>
    </w:p>
    <w:p>
      <w:pPr>
        <w:rPr>
          <w:noProof/>
        </w:rPr>
      </w:pPr>
      <w:r>
        <w:rPr>
          <w:noProof/>
        </w:rPr>
        <w:t>a)</w:t>
      </w:r>
      <w:r>
        <w:rPr>
          <w:noProof/>
        </w:rPr>
        <w:tab/>
        <w:t>tuunipüügiseinerid:</w:t>
      </w:r>
    </w:p>
    <w:p>
      <w:pPr>
        <w:rPr>
          <w:noProof/>
        </w:rPr>
      </w:pPr>
      <w:r>
        <w:rPr>
          <w:noProof/>
        </w:rPr>
        <w:t>Hispaania:</w:t>
      </w:r>
      <w:r>
        <w:rPr>
          <w:noProof/>
        </w:rPr>
        <w:tab/>
      </w:r>
      <w:r>
        <w:rPr>
          <w:noProof/>
        </w:rPr>
        <w:tab/>
        <w:t>[16]</w:t>
      </w:r>
      <w:r>
        <w:rPr>
          <w:noProof/>
        </w:rPr>
        <w:tab/>
        <w:t>laeva</w:t>
      </w:r>
    </w:p>
    <w:p>
      <w:pPr>
        <w:rPr>
          <w:noProof/>
        </w:rPr>
      </w:pPr>
      <w:r>
        <w:rPr>
          <w:noProof/>
        </w:rPr>
        <w:t>Prantsusmaa:</w:t>
      </w:r>
      <w:r>
        <w:rPr>
          <w:noProof/>
        </w:rPr>
        <w:tab/>
      </w:r>
      <w:r>
        <w:rPr>
          <w:noProof/>
        </w:rPr>
        <w:tab/>
        <w:t>[12]</w:t>
      </w:r>
      <w:r>
        <w:rPr>
          <w:noProof/>
        </w:rPr>
        <w:tab/>
        <w:t>laeva</w:t>
      </w:r>
    </w:p>
    <w:p>
      <w:pPr>
        <w:rPr>
          <w:noProof/>
        </w:rPr>
      </w:pPr>
      <w:r>
        <w:rPr>
          <w:noProof/>
        </w:rPr>
        <w:t>b)</w:t>
      </w:r>
      <w:r>
        <w:rPr>
          <w:noProof/>
        </w:rPr>
        <w:tab/>
        <w:t>triivõngelaevad:</w:t>
      </w:r>
    </w:p>
    <w:p>
      <w:pPr>
        <w:rPr>
          <w:noProof/>
        </w:rPr>
      </w:pPr>
      <w:r>
        <w:rPr>
          <w:noProof/>
        </w:rPr>
        <w:t>Hispaania:</w:t>
      </w:r>
      <w:r>
        <w:rPr>
          <w:noProof/>
        </w:rPr>
        <w:tab/>
      </w:r>
      <w:r>
        <w:rPr>
          <w:noProof/>
        </w:rPr>
        <w:tab/>
        <w:t>[21]</w:t>
      </w:r>
      <w:r>
        <w:rPr>
          <w:noProof/>
        </w:rPr>
        <w:tab/>
        <w:t>laeva</w:t>
      </w:r>
    </w:p>
    <w:p>
      <w:pPr>
        <w:rPr>
          <w:noProof/>
        </w:rPr>
      </w:pPr>
      <w:r>
        <w:rPr>
          <w:noProof/>
        </w:rPr>
        <w:t>Portugal:</w:t>
      </w:r>
      <w:r>
        <w:rPr>
          <w:noProof/>
        </w:rPr>
        <w:tab/>
      </w:r>
      <w:r>
        <w:rPr>
          <w:noProof/>
        </w:rPr>
        <w:tab/>
        <w:t>[6]</w:t>
      </w:r>
      <w:r>
        <w:rPr>
          <w:noProof/>
        </w:rPr>
        <w:tab/>
        <w:t>laeva</w:t>
      </w:r>
    </w:p>
    <w:p>
      <w:pPr>
        <w:rPr>
          <w:noProof/>
        </w:rPr>
      </w:pPr>
      <w:r>
        <w:rPr>
          <w:noProof/>
        </w:rPr>
        <w:t>c)</w:t>
      </w:r>
      <w:r>
        <w:rPr>
          <w:noProof/>
        </w:rPr>
        <w:tab/>
        <w:t>ritvõngedega tuunipüügilaevad:</w:t>
      </w:r>
    </w:p>
    <w:p>
      <w:pPr>
        <w:rPr>
          <w:noProof/>
        </w:rPr>
      </w:pPr>
      <w:r>
        <w:rPr>
          <w:noProof/>
        </w:rPr>
        <w:t>Hispaania</w:t>
      </w:r>
      <w:r>
        <w:rPr>
          <w:noProof/>
        </w:rPr>
        <w:tab/>
      </w:r>
      <w:r>
        <w:rPr>
          <w:noProof/>
        </w:rPr>
        <w:tab/>
        <w:t>[8]</w:t>
      </w:r>
      <w:r>
        <w:rPr>
          <w:noProof/>
        </w:rPr>
        <w:tab/>
        <w:t>laeva</w:t>
      </w:r>
    </w:p>
    <w:p>
      <w:pPr>
        <w:rPr>
          <w:noProof/>
        </w:rPr>
      </w:pPr>
      <w:r>
        <w:rPr>
          <w:noProof/>
        </w:rPr>
        <w:t xml:space="preserve">Prantsusmaa </w:t>
      </w:r>
      <w:r>
        <w:rPr>
          <w:noProof/>
        </w:rPr>
        <w:tab/>
      </w:r>
      <w:r>
        <w:rPr>
          <w:noProof/>
        </w:rPr>
        <w:tab/>
        <w:t>[4]</w:t>
      </w:r>
      <w:r>
        <w:rPr>
          <w:noProof/>
        </w:rPr>
        <w:tab/>
        <w:t>laeva</w:t>
      </w:r>
    </w:p>
    <w:p>
      <w:pPr>
        <w:rPr>
          <w:noProof/>
        </w:rPr>
      </w:pPr>
      <w:r>
        <w:rPr>
          <w:noProof/>
        </w:rPr>
        <w:t>Portugal:</w:t>
      </w:r>
      <w:r>
        <w:rPr>
          <w:noProof/>
        </w:rPr>
        <w:tab/>
      </w:r>
      <w:r>
        <w:rPr>
          <w:noProof/>
        </w:rPr>
        <w:tab/>
        <w:t>[2]</w:t>
      </w:r>
      <w:r>
        <w:rPr>
          <w:noProof/>
        </w:rPr>
        <w:tab/>
        <w:t>laeva</w:t>
      </w:r>
    </w:p>
    <w:p>
      <w:pPr>
        <w:pStyle w:val="Titrearticle"/>
        <w:rPr>
          <w:noProof/>
        </w:rPr>
      </w:pPr>
      <w:r>
        <w:rPr>
          <w:noProof/>
        </w:rPr>
        <w:t>Artikkel 2</w:t>
      </w:r>
    </w:p>
    <w:p>
      <w:pPr>
        <w:rPr>
          <w:noProof/>
        </w:rPr>
      </w:pPr>
      <w:r>
        <w:rPr>
          <w:noProof/>
        </w:rPr>
        <w:t xml:space="preserve">Käesolev määrus jõustub järgmisel päeval pärast selle avaldamist </w:t>
      </w:r>
      <w:r>
        <w:rPr>
          <w:i/>
          <w:noProof/>
        </w:rPr>
        <w:t>Euroopa Liidu Teatajas</w:t>
      </w:r>
      <w:r>
        <w:rPr>
          <w:noProof/>
        </w:rPr>
        <w:t>.</w:t>
      </w:r>
    </w:p>
    <w:p>
      <w:pPr>
        <w:rPr>
          <w:noProof/>
        </w:rPr>
      </w:pPr>
      <w:r>
        <w:rPr>
          <w:noProof/>
        </w:rPr>
        <w:t>Seda kohaldatakse alates protokolli allkirjastamise kuupäevast.</w:t>
      </w:r>
    </w:p>
    <w:p>
      <w:pPr>
        <w:rPr>
          <w:noProof/>
        </w:rPr>
      </w:pPr>
      <w:r>
        <w:rPr>
          <w:noProof/>
        </w:rPr>
        <w:t>Käesolev määrus on tervikuna siduv ja vahetult kohaldatav kõikides liikmesriikides.</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i-FI"/>
        </w:rPr>
      </w:pPr>
      <w:r>
        <w:rPr>
          <w:rStyle w:val="FootnoteReference"/>
        </w:rPr>
        <w:footnoteRef/>
      </w:r>
      <w:r>
        <w:tab/>
        <w:t>Vastu võetud 4.–5. juunini 2018 toimunud justiits- ja siseküsimuste nõukogus.</w:t>
      </w:r>
    </w:p>
  </w:footnote>
  <w:footnote w:id="2">
    <w:p>
      <w:pPr>
        <w:pStyle w:val="FootnoteText"/>
        <w:rPr>
          <w:lang w:val="fi-FI"/>
        </w:rPr>
      </w:pPr>
      <w:r>
        <w:rPr>
          <w:rStyle w:val="FootnoteReference"/>
        </w:rPr>
        <w:footnoteRef/>
      </w:r>
      <w:r>
        <w:tab/>
        <w:t>ELT L 414, 30.12.2006, lk 3.</w:t>
      </w:r>
    </w:p>
  </w:footnote>
  <w:footnote w:id="3">
    <w:p>
      <w:pPr>
        <w:pStyle w:val="Footno"/>
      </w:pPr>
      <w:r>
        <w:rPr>
          <w:rStyle w:val="FootnoteReference"/>
        </w:rPr>
        <w:footnoteRef/>
      </w:r>
      <w:r>
        <w:tab/>
        <w:t>Nõukogu 19. detsembri 2006. aasta määrus (EÜ) nr 2027/2006 Euroopa Ühenduse ja Cabo Verde Vabariigi vahelise kalandussektori partnerluslepingu sõlmimise kohta (ELT L 414, 30.12.2006, lk 1).</w:t>
      </w:r>
    </w:p>
  </w:footnote>
  <w:footnote w:id="4">
    <w:p>
      <w:pPr>
        <w:pStyle w:val="FootnoteText"/>
        <w:ind w:left="0" w:firstLine="0"/>
        <w:rPr>
          <w:lang w:val="nb-NO"/>
        </w:rPr>
      </w:pPr>
      <w:r>
        <w:rPr>
          <w:rStyle w:val="FootnoteReference"/>
        </w:rPr>
        <w:footnoteRef/>
      </w:r>
      <w:r>
        <w:tab/>
        <w:t>Otsus... (ELT L...,..., lk...).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7084B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A76AE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1ADA7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A6279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28A5A4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4C433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79EFF5C"/>
    <w:lvl w:ilvl="0">
      <w:start w:val="1"/>
      <w:numFmt w:val="decimal"/>
      <w:pStyle w:val="ListNumber"/>
      <w:lvlText w:val="%1."/>
      <w:lvlJc w:val="left"/>
      <w:pPr>
        <w:tabs>
          <w:tab w:val="num" w:pos="360"/>
        </w:tabs>
        <w:ind w:left="360" w:hanging="360"/>
      </w:pPr>
    </w:lvl>
  </w:abstractNum>
  <w:abstractNum w:abstractNumId="7">
    <w:nsid w:val="FFFFFF89"/>
    <w:multiLevelType w:val="singleLevel"/>
    <w:tmpl w:val="851E61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3 14:40:4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424EA53D-1AB1-4376-B339-6D044FB1B912"/>
    <w:docVar w:name="LW_COVERPAGE_TYPE" w:val="1"/>
    <w:docVar w:name="LW_CROSSREFERENCE" w:val="&lt;UNUSED&gt;"/>
    <w:docVar w:name="LW_DocType" w:val="COM"/>
    <w:docVar w:name="LW_EMISSION" w:val="14.3.2019"/>
    <w:docVar w:name="LW_EMISSION_ISODATE" w:val="2019-03-14"/>
    <w:docVar w:name="LW_EMISSION_LOCATION" w:val="BRX"/>
    <w:docVar w:name="LW_EMISSION_PREFIX" w:val="Brüssel,"/>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072"/>
    <w:docVar w:name="LW_REF.II.NEW.CP_YEAR" w:val="2019"/>
    <w:docVar w:name="LW_REF.INST.NEW" w:val="COM"/>
    <w:docVar w:name="LW_REF.INST.NEW_ADOPTED" w:val="final"/>
    <w:docVar w:name="LW_REF.INST.NEW_TEXT" w:val="(2019) 1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milles käsitletakse kalapüügivõimaluste jaotamist vastavalt Euroopa Ühenduse ja Cabo Verde Vabariigi vahelise kalandussektori partnerluslepingu rakendamise protokollile (2019\u8211?2024)_x000b_"/>
    <w:docVar w:name="LW_TYPE.DOC.CP" w:val="NÕUKOGU MÄÄR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customStyle="1" w:styleId="Footno">
    <w:name w:val="Footno"/>
    <w:basedOn w:val="FootnoteText"/>
    <w:pPr>
      <w:ind w:left="0" w:firstLine="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customStyle="1" w:styleId="Footno">
    <w:name w:val="Footno"/>
    <w:basedOn w:val="FootnoteText"/>
    <w:pPr>
      <w:ind w:left="0" w:firstLine="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5499">
      <w:bodyDiv w:val="1"/>
      <w:marLeft w:val="0"/>
      <w:marRight w:val="0"/>
      <w:marTop w:val="0"/>
      <w:marBottom w:val="0"/>
      <w:divBdr>
        <w:top w:val="none" w:sz="0" w:space="0" w:color="auto"/>
        <w:left w:val="none" w:sz="0" w:space="0" w:color="auto"/>
        <w:bottom w:val="none" w:sz="0" w:space="0" w:color="auto"/>
        <w:right w:val="none" w:sz="0" w:space="0" w:color="auto"/>
      </w:divBdr>
    </w:div>
    <w:div w:id="413746695">
      <w:bodyDiv w:val="1"/>
      <w:marLeft w:val="0"/>
      <w:marRight w:val="0"/>
      <w:marTop w:val="0"/>
      <w:marBottom w:val="0"/>
      <w:divBdr>
        <w:top w:val="none" w:sz="0" w:space="0" w:color="auto"/>
        <w:left w:val="none" w:sz="0" w:space="0" w:color="auto"/>
        <w:bottom w:val="none" w:sz="0" w:space="0" w:color="auto"/>
        <w:right w:val="none" w:sz="0" w:space="0" w:color="auto"/>
      </w:divBdr>
    </w:div>
    <w:div w:id="627245849">
      <w:bodyDiv w:val="1"/>
      <w:marLeft w:val="0"/>
      <w:marRight w:val="0"/>
      <w:marTop w:val="0"/>
      <w:marBottom w:val="0"/>
      <w:divBdr>
        <w:top w:val="none" w:sz="0" w:space="0" w:color="auto"/>
        <w:left w:val="none" w:sz="0" w:space="0" w:color="auto"/>
        <w:bottom w:val="none" w:sz="0" w:space="0" w:color="auto"/>
        <w:right w:val="none" w:sz="0" w:space="0" w:color="auto"/>
      </w:divBdr>
    </w:div>
    <w:div w:id="1516916177">
      <w:bodyDiv w:val="1"/>
      <w:marLeft w:val="0"/>
      <w:marRight w:val="0"/>
      <w:marTop w:val="0"/>
      <w:marBottom w:val="0"/>
      <w:divBdr>
        <w:top w:val="none" w:sz="0" w:space="0" w:color="auto"/>
        <w:left w:val="none" w:sz="0" w:space="0" w:color="auto"/>
        <w:bottom w:val="none" w:sz="0" w:space="0" w:color="auto"/>
        <w:right w:val="none" w:sz="0" w:space="0" w:color="auto"/>
      </w:divBdr>
    </w:div>
    <w:div w:id="171110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97BA02C-4AD7-4B91-980E-18755BFAD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5</Pages>
  <Words>641</Words>
  <Characters>5013</Characters>
  <Application>Microsoft Office Word</Application>
  <DocSecurity>0</DocSecurity>
  <Lines>111</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2018-12-14T14:47:00Z</cp:lastPrinted>
  <dcterms:created xsi:type="dcterms:W3CDTF">2019-02-15T06:39:00Z</dcterms:created>
  <dcterms:modified xsi:type="dcterms:W3CDTF">2019-03-13T13:40:00Z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