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A495304-36C4-4823-882A-A7C06708C60C" style="width:450.35pt;height:37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Odůvodnění a 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 základě příslušných směrnic pro jednání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vedla Komise jednání s vládou Kapverdské republiky (dále jen „Kapverdy“) o uzavření nového protokolu k Dohodě mezi Evropským společenstvím a Kapverdskou republikou o partnerství v odvětví rybolovu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Po těchto jednáních byl dne 12. října 2018 parafován nový protokol. Protokol se vztahuje na období pěti let od data jeho prozatímního uplatňování, tj. od data jeho podpisu, jak je uvedeno v jeho článku 15.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Hlavním cílem nového protokolu je zajistit rybolovná práva pro plavidla Unie ve vodách Kapverd na základě nejlepších dostupných vědeckých doporučení a na základě doporučení Mezinárodní komise pro ochranu tuňáků v Atlantiku (ICCAT). Tento nový protokol zohledňuje výsledky hodnocení posledního protokolu (2014–2018) a do budoucnosti zaměřeného posouzení vhodnosti uzavření nového protokolu. Obě byla provedena externími odborníky. Protokol Evropské unii a Kapverdské republice rovněž v zájmu obou stran umožní užší spolupráci při podpoře odpovědného využívání rybolovných zdrojů v kapverdských vodách a v rámci úsilí Kapverd o rozvoj své modré ekonomiky.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Protokol stanoví rybolovná práva v těchto kategoriích: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28 mrazírenských plavidel lovících tuňáky vlečnou sítí;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27 plavidel pro povrchový rybolov na dlouhou lovnou šňůru;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14 plavidel lovících tuňáky na pruty.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 třeba určit způsob rozdělení rybolovných práv mezi členské státy.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spacing w:before="0" w:after="240"/>
        <w:rPr>
          <w:noProof/>
        </w:rPr>
      </w:pPr>
      <w:r>
        <w:rPr>
          <w:noProof/>
        </w:rPr>
        <w:t xml:space="preserve">Zvoleným právním základem je Smlouva o fungování Evropské unie, jejíž čl. 43 odst. 3 stanoví, že Rada na návrh Komise schválí přidělení rybolovných práv.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Subsidiarita (v případě nevýlučné pravomoci)</w:t>
      </w:r>
    </w:p>
    <w:p>
      <w:pPr>
        <w:spacing w:before="0" w:after="240"/>
        <w:rPr>
          <w:noProof/>
        </w:rPr>
      </w:pPr>
      <w:r>
        <w:rPr>
          <w:noProof/>
        </w:rPr>
        <w:t xml:space="preserve">Tato oblast spadá do výlučné pravomoci Evropské unie. </w:t>
      </w:r>
    </w:p>
    <w:p>
      <w:pP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EX-POST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Hodnocení </w:t>
      </w:r>
      <w:r>
        <w:rPr>
          <w:i/>
          <w:noProof/>
        </w:rPr>
        <w:t>ex-post</w:t>
      </w:r>
      <w:r>
        <w:rPr>
          <w:noProof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Během hodnocení </w:t>
      </w:r>
      <w:r>
        <w:rPr>
          <w:i/>
          <w:noProof/>
        </w:rPr>
        <w:t>ex post</w:t>
      </w:r>
      <w:r>
        <w:rPr>
          <w:noProof/>
        </w:rPr>
        <w:t xml:space="preserve"> a </w:t>
      </w:r>
      <w:r>
        <w:rPr>
          <w:i/>
          <w:noProof/>
        </w:rPr>
        <w:t>ex ante</w:t>
      </w:r>
      <w:r>
        <w:rPr>
          <w:noProof/>
        </w:rPr>
        <w:t xml:space="preserve"> ohledně možnosti nového protokolu mezi Evropskou unií a Kapverdskou republikou byly konzultovány zúčastněné strany. Během technických schůzek rovněž proběhly konzultace s odborníky z členských států a daného odvětví. Tyto konzultace vedly k závěru, že uzavření nového protokolu k dohodě o partnerství v odvětví rybolovu by pro Evropskou unii a Kapverdskou republiku bylo přínosné.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rámci hodnocení byly konzultovány členské státy, zástupci odvětví, mezinárodní organizace občanské společnosti, jakož i správa rybolovu a občanská společnost Kapverd. Konzultace se konaly také v rámci poradního sboru pro dálkový rybolov.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Sběr a využití výsledků odborných konzultací</w:t>
      </w:r>
    </w:p>
    <w:p>
      <w:pPr>
        <w:spacing w:before="0" w:after="240"/>
        <w:rPr>
          <w:noProof/>
        </w:rPr>
      </w:pPr>
      <w:r>
        <w:rPr>
          <w:noProof/>
        </w:rPr>
        <w:t xml:space="preserve">Komise zadala vypracování hodnocení </w:t>
      </w:r>
      <w:r>
        <w:rPr>
          <w:i/>
          <w:noProof/>
        </w:rPr>
        <w:t>ex post</w:t>
      </w:r>
      <w:r>
        <w:rPr>
          <w:noProof/>
        </w:rPr>
        <w:t xml:space="preserve"> a </w:t>
      </w:r>
      <w:r>
        <w:rPr>
          <w:i/>
          <w:noProof/>
        </w:rPr>
        <w:t>ex ante</w:t>
      </w:r>
      <w:r>
        <w:rPr>
          <w:noProof/>
        </w:rPr>
        <w:t xml:space="preserve"> nezávislému konzultantovi v souladu s ustanoveními čl. 31 odst. 10 nařízení, kterým se zřizuje společná rybářská politika.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spacing w:before="0" w:after="240"/>
        <w:rPr>
          <w:noProof/>
        </w:rPr>
      </w:pPr>
      <w:r>
        <w:rPr>
          <w:noProof/>
        </w:rPr>
        <w:t>Předloha nařízení nemá dopad na rozpočet Unie.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DALŠÍ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 způsoby monitorování, hodnocení a podávání zpráv</w:t>
      </w:r>
    </w:p>
    <w:p>
      <w:pPr>
        <w:spacing w:before="0" w:after="240"/>
        <w:rPr>
          <w:noProof/>
        </w:rPr>
      </w:pPr>
      <w:r>
        <w:rPr>
          <w:noProof/>
        </w:rPr>
        <w:t xml:space="preserve">Tento postup se zahajuje souběžně s postupy týkajícími se rozhodnutí Rady o podpisu protokolu k Dohodě o partnerství v odvětví rybolovu mezi Evropským společenstvím a Kapverdskou republikou a k rozhodnutí Rady o jejím uzavření jménem Unie. Toto nařízení musí vstoupit v platnost, jakmile budou rybolovné činnosti podle dohody možné, tedy od data prozatímního uplatňování protokolu.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2019/0072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RADY</w:t>
      </w:r>
    </w:p>
    <w:p>
      <w:pPr>
        <w:pStyle w:val="Titreobjet"/>
        <w:rPr>
          <w:noProof/>
        </w:rPr>
      </w:pPr>
      <w:r>
        <w:rPr>
          <w:noProof/>
        </w:rPr>
        <w:t>o rozdělení rybolovných práv na základě protokolu o provádění Dohody mezi Evropským společenstvím a Kapverdskou republikou o partnerství v odvětví rybolovu (2019–2024)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čl. 43 odst. 3 této smlouvy,</w:t>
      </w:r>
    </w:p>
    <w:p>
      <w:pPr>
        <w:rPr>
          <w:noProof/>
        </w:rPr>
      </w:pPr>
      <w:r>
        <w:rPr>
          <w:noProof/>
        </w:rPr>
        <w:t>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Dne 19. prosince 2006 přijala Rada nařízení (ES) č. 2027/2006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o uzavření Dohody mezi Evropským společenstvím a Kapverdskou republikou o partnerství v odvětví rybolovu (dále jen „dohoda“), která vstoupila v platnost dne 30. března 2007, byla následně automaticky prodloužena a je stále v platnosti.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Platnost předchozího protokolu k této dohodě vypršela dne 22. prosince 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Komise jménem Unie sjednala nový protokol o provádění dohody (dále jen „protokol“). Jednání byla dne 12. října 2018 uzavřena parafováním protokolu.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V souladu s rozhodnutím Rady 2018/.../EU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byl dne [</w:t>
      </w:r>
      <w:r>
        <w:rPr>
          <w:i/>
          <w:noProof/>
        </w:rPr>
        <w:t>vložte datum podpisu</w:t>
      </w:r>
      <w:r>
        <w:rPr>
          <w:noProof/>
        </w:rPr>
        <w:t>] podepsán protokol o provádění Dohody mezi Evropským společenstvím a Kapverdskou republikou v odvětví rybolovu.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Rybolovná práva stanovená v protokolu by měla být rozdělena mezi členské státy po celou dobu uplatňování protokolu.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Aby bylo zajištěno rychlé zahájení rybolovných činností plavidly Unie, bude protokol prozatímně prováděn ode dne podpisu. Toto nařízení by se tedy mělo použít od téhož dne,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PŘIJALA TOTO NAŘÍZENÍ: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1)</w:t>
      </w:r>
      <w:r>
        <w:rPr>
          <w:noProof/>
        </w:rPr>
        <w:tab/>
        <w:t>Rybolovná práva stanovená v protokolu o provádění Dohody mezi Evropským společenstvím a Kapverdskou republikou o partnerství v odvětví rybolovu (2019–2024) (dále jen „protokol“) se mezi členské státy rozdělují takto: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plavidla lovící tuňáky vlečnou sítí:</w:t>
      </w:r>
    </w:p>
    <w:p>
      <w:pPr>
        <w:rPr>
          <w:noProof/>
        </w:rPr>
      </w:pPr>
      <w:r>
        <w:rPr>
          <w:noProof/>
        </w:rPr>
        <w:t>Španělsko:</w:t>
      </w:r>
      <w:r>
        <w:rPr>
          <w:noProof/>
        </w:rPr>
        <w:tab/>
      </w:r>
      <w:r>
        <w:rPr>
          <w:noProof/>
        </w:rPr>
        <w:tab/>
        <w:t>[16]</w:t>
      </w:r>
      <w:r>
        <w:rPr>
          <w:noProof/>
        </w:rPr>
        <w:tab/>
        <w:t>plavidel</w:t>
      </w:r>
    </w:p>
    <w:p>
      <w:pPr>
        <w:rPr>
          <w:noProof/>
        </w:rPr>
      </w:pPr>
      <w:r>
        <w:rPr>
          <w:noProof/>
        </w:rPr>
        <w:t xml:space="preserve">Francie:   </w:t>
      </w:r>
      <w:r>
        <w:rPr>
          <w:noProof/>
        </w:rPr>
        <w:tab/>
      </w:r>
      <w:r>
        <w:rPr>
          <w:noProof/>
        </w:rPr>
        <w:tab/>
        <w:t>[12]</w:t>
      </w:r>
      <w:r>
        <w:rPr>
          <w:noProof/>
        </w:rPr>
        <w:tab/>
        <w:t>plavidel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plavidla pro povrchový rybolov na dlouhou lovnou šňůru:</w:t>
      </w:r>
    </w:p>
    <w:p>
      <w:pPr>
        <w:rPr>
          <w:noProof/>
        </w:rPr>
      </w:pPr>
      <w:r>
        <w:rPr>
          <w:noProof/>
        </w:rPr>
        <w:t>Španělsko:</w:t>
      </w:r>
      <w:r>
        <w:rPr>
          <w:noProof/>
        </w:rPr>
        <w:tab/>
      </w:r>
      <w:r>
        <w:rPr>
          <w:noProof/>
        </w:rPr>
        <w:tab/>
        <w:t>[21]</w:t>
      </w:r>
      <w:r>
        <w:rPr>
          <w:noProof/>
        </w:rPr>
        <w:tab/>
        <w:t>plavidel</w:t>
      </w:r>
    </w:p>
    <w:p>
      <w:pPr>
        <w:rPr>
          <w:noProof/>
        </w:rPr>
      </w:pPr>
      <w:r>
        <w:rPr>
          <w:noProof/>
        </w:rPr>
        <w:t>Portugalsko:</w:t>
      </w:r>
      <w:r>
        <w:rPr>
          <w:noProof/>
        </w:rPr>
        <w:tab/>
      </w:r>
      <w:r>
        <w:rPr>
          <w:noProof/>
        </w:rPr>
        <w:tab/>
        <w:t>[6]</w:t>
      </w:r>
      <w:r>
        <w:rPr>
          <w:noProof/>
        </w:rPr>
        <w:tab/>
        <w:t>plavidel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plavidla lovící tuňáky na pruty:</w:t>
      </w:r>
    </w:p>
    <w:p>
      <w:pPr>
        <w:rPr>
          <w:noProof/>
        </w:rPr>
      </w:pPr>
      <w:r>
        <w:rPr>
          <w:noProof/>
        </w:rPr>
        <w:t>Španělsko</w:t>
      </w:r>
      <w:r>
        <w:rPr>
          <w:noProof/>
        </w:rPr>
        <w:tab/>
      </w:r>
      <w:r>
        <w:rPr>
          <w:noProof/>
        </w:rPr>
        <w:tab/>
        <w:t>[8]</w:t>
      </w:r>
      <w:r>
        <w:rPr>
          <w:noProof/>
        </w:rPr>
        <w:tab/>
        <w:t>plavidel</w:t>
      </w:r>
    </w:p>
    <w:p>
      <w:pPr>
        <w:rPr>
          <w:noProof/>
        </w:rPr>
      </w:pPr>
      <w:r>
        <w:rPr>
          <w:noProof/>
        </w:rPr>
        <w:t xml:space="preserve">Francie </w:t>
      </w:r>
      <w:r>
        <w:rPr>
          <w:noProof/>
        </w:rPr>
        <w:tab/>
      </w:r>
      <w:r>
        <w:rPr>
          <w:noProof/>
        </w:rPr>
        <w:tab/>
        <w:t>[4]</w:t>
      </w:r>
      <w:r>
        <w:rPr>
          <w:noProof/>
        </w:rPr>
        <w:tab/>
        <w:t>plavidla</w:t>
      </w:r>
    </w:p>
    <w:p>
      <w:pPr>
        <w:rPr>
          <w:noProof/>
        </w:rPr>
      </w:pPr>
      <w:r>
        <w:rPr>
          <w:noProof/>
        </w:rPr>
        <w:t>Portugalsko:</w:t>
      </w:r>
      <w:r>
        <w:rPr>
          <w:noProof/>
        </w:rPr>
        <w:tab/>
      </w:r>
      <w:r>
        <w:rPr>
          <w:noProof/>
        </w:rPr>
        <w:tab/>
        <w:t>[2]</w:t>
      </w:r>
      <w:r>
        <w:rPr>
          <w:noProof/>
        </w:rPr>
        <w:tab/>
        <w:t>plavidla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 xml:space="preserve">Toto nařízení vstupuje v platnost prvním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Použije se ode dne uplatňování protokolu.</w:t>
      </w:r>
    </w:p>
    <w:p>
      <w:pPr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Přijaty na zasedání Rady ve složení pro spravedlnost a vnitřní věci ve dnech 4. a 5. června 2018.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Úř. věst. L 414, 30.12.2006, s. 3.</w:t>
      </w:r>
    </w:p>
  </w:footnote>
  <w:footnote w:id="3">
    <w:p>
      <w:pPr>
        <w:pStyle w:val="Footno"/>
      </w:pPr>
      <w:r>
        <w:rPr>
          <w:rStyle w:val="FootnoteReference"/>
        </w:rPr>
        <w:footnoteRef/>
      </w:r>
      <w:r>
        <w:tab/>
        <w:t>Nařízení Rady (ES) č. 2027/2006 ze dne 19. prosince 2006 o uzavření Dohody mezi Evropským společenstvím a Kapverdskou republikou o partnerství v odvětví rybolovu (Úř. věst. L 414, 30.12.2006, s. 1).</w:t>
      </w:r>
    </w:p>
  </w:footnote>
  <w:footnote w:id="4">
    <w:p>
      <w:pPr>
        <w:pStyle w:val="FootnoteText"/>
        <w:ind w:left="0" w:firstLine="0"/>
        <w:rPr>
          <w:lang w:val="nb-NO"/>
        </w:rPr>
      </w:pPr>
      <w:r>
        <w:rPr>
          <w:rStyle w:val="FootnoteReference"/>
        </w:rPr>
        <w:footnoteRef/>
      </w:r>
      <w:r>
        <w:tab/>
        <w:t>Rozhodnutí... (Úř. věst. L...,..., s....).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084B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AE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1ADA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6279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28A5A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C433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9E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1E6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30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A495304-36C4-4823-882A-A7C06708C60C"/>
    <w:docVar w:name="LW_COVERPAGE_TYPE" w:val="1"/>
    <w:docVar w:name="LW_CROSSREFERENCE" w:val="&lt;UNUSED&gt;"/>
    <w:docVar w:name="LW_DocType" w:val="COM"/>
    <w:docVar w:name="LW_EMISSION" w:val="14.3.2019"/>
    <w:docVar w:name="LW_EMISSION_ISODATE" w:val="2019-03-14"/>
    <w:docVar w:name="LW_EMISSION_LOCATION" w:val="BRX"/>
    <w:docVar w:name="LW_EMISSION_PREFIX" w:val="V Bruselu dne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19"/>
    <w:docVar w:name="LW_REF.INST.NEW" w:val="COM"/>
    <w:docVar w:name="LW_REF.INST.NEW_ADOPTED" w:val="final"/>
    <w:docVar w:name="LW_REF.INST.NEW_TEXT" w:val="(2019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rozd\u283?lení rybolovných práv na základ\u283? protokolu o provád\u283?ní Dohody mezi Evropským spole\u269?enstvím a Kapverdskou republikou o partnerství v odv\u283?tví rybolovu (2019\u8211?2024)_x000b_"/>
    <w:docVar w:name="LW_TYPE.DOC.CP" w:val="NA\u344?ÍZEN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4AB112-8CD0-43E7-9469-2E5576AB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812</Words>
  <Characters>4837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2018-12-14T14:47:00Z</cp:lastPrinted>
  <dcterms:created xsi:type="dcterms:W3CDTF">2019-02-15T08:07:00Z</dcterms:created>
  <dcterms:modified xsi:type="dcterms:W3CDTF">2019-03-13T13:30:00Z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