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8137260-1851-4451-9FCD-653B2D498D89" style="width:450.8pt;height:379.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Motiv och syfte med förslaget</w:t>
      </w:r>
    </w:p>
    <w:p>
      <w:pPr>
        <w:pBdr>
          <w:top w:val="nil"/>
          <w:left w:val="nil"/>
          <w:bottom w:val="nil"/>
          <w:right w:val="nil"/>
          <w:between w:val="nil"/>
          <w:bar w:val="nil"/>
        </w:pBdr>
        <w:spacing w:before="0" w:after="240"/>
        <w:rPr>
          <w:rFonts w:eastAsia="Arial Unicode MS"/>
          <w:noProof/>
        </w:rPr>
      </w:pPr>
      <w:r>
        <w:rPr>
          <w:noProof/>
        </w:rPr>
        <w:t>På grundval av relevanta förhandlingsdirektiv</w:t>
      </w:r>
      <w:r>
        <w:rPr>
          <w:rStyle w:val="FootnoteReference"/>
          <w:noProof/>
        </w:rPr>
        <w:footnoteReference w:id="1"/>
      </w:r>
      <w:r>
        <w:rPr>
          <w:noProof/>
        </w:rPr>
        <w:t xml:space="preserve"> har kommissionen fört förhandlingar med Republiken Kap Verdes (nedan kallad </w:t>
      </w:r>
      <w:r>
        <w:rPr>
          <w:i/>
          <w:noProof/>
        </w:rPr>
        <w:t>Kap Verde</w:t>
      </w:r>
      <w:r>
        <w:rPr>
          <w:noProof/>
        </w:rPr>
        <w:t>) regering i syfte att ingå ett nytt protokoll till partnerskapsavtalet om fiske mellan Europeiska gemenskapen och Republiken Kap Verde.</w:t>
      </w:r>
      <w:r>
        <w:rPr>
          <w:rStyle w:val="FootnoteReference"/>
          <w:noProof/>
        </w:rPr>
        <w:footnoteReference w:id="2"/>
      </w:r>
      <w:r>
        <w:rPr>
          <w:noProof/>
        </w:rPr>
        <w:t xml:space="preserve">. Förhandlingarna ledde till att ett nytt protokoll paraferades den 12 oktober 2018. Protokollet omfattar en period på fem år räknat från den dag då det börjar tillämpas provisoriskt, dvs. den dag då det undertecknas, såsom föreskrivs i dess artikel 15. </w:t>
      </w:r>
    </w:p>
    <w:p>
      <w:pPr>
        <w:pBdr>
          <w:top w:val="nil"/>
          <w:left w:val="nil"/>
          <w:bottom w:val="nil"/>
          <w:right w:val="nil"/>
          <w:between w:val="nil"/>
          <w:bar w:val="nil"/>
        </w:pBdr>
        <w:spacing w:before="0" w:after="240"/>
        <w:rPr>
          <w:rFonts w:eastAsia="Arial Unicode MS"/>
          <w:noProof/>
        </w:rPr>
      </w:pPr>
      <w:r>
        <w:rPr>
          <w:noProof/>
        </w:rPr>
        <w:t>Målet för det nya protokollet är främst att erbjuda fiskemöjligheter för unionsfartyg i Kap Verdes fiskezon, på grundval av bästa tillgängliga vetenskapliga utlåtanden och under iakttagande av de rekommendationer som utfärdas av Internationella kommissionen för bevarande av tonfisk i Atlanten (Iccat). Det nya protokollet grundas bland annat på resultaten av en utvärdering av det tidigare protokollet (2014–2018) och en framåtblickande utvärdering av möjligheterna att ingå ett nytt protokoll. Båda dessa utvärderingar har gjorts av externa experter. Genom protokollet kommer dessutom Europeiska unionen och Republiken Kap Verde att kunna samarbeta närmare kring att främja ett ansvarsfullt utnyttjande av fiskeresurserna i Kap Verdes vatten och kring Kap Verdes ansträngningar för att utveckla sin blå ekonomi, i båda parters intresse.</w:t>
      </w:r>
    </w:p>
    <w:p>
      <w:pPr>
        <w:pBdr>
          <w:top w:val="nil"/>
          <w:left w:val="nil"/>
          <w:bottom w:val="nil"/>
          <w:right w:val="nil"/>
          <w:between w:val="nil"/>
          <w:bar w:val="nil"/>
        </w:pBdr>
        <w:spacing w:before="0"/>
        <w:rPr>
          <w:noProof/>
        </w:rPr>
      </w:pPr>
      <w:r>
        <w:rPr>
          <w:noProof/>
        </w:rPr>
        <w:t>I protokollet fastställs fiskemöjligheter inom följande kategorier:</w:t>
      </w:r>
    </w:p>
    <w:p>
      <w:pPr>
        <w:pStyle w:val="Point0letter"/>
        <w:numPr>
          <w:ilvl w:val="1"/>
          <w:numId w:val="6"/>
        </w:numPr>
        <w:rPr>
          <w:noProof/>
        </w:rPr>
      </w:pPr>
      <w:r>
        <w:rPr>
          <w:noProof/>
        </w:rPr>
        <w:t>28 notfartyg för tonfisk med frysanläggning.</w:t>
      </w:r>
    </w:p>
    <w:p>
      <w:pPr>
        <w:pStyle w:val="Point0letter"/>
        <w:numPr>
          <w:ilvl w:val="1"/>
          <w:numId w:val="6"/>
        </w:numPr>
        <w:rPr>
          <w:noProof/>
        </w:rPr>
      </w:pPr>
      <w:r>
        <w:rPr>
          <w:noProof/>
        </w:rPr>
        <w:t>27 ytlångrevsfartyg.</w:t>
      </w:r>
    </w:p>
    <w:p>
      <w:pPr>
        <w:pStyle w:val="Point0letter"/>
        <w:numPr>
          <w:ilvl w:val="1"/>
          <w:numId w:val="6"/>
        </w:numPr>
        <w:rPr>
          <w:noProof/>
        </w:rPr>
      </w:pPr>
      <w:r>
        <w:rPr>
          <w:noProof/>
        </w:rPr>
        <w:t>14 spöfiskefartyg för tonfisk.</w:t>
      </w:r>
    </w:p>
    <w:p>
      <w:pPr>
        <w:pBdr>
          <w:top w:val="nil"/>
          <w:left w:val="nil"/>
          <w:bottom w:val="nil"/>
          <w:right w:val="nil"/>
          <w:between w:val="nil"/>
          <w:bar w:val="nil"/>
        </w:pBdr>
        <w:spacing w:before="0" w:after="240"/>
        <w:rPr>
          <w:noProof/>
        </w:rPr>
      </w:pPr>
      <w:r>
        <w:rPr>
          <w:noProof/>
        </w:rPr>
        <w:t>Det bör fastställas hur fiskemöjligheterna ska fördelas mellan medlemsstaterna.</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spacing w:before="0" w:after="240"/>
        <w:rPr>
          <w:noProof/>
        </w:rPr>
      </w:pPr>
      <w:r>
        <w:rPr>
          <w:noProof/>
        </w:rPr>
        <w:t xml:space="preserve">Den rättsliga grunden är fördraget om Europeiska unionens funktionssätt, där det i artikel 43.3 föreskrivs att rådet på förslag av kommissionen ska besluta om åtgärder om fördelning av fiskemöjligheter. </w:t>
      </w:r>
    </w:p>
    <w:p>
      <w:pPr>
        <w:pStyle w:val="ManualHeading2"/>
        <w:rPr>
          <w:rFonts w:eastAsia="Arial Unicode MS"/>
          <w:noProof/>
          <w:u w:color="000000"/>
          <w:bdr w:val="nil"/>
        </w:rPr>
      </w:pPr>
      <w:r>
        <w:rPr>
          <w:noProof/>
        </w:rPr>
        <w:t>•</w:t>
      </w:r>
      <w:r>
        <w:rPr>
          <w:noProof/>
        </w:rPr>
        <w:tab/>
        <w:t>Subsidiaritetsprincipen (för icke-exklusiv befogenhet)</w:t>
      </w:r>
    </w:p>
    <w:p>
      <w:pPr>
        <w:spacing w:before="0" w:after="240"/>
        <w:rPr>
          <w:noProof/>
        </w:rPr>
      </w:pPr>
      <w:r>
        <w:rPr>
          <w:noProof/>
        </w:rPr>
        <w:t xml:space="preserve">Detta är ett politikområde där Europeiska unionen har exklusiv behörighet. </w:t>
      </w:r>
    </w:p>
    <w:p>
      <w:pPr>
        <w:spacing w:before="0" w:after="240"/>
        <w:rPr>
          <w:noProof/>
        </w:rPr>
      </w:pP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before="0" w:after="240"/>
        <w:rPr>
          <w:noProof/>
        </w:rPr>
      </w:pPr>
      <w:r>
        <w:rPr>
          <w:noProof/>
        </w:rPr>
        <w:t>Under efterhandsutvärderingen rörande det förra protokollet och förhandsutvärderingen rörande ett eventuellt nytt protokoll mellan Europeiska unionen och Republiken Kap Verde hölls samråd med berörda parter. Samråd har även hållits med experter från medlemsstater och industri, inom ramen för tekniska möten. Slutsatsen av dessa samråd blev att det vore fördelaktigt för EU och Republiken Kap Verde att ingå ett nytt protokoll till partnerskapsavtalet om fiske.</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rFonts w:eastAsia="Arial Unicode MS"/>
          <w:noProof/>
        </w:rPr>
      </w:pPr>
      <w:r>
        <w:rPr>
          <w:noProof/>
        </w:rPr>
        <w:t>Medlemsstaterna, företrädare för industrin, internationella organisationer i det civila samhället samt Kap Verdes fiskeriförvaltning och civila samhälle har rådfrågats inom ramen för utvärderingen. Samråd har också ägt rum inom ramen för rådgivande nämnden för fjärrfiske.</w:t>
      </w:r>
    </w:p>
    <w:p>
      <w:pPr>
        <w:pStyle w:val="ManualHeading2"/>
        <w:rPr>
          <w:rFonts w:eastAsia="Arial Unicode MS"/>
          <w:noProof/>
          <w:u w:color="000000"/>
          <w:bdr w:val="nil"/>
        </w:rPr>
      </w:pPr>
      <w:r>
        <w:rPr>
          <w:noProof/>
        </w:rPr>
        <w:t>•</w:t>
      </w:r>
      <w:r>
        <w:rPr>
          <w:noProof/>
        </w:rPr>
        <w:tab/>
        <w:t>Insamling och användning av sakkunnigutlåtanden</w:t>
      </w:r>
    </w:p>
    <w:p>
      <w:pPr>
        <w:spacing w:before="0" w:after="240"/>
        <w:rPr>
          <w:noProof/>
        </w:rPr>
      </w:pPr>
      <w:r>
        <w:rPr>
          <w:noProof/>
        </w:rPr>
        <w:t xml:space="preserve">Kommissionen gav en oberoende konsult i uppdrag att göra förhands- och efterhandsutvärderingarna i enlighet med bestämmelserna i artikel 31.10 i förordningen om den gemensamma fiskeripolitiken. </w:t>
      </w:r>
    </w:p>
    <w:p>
      <w:pPr>
        <w:pStyle w:val="ManualHeading1"/>
        <w:rPr>
          <w:noProof/>
        </w:rPr>
      </w:pPr>
      <w:r>
        <w:rPr>
          <w:noProof/>
        </w:rPr>
        <w:t>4.</w:t>
      </w:r>
      <w:r>
        <w:rPr>
          <w:noProof/>
        </w:rPr>
        <w:tab/>
        <w:t>BUDGETKONSEKVENSER</w:t>
      </w:r>
    </w:p>
    <w:p>
      <w:pPr>
        <w:spacing w:before="0" w:after="240"/>
        <w:rPr>
          <w:noProof/>
        </w:rPr>
      </w:pPr>
      <w:r>
        <w:rPr>
          <w:noProof/>
        </w:rPr>
        <w:t>Förslaget påverkar inte unionens budget.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spacing w:before="0" w:after="240"/>
        <w:rPr>
          <w:noProof/>
        </w:rPr>
      </w:pPr>
      <w:r>
        <w:rPr>
          <w:noProof/>
        </w:rPr>
        <w:t xml:space="preserve">Detta förfarande inleds parallellt med förfarandena för rådets beslut om undertecknande på unionens vägnar av protokollet till partnerskapsavtalet om fiske mellan Europeiska gemenskapen och Republiken Kap Verde och med rådets beslut om dess ingående. Denna förordning bör tillämpas så snart som fiskeverksamhet får bedrivas i enlighet med avtalet, det vill säga den dag då protokollet börjar tillämpas provisoriskt.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2019/0072 (NLE)</w:t>
      </w:r>
    </w:p>
    <w:p>
      <w:pPr>
        <w:pStyle w:val="Statut"/>
        <w:rPr>
          <w:noProof/>
        </w:rPr>
      </w:pPr>
      <w:r>
        <w:rPr>
          <w:noProof/>
        </w:rPr>
        <w:t>Förslag till</w:t>
      </w:r>
    </w:p>
    <w:p>
      <w:pPr>
        <w:pStyle w:val="Typedudocument"/>
        <w:rPr>
          <w:noProof/>
        </w:rPr>
      </w:pPr>
      <w:r>
        <w:rPr>
          <w:noProof/>
        </w:rPr>
        <w:t>RÅDETS FÖRORDNING</w:t>
      </w:r>
    </w:p>
    <w:p>
      <w:pPr>
        <w:pStyle w:val="Titreobjet"/>
        <w:rPr>
          <w:noProof/>
        </w:rPr>
      </w:pPr>
      <w:r>
        <w:rPr>
          <w:noProof/>
        </w:rPr>
        <w:t>om fördelning av de fiskemöjligheter som föreskrivs i protokollet om genomförande av partnerskapsavtalet om fiske mellan Europeiska gemenskapen och Republiken Kap Verde (2019–2024)</w:t>
      </w:r>
      <w:r>
        <w:rPr>
          <w:noProof/>
        </w:rPr>
        <w:br/>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43.</w:t>
      </w:r>
    </w:p>
    <w:p>
      <w:pPr>
        <w:rPr>
          <w:noProof/>
        </w:rPr>
      </w:pPr>
      <w:r>
        <w:rPr>
          <w:noProof/>
        </w:rPr>
        <w:t>3,</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Den 19 december 2006 antog rådet förordning (EG) nr 2027/2006</w:t>
      </w:r>
      <w:r>
        <w:rPr>
          <w:rStyle w:val="FootnoteReference"/>
          <w:noProof/>
        </w:rPr>
        <w:footnoteReference w:id="3"/>
      </w:r>
      <w:r>
        <w:rPr>
          <w:noProof/>
        </w:rPr>
        <w:t xml:space="preserve"> om ingående av ett partnerskapsavtal om fiske mellan Europeiska gemenskapen, å ena sidan, och Republiken Kap Verde, å andra sidan (nedan kallat </w:t>
      </w:r>
      <w:r>
        <w:rPr>
          <w:i/>
          <w:noProof/>
        </w:rPr>
        <w:t>avtalet</w:t>
      </w:r>
      <w:r>
        <w:rPr>
          <w:noProof/>
        </w:rPr>
        <w:t>), vilket därefter förnyats automatiskt och fortfarande är i kraft.</w:t>
      </w:r>
    </w:p>
    <w:p>
      <w:pPr>
        <w:pStyle w:val="ManualConsidrant"/>
        <w:rPr>
          <w:noProof/>
        </w:rPr>
      </w:pPr>
      <w:r>
        <w:t>(2)</w:t>
      </w:r>
      <w:r>
        <w:tab/>
      </w:r>
      <w:r>
        <w:rPr>
          <w:noProof/>
        </w:rPr>
        <w:t>Det senaste protokollet till avtalet löper ut den 22 december 2018.</w:t>
      </w:r>
    </w:p>
    <w:p>
      <w:pPr>
        <w:pStyle w:val="ManualConsidrant"/>
        <w:rPr>
          <w:noProof/>
        </w:rPr>
      </w:pPr>
      <w:r>
        <w:t>(3)</w:t>
      </w:r>
      <w:r>
        <w:tab/>
      </w:r>
      <w:r>
        <w:rPr>
          <w:noProof/>
        </w:rPr>
        <w:t>Kommissionen har på Europeiska unionens vägnar förhandlat fram ett nytt protokoll om genomförande av avtalet (nedan kallat</w:t>
      </w:r>
      <w:r>
        <w:rPr>
          <w:i/>
          <w:noProof/>
        </w:rPr>
        <w:t xml:space="preserve"> protokollet</w:t>
      </w:r>
      <w:r>
        <w:rPr>
          <w:noProof/>
        </w:rPr>
        <w:t xml:space="preserve">). Förhandlingarna ledde till att protokollet paraferades den 12 oktober 2018. </w:t>
      </w:r>
    </w:p>
    <w:p>
      <w:pPr>
        <w:pStyle w:val="ManualConsidrant"/>
        <w:rPr>
          <w:noProof/>
        </w:rPr>
      </w:pPr>
      <w:r>
        <w:t>(4)</w:t>
      </w:r>
      <w:r>
        <w:tab/>
      </w:r>
      <w:r>
        <w:rPr>
          <w:noProof/>
        </w:rPr>
        <w:t>I enlighet med rådets beslut 2018/.../EU</w:t>
      </w:r>
      <w:r>
        <w:rPr>
          <w:rStyle w:val="FootnoteReference"/>
          <w:noProof/>
        </w:rPr>
        <w:footnoteReference w:id="4"/>
      </w:r>
      <w:r>
        <w:rPr>
          <w:noProof/>
        </w:rPr>
        <w:t xml:space="preserve"> undertecknades protokollet om genomförande av partnerskapsavtalet om fiske mellan Europeiska gemenskapen och Republiken Kap Verde den [</w:t>
      </w:r>
      <w:r>
        <w:rPr>
          <w:i/>
          <w:noProof/>
        </w:rPr>
        <w:t>insérer la date de la signature</w:t>
      </w:r>
      <w:r>
        <w:rPr>
          <w:noProof/>
        </w:rPr>
        <w:t>].</w:t>
      </w:r>
    </w:p>
    <w:p>
      <w:pPr>
        <w:pStyle w:val="ManualConsidrant"/>
        <w:rPr>
          <w:noProof/>
        </w:rPr>
      </w:pPr>
      <w:r>
        <w:t>(5)</w:t>
      </w:r>
      <w:r>
        <w:tab/>
      </w:r>
      <w:r>
        <w:rPr>
          <w:noProof/>
        </w:rPr>
        <w:t>De fiskemöjligheter som föreskrivs i protokollet bör fördelas mellan medlemsstaterna för hela tillämpningstiden för protokollet.</w:t>
      </w:r>
    </w:p>
    <w:p>
      <w:pPr>
        <w:pStyle w:val="ManualConsidrant"/>
        <w:rPr>
          <w:noProof/>
        </w:rPr>
      </w:pPr>
      <w:r>
        <w:t>(6)</w:t>
      </w:r>
      <w:r>
        <w:tab/>
      </w:r>
      <w:r>
        <w:rPr>
          <w:noProof/>
        </w:rPr>
        <w:t>Protokollet kommer att tillämpas provisoriskt från och med den dag då det undertecknas, så att unionsfartygen snabbt kan inleda sin fiskeverksamhet. Därför bör denna förordning tillämpas från och med den dagen.</w:t>
      </w:r>
    </w:p>
    <w:p>
      <w:pPr>
        <w:rPr>
          <w:noProof/>
        </w:rPr>
      </w:pP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1.</w:t>
      </w:r>
      <w:r>
        <w:rPr>
          <w:noProof/>
        </w:rPr>
        <w:tab/>
        <w:t xml:space="preserve">De fiskemöjligheter som fastställs i protokollet om genomförande av partnerskapsavtalet om fiske mellan Europeiska gemenskapen och Republiken Kap Verde (2019–2024) (nedan kallat </w:t>
      </w:r>
      <w:r>
        <w:rPr>
          <w:i/>
          <w:noProof/>
        </w:rPr>
        <w:t>protokollet</w:t>
      </w:r>
      <w:r>
        <w:rPr>
          <w:noProof/>
        </w:rPr>
        <w:t>) ska fördelas mellan medlemsstaterna enligt följande:</w:t>
      </w:r>
    </w:p>
    <w:p>
      <w:pPr>
        <w:rPr>
          <w:noProof/>
        </w:rPr>
      </w:pPr>
      <w:r>
        <w:rPr>
          <w:noProof/>
        </w:rPr>
        <w:t>a)</w:t>
      </w:r>
      <w:r>
        <w:rPr>
          <w:noProof/>
        </w:rPr>
        <w:tab/>
        <w:t>Notfartyg för tonfisk:</w:t>
      </w:r>
    </w:p>
    <w:p>
      <w:pPr>
        <w:rPr>
          <w:noProof/>
        </w:rPr>
      </w:pPr>
      <w:r>
        <w:rPr>
          <w:noProof/>
        </w:rPr>
        <w:t>Spanien:</w:t>
      </w:r>
      <w:r>
        <w:rPr>
          <w:noProof/>
        </w:rPr>
        <w:tab/>
      </w:r>
      <w:r>
        <w:rPr>
          <w:noProof/>
        </w:rPr>
        <w:tab/>
        <w:t>[16]</w:t>
      </w:r>
      <w:r>
        <w:rPr>
          <w:noProof/>
        </w:rPr>
        <w:tab/>
        <w:t>fartyg</w:t>
      </w:r>
    </w:p>
    <w:p>
      <w:pPr>
        <w:rPr>
          <w:noProof/>
        </w:rPr>
      </w:pPr>
      <w:r>
        <w:rPr>
          <w:noProof/>
        </w:rPr>
        <w:t xml:space="preserve">Frankrike:   </w:t>
      </w:r>
      <w:r>
        <w:rPr>
          <w:noProof/>
        </w:rPr>
        <w:tab/>
      </w:r>
      <w:r>
        <w:rPr>
          <w:noProof/>
        </w:rPr>
        <w:tab/>
        <w:t>[12]</w:t>
      </w:r>
      <w:r>
        <w:rPr>
          <w:noProof/>
        </w:rPr>
        <w:tab/>
        <w:t>fartyg</w:t>
      </w:r>
    </w:p>
    <w:p>
      <w:pPr>
        <w:rPr>
          <w:noProof/>
        </w:rPr>
      </w:pPr>
      <w:r>
        <w:rPr>
          <w:noProof/>
        </w:rPr>
        <w:t>b)</w:t>
      </w:r>
      <w:r>
        <w:rPr>
          <w:noProof/>
        </w:rPr>
        <w:tab/>
        <w:t>Ytlångrevsfartyg:</w:t>
      </w:r>
    </w:p>
    <w:p>
      <w:pPr>
        <w:rPr>
          <w:noProof/>
        </w:rPr>
      </w:pPr>
      <w:r>
        <w:rPr>
          <w:noProof/>
        </w:rPr>
        <w:t>Spanien:</w:t>
      </w:r>
      <w:r>
        <w:rPr>
          <w:noProof/>
        </w:rPr>
        <w:tab/>
      </w:r>
      <w:r>
        <w:rPr>
          <w:noProof/>
        </w:rPr>
        <w:tab/>
        <w:t>[21]</w:t>
      </w:r>
      <w:r>
        <w:rPr>
          <w:noProof/>
        </w:rPr>
        <w:tab/>
        <w:t>fartyg</w:t>
      </w:r>
    </w:p>
    <w:p>
      <w:pPr>
        <w:rPr>
          <w:noProof/>
        </w:rPr>
      </w:pPr>
      <w:r>
        <w:rPr>
          <w:noProof/>
        </w:rPr>
        <w:t>Portugal:</w:t>
      </w:r>
      <w:r>
        <w:rPr>
          <w:noProof/>
        </w:rPr>
        <w:tab/>
      </w:r>
      <w:r>
        <w:rPr>
          <w:noProof/>
        </w:rPr>
        <w:tab/>
        <w:t>[6]</w:t>
      </w:r>
      <w:r>
        <w:rPr>
          <w:noProof/>
        </w:rPr>
        <w:tab/>
        <w:t>fartyg</w:t>
      </w:r>
    </w:p>
    <w:p>
      <w:pPr>
        <w:rPr>
          <w:noProof/>
        </w:rPr>
      </w:pPr>
      <w:r>
        <w:rPr>
          <w:noProof/>
        </w:rPr>
        <w:t>c)</w:t>
      </w:r>
      <w:r>
        <w:rPr>
          <w:noProof/>
        </w:rPr>
        <w:tab/>
        <w:t>Spöfiskefartyg för tonfisk:</w:t>
      </w:r>
    </w:p>
    <w:p>
      <w:pPr>
        <w:rPr>
          <w:noProof/>
        </w:rPr>
      </w:pPr>
      <w:r>
        <w:rPr>
          <w:noProof/>
        </w:rPr>
        <w:t>Spanien</w:t>
      </w:r>
      <w:r>
        <w:rPr>
          <w:noProof/>
        </w:rPr>
        <w:tab/>
      </w:r>
      <w:r>
        <w:rPr>
          <w:noProof/>
        </w:rPr>
        <w:tab/>
        <w:t>[8]</w:t>
      </w:r>
      <w:r>
        <w:rPr>
          <w:noProof/>
        </w:rPr>
        <w:tab/>
        <w:t>fartyg</w:t>
      </w:r>
    </w:p>
    <w:p>
      <w:pPr>
        <w:rPr>
          <w:noProof/>
        </w:rPr>
      </w:pPr>
      <w:r>
        <w:rPr>
          <w:noProof/>
        </w:rPr>
        <w:t xml:space="preserve">Frankrike </w:t>
      </w:r>
      <w:r>
        <w:rPr>
          <w:noProof/>
        </w:rPr>
        <w:tab/>
      </w:r>
      <w:r>
        <w:rPr>
          <w:noProof/>
        </w:rPr>
        <w:tab/>
        <w:t>[4]</w:t>
      </w:r>
      <w:r>
        <w:rPr>
          <w:noProof/>
        </w:rPr>
        <w:tab/>
        <w:t>fartyg</w:t>
      </w:r>
    </w:p>
    <w:p>
      <w:pPr>
        <w:rPr>
          <w:noProof/>
        </w:rPr>
      </w:pPr>
      <w:r>
        <w:rPr>
          <w:noProof/>
        </w:rPr>
        <w:t>Portugal:</w:t>
      </w:r>
      <w:r>
        <w:rPr>
          <w:noProof/>
        </w:rPr>
        <w:tab/>
      </w:r>
      <w:r>
        <w:rPr>
          <w:noProof/>
        </w:rPr>
        <w:tab/>
        <w:t>[2]</w:t>
      </w:r>
      <w:r>
        <w:rPr>
          <w:noProof/>
        </w:rPr>
        <w:tab/>
        <w:t>fartyg</w:t>
      </w:r>
    </w:p>
    <w:p>
      <w:pPr>
        <w:pStyle w:val="Titrearticle"/>
        <w:rPr>
          <w:noProof/>
        </w:rPr>
      </w:pPr>
      <w:r>
        <w:rPr>
          <w:noProof/>
        </w:rPr>
        <w:t>Artikel 2</w:t>
      </w:r>
    </w:p>
    <w:p>
      <w:pPr>
        <w:rPr>
          <w:noProof/>
        </w:rPr>
      </w:pPr>
      <w:r>
        <w:rPr>
          <w:noProof/>
        </w:rPr>
        <w:t xml:space="preserve">Denna förordning träder i kraft dagen efter det att den har offentliggjorts i </w:t>
      </w:r>
      <w:r>
        <w:rPr>
          <w:i/>
          <w:noProof/>
        </w:rPr>
        <w:t>Europeiska unionens officiella tidning</w:t>
      </w:r>
      <w:r>
        <w:rPr>
          <w:noProof/>
        </w:rPr>
        <w:t>.</w:t>
      </w:r>
    </w:p>
    <w:p>
      <w:pPr>
        <w:rPr>
          <w:noProof/>
        </w:rPr>
      </w:pPr>
      <w:r>
        <w:rPr>
          <w:noProof/>
        </w:rPr>
        <w:t>Den ska tillämpas från och med den dag då protokollet börjar tillämpas.</w:t>
      </w:r>
    </w:p>
    <w:p>
      <w:pPr>
        <w:rPr>
          <w:noProof/>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ab/>
        <w:t>På rådets vägnar</w:t>
      </w:r>
    </w:p>
    <w:p>
      <w:pPr>
        <w:pStyle w:val="Personnequisigne"/>
        <w:rPr>
          <w:noProof/>
        </w:rPr>
      </w:pPr>
      <w:r>
        <w:rPr>
          <w:noProof/>
        </w:rPr>
        <w:tab/>
        <w:t>Ordförande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Antagna vid rådets möte (rättsliga och inrikes frågor) den 4–5 juni 2019.</w:t>
      </w:r>
    </w:p>
  </w:footnote>
  <w:footnote w:id="2">
    <w:p>
      <w:pPr>
        <w:pStyle w:val="FootnoteText"/>
      </w:pPr>
      <w:r>
        <w:rPr>
          <w:rStyle w:val="FootnoteReference"/>
        </w:rPr>
        <w:footnoteRef/>
      </w:r>
      <w:r>
        <w:tab/>
        <w:t>EUT L414, 30.12.2006, s. 3.</w:t>
      </w:r>
    </w:p>
  </w:footnote>
  <w:footnote w:id="3">
    <w:p>
      <w:pPr>
        <w:pStyle w:val="Footno"/>
      </w:pPr>
      <w:r>
        <w:rPr>
          <w:rStyle w:val="FootnoteReference"/>
        </w:rPr>
        <w:footnoteRef/>
      </w:r>
      <w:r>
        <w:tab/>
        <w:t>Rådets förordning (EG) nr 2027/2006 av den 19 december 2006 om ingående av ett partnerskapsavtal om fiske mellan Europeiska gemenskapen och republiken Kap Verde (EUT L 414, 30.12.2006, s. 1).</w:t>
      </w:r>
    </w:p>
  </w:footnote>
  <w:footnote w:id="4">
    <w:p>
      <w:pPr>
        <w:pStyle w:val="FootnoteText"/>
        <w:ind w:left="0" w:firstLine="0"/>
        <w:rPr>
          <w:lang w:val="nb-NO"/>
        </w:rPr>
      </w:pPr>
      <w:r>
        <w:rPr>
          <w:rStyle w:val="FootnoteReference"/>
        </w:rPr>
        <w:footnoteRef/>
      </w:r>
      <w:r>
        <w:tab/>
        <w:t>Beslut … (EUT L ... av den ..., 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2: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D8137260-1851-4451-9FCD-653B2D498D89"/>
    <w:docVar w:name="LW_COVERPAGE_TYPE" w:val="1"/>
    <w:docVar w:name="LW_CROSSREFERENCE" w:val="&lt;UNUSED&gt;"/>
    <w:docVar w:name="LW_DocType" w:val="COM"/>
    <w:docVar w:name="LW_EMISSION" w:val="14.3.2019"/>
    <w:docVar w:name="LW_EMISSION_ISODATE" w:val="2019-03-14"/>
    <w:docVar w:name="LW_EMISSION_LOCATION" w:val="BRX"/>
    <w:docVar w:name="LW_EMISSION_PREFIX" w:val="Bryssel den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fördelning av de fiskemöjligheter som föreskrivs i protokollet om genomförande av partnerskapsavtalet om fiske mellan Europeiska gemenskapen och Republiken Kap Verde (2019\u8211?2024)_x000b_"/>
    <w:docVar w:name="LW_TYPE.DOC.CP" w:val="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DDAB7D-5334-4622-A71E-B825A211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Pages>
  <Words>854</Words>
  <Characters>5467</Characters>
  <Application>Microsoft Office Word</Application>
  <DocSecurity>0</DocSecurity>
  <Lines>116</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2018-12-14T14:47:00Z</cp:lastPrinted>
  <dcterms:created xsi:type="dcterms:W3CDTF">2019-02-15T16:25:00Z</dcterms:created>
  <dcterms:modified xsi:type="dcterms:W3CDTF">2019-03-13T13:32:00Z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