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97BC943E-C157-4128-ADEC-DAF9D9DE374D" style="width:450.75pt;height:333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INTRODUZZJONI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Ir-Regolament dwar is-Swieq fl-Istrumenti Finanzjarji (minn issa ‘l quddiem il-MiFIR)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u d-Direttiva dwar is-swieq fl-istrumenti finanzjarji (MiFID II)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ġew ippubblikati fil-Ġurnal Uffiċjali fit-12 ta’ Ġunju 2014, daħlu fis-seħħ fit-2 ta’ Lulju 2014 u ilhom applikabbli mit-3 ta’ Jannar 2018.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MiFiD II/MiFIR jintroduċu struttura tas-suq li għandha l-għan li tiżgura li n-negozjar, fejn xieraq, iseħħ f’pjattaformi regolati u li n-negozju jsir trasparenti biex jiġu żgurati sistemi effiċjenti u ġusti tal-formazzjoni tal-prezzijiet.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F’dan il-kuntest, il-MiFIR jagħti eżenzjoni minn rekwiżiti ta’ trasparenza ta’ qabel u wara n-negozjar fir-rigward ta’ strumenti finanzjarji mhux tal-ekwità li huma ta’ benefiċċju għal swieq regolati, operaturi tas-suq u ditti tal-investiment fir-rigward ta’ tranżazzjoni fejn il-kontroparti tkun membru tas-Sistema Ewropea ta’ Banek Ċentrali (SEBĊ) u fejn dik it-tranżazzjoni tkun imdaħħla fit-twettiq ta’ politika monetarja, tal-kambju u ta’ stabbiltà finanzjarja li dak il-membru tas-SEBĊ għandu s-setgħa legali li jsegwi u fejn dak il-membru jkun ta notifika minn qabel lill-kontroparti tiegħu li t-tranżazzjoni hija eżentata. Barra minn hekk, il-MiFIR jagħti s-setgħa lill-Kummissjoni biex testendi l-ambitu ta’ din l-eżenzjoni għal banek ċentrali ta’ pajjiżi terzi meta jiġu ssodisfati l-kundizzjonijiet meħtieġa.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 dan l-għan il-Kummissjoni Ewropea kkummissjonat studju estern għand iċ-Ċentru għall-Istudji Politiċi Ewropej (CEPS) u għand l-Università ta’ Bolonja dwar “Eżenzjonijiet għal banek ċentrali ta’ pajjiżi terzi u entitajiet oħra skont ir-Regolament dwar l-Abbuż tas-Suq (MAR) u s-suq fir-Regolament dwar l-Istrument Finanzjarju (MiFIR)” (“l-istudju”)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. L-istudju hu bbażat fuq stħarriġ u riċerka bbażata biss fuq id-dokumentazzjoni. Huwa janalizza ir-regoli tat-trasparenza ta’ qabel u ta’ wara n-negozjar li huma applikabbli meta banek ċentrali ta’ pajjiżi terzi jinnegozjaw fi strumenti finanzjarji mhux tal-ekwità, kif ukoll sa fejn dawn il-banek ċentrali jinnegozjaw dawn l-istrumenti fl-Unjoni.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F’rapport tal-Kummissjoni</w:t>
      </w:r>
      <w:r>
        <w:rPr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adottat fid-9 ta’ Ġunju 2017, il-Kummissjoni kkonkludiwt li huwa xieraq li tingħata eżenzjoni mir-rekwiżiti ta’ trasparenza qabel u wara n-negozju ta' MiFIR skont l-Artikolu 1(9) tal-MIFIR lil banek ċentrali ta’ pajjiżi terzi tal-ġuriżdizzjonijiet li ġejjin: L-Awstralja, il-Brażil, il-Kanada, Hong Kong, l-Indja, il-Ġappun, il-Messiku, Singapore, ir-Repubblika tal-Korea, l-Iżvizzera, it-Turkija u l-Istati Uniti — u l-Bank għall-Ħlasijiet Internazzjonali. Ir-Regolament Delegat (UE) 2017/1799, adottat fl-14 ta’ Ġunju 2017, ta eżenzjoni mir-rekwiżiti ta’ trasparenza qabel u wara n-negozju ta' MiFIR skont l-Artikolu 1(9) tal-MIFIR lill-banek ċentrali tal-pajjiżi terzi tal-pajjiżi msemmija qabel.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IL-BAŻI LEGALI TAR-RAPPORT: L-ARTIKOLU 1(9) TAL-MiFIR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Il-Bank Ċentrali tar-Repubblika tal-Poplu taċ-Ċina (tal-People’s Bank of China, PBoC) ma pprovdietx informazzjoni suffiċjenti, notevolment marbuta mal-attività kummerċjali tiegħu fl-UE, sabiex il-Kummissjoni tkun tista’ tagħmel valutazzjoni fil-ħin tar-Regolament tal-Kummissjoni (UE) 2017/1799. F’Awwissu 2018, il-People’s Bank of China pprovda 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meħtieġa biex titlesta l-valutazzjoni skont l-Artikolu 1(9) tal-MiFIR. Fid-dawl ta’ dak il-materjal addizzjonali li wasal mingħand il-People’s Bank of China dan ir-rapport jivvaluta l-adegwatezza li tingħata eżenzjoni minn rekwiżiti ta’ trasparenza ta’ qabel u wara n-negozjar ta' MiFIR skont l-Artikolu 1(9) tal-MiFIR lill-People’s Bank of China.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L-Artikolu 1(6) tal-MiFIR fih eżenzjoni mir-regoli ta’ trasparenza ta’ qabel u wara n-negozjar fir-rigward ta’ tranżazzjonijiet fejn il-kontroparti tkun membru tas-Sistema Ewropea ta’ Banek Ċentrali (SEBĊ) u fejn dik it-tranżazzjoni tkun imdaħħla fit-twettiq ta’ politika monetarja, tal-kambju u tal-istabbiltà finanzjarja li dak il-membru tas-SEBĊ għandu s-setgħa legali li jsegwi u fejn dak il-membru jkun ta notifika minn qabel lill-kontroparti tiegħu li t-tranżazzjoni hija eżentata.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Barra minn hekk, l-Artikolu 1(9) tal-MiFIR jagħti s-setgħa lill-Kummissjoni biex: </w:t>
      </w:r>
      <w:r>
        <w:rPr>
          <w:rFonts w:ascii="Times New Roman" w:hAnsi="Times New Roman"/>
          <w:i/>
          <w:noProof/>
          <w:sz w:val="24"/>
        </w:rPr>
        <w:t>“[...] jkollha s-setgħa li tadotta atti delegati skont l-Artikolu 50 biex testendi l-kamp ta’ applikazzjoni tal-paragrafu 6 għal banek ċentrali oħrajn.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Għal dak l-għan, il-Kummissjoni għandha, sal-1 ta’ Ġunju 2015, tippreżenta rapport lill-Parlament Ewropew u lill-Kunsill fejn jiġi vvalutat it-trattament tat-tranżazzjonijiet minn banek ċentrali ta’ pajjiżi terzi, li għall-finijiet ta’ dan il-paragrafu jinkludu l-Bank għall-Ħlasijiet Internazzjonali. Ir-rapport għandu jinkludi analiżi tal-kompiti statutorji tagħhom u l-volumi ta’ kummerċ tagħhom fl-Unjoni. Ir-rapport għandu: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(a) jidentifika dispożizzjonijiet applikabbli fil-pajjiżi terzi rilevanti rigward id-divulgazzjoni regolatorja ta’ tranżazzjonijiet ta’ bank ċentrali, inklużi tranżazzjonijiet magħmula minn membri tas-SEBĊ f’dawk il-pajjiżi terzi, u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(b) jevalwa l-impatt potenzjali li r-rekwiżiti ta’ divulgazzjoni regolatorja fl-Unjoni jista’ jkollhom fuq it-tranżazzjonijiet ta’ bank ċentrali ta’ pajjiż terz.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Jekk ir-rapport jikkonkludi li l-eżenzjoni pprovduta fil-paragrafu 6 mhijiex neċessarja fir-rigward ta’ tranżazzjonijiet fejn il-kontroparti tkun bank ċentrali ta’ pajjiż terz li jkun qed iwettaq politika monetarja, skambju u operazzjonijiet ta’ stabbiltà finanzjarja, il-Kummissjoni għandha tipprovdi li dik l-eżenzjoni tapplika għal dak il-bank ċentrali ta’ pajjiż terz.”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ANALIŻI TAS-SITWAZZJONI GĦALL-PEOPLE’S BANK OF CHINA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Il-kriterji użati għall-valutazzjoni</w:t>
      </w:r>
    </w:p>
    <w:p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Il-mandat previst mill-artikolu 1(9) tal-MiFIR (analiżi tal-ġuriżdizzjonijiet identifiakti) huwa bbażat fuq żewġ kriterji ewlenin li kienu kruċjali għall-valutazzjoni tal-Kummissjoni: </w:t>
      </w:r>
    </w:p>
    <w:p>
      <w:pPr>
        <w:pStyle w:val="ListParagraph"/>
        <w:numPr>
          <w:ilvl w:val="1"/>
          <w:numId w:val="1"/>
        </w:numPr>
        <w:spacing w:before="60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Regoli dwar id-divulgazzjoni regolatorja ta’ tranżazzjonijiet ta’ bank ċentrali: ir-reġim ta’ trasparenza tas-suq applikabbli għal tranżazzjonijiet tal-bank ċentrali (“trasparenza tas-suq”) u/jew it-trasparenza tal-qafas operazzjonali tal-bank ċentrali (“it-trasparenza operazzjonali”); kif ukoll</w:t>
      </w:r>
    </w:p>
    <w:p>
      <w:pPr>
        <w:pStyle w:val="ListParagraph"/>
        <w:numPr>
          <w:ilvl w:val="1"/>
          <w:numId w:val="1"/>
        </w:numPr>
        <w:spacing w:before="60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Il-ħtieġa ta’ eżenzjoni: il-volum ta’ tranżazzjonijiet li l-bank ċentrali eżegwixxa ma’ kontropartijiet tal-UE jew fi strumenti finanzjarji elenkati fl-UE.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Għall-finijiet tal-valutazzjoni, l-issodisfar ta’ dawn iż-żewġ kriterji kien ikkunsidrat essenzjali peress li dawn jiġbru l-fatturi stipulati fl-Artikolu 1(9) tal-MiFIR. F’dan ir-rigward, it-“trasparenza tas-suq” għandha x’taqsam ma’ trasparenza speċifika għat-tranżazzjonijiet li jirrigwardaw titoli individwali, waqt li it-“trasparenza operazzjonali” tirreferi għal regoli ta’ trasparenza aktar wiesgħa li jirregolaw l-operazzjonijiet ta’ bank ċentrali. Għalhekk, meta jitqiesu l-objettivi u l-ambitu tal-MiFIR, analiżi tar-rekwiżiti regolatorji li jirrigwardaw it-trasparenza tas-suq għal tranżazzjonijiet u t-trasparenza tal-qafas operazzjonali kienet meqjusa neċessarja sabiex tiġi vvalutata l-adegwatezza li tingħata eżenzjoni lil banek ċentrali ta’ pajjiżi terzi skont l-Artikolu 1(9)(a) tal-MIFIR. Barra minn hekk, il-volum tat-tranżazzjonijiet bejn il-bank ċentrali tal-pajjiż terz rilevanti u l-UE huwa ta’ importanza peress li huwa indikatur tal-impatt potenzjali li r-rekwiżiti ta’ divulgazzjoni regolatorja fl-Unjoni jista’ jkollhom fuq it-tranżazzjonijiet ta’ bank ċentrali ta’ pajjiż terz f’konformità mal-Artikolu 1(9)(b) tal-MIFIR.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Barra minn hekk, filwaqt li jitqiesu l-ħtiġijiet u l-objettivi taħt il-MiFIR, il-kriterji li ġejjin ġew ukoll ikkunsidrati: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(i)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l-eżistenza ta’ proċedura ta’ notifika li biha bank ċentrali ta’ pajjiż terz jinnotifika lill-kontroparti tal-UE tagħha li tranżazzjoni hija eżentata;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(ii)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l-abbiltà ta’ bank ċentrali ta’ pajjiż terz li jiddistingwi bejn tranżazzjonijiet għal finijiet ta’ politika ewlenija identifikati permezz tal-MiFIR u tranżazzjonijiet eżegwiti biss għal skopijiet ta’ investiment “puri”; kif ukoll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(iii)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l-eżistenza ta’ eżenzjoni simili disponibbli għal banek ċentrali ta’ pajjiżi terzi fil-ġuriżdizzjoni taħt rieżami.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Il-kriterji addizzjonali ta’ hawn fuq kienu vvalutati b’kont meħud tar-rekwiżiti u l-objettivi tal-MiFIR. B’mod partikolari, il-valutazzjoni kkunsidrat jekk bank ċentrali ta’ pajjiż terz kellux proċedura fis-seħħ biex jinnotifika lill-kontroparti tal-UE tiegħu li tranżazzjoni hija eżentata. Taħt il-MiFIR, l-eżenzjonijiet taħt l-Artikolu 1(6) tal-MIFIR ma jistgħux jingħataw lil banek ċentrali meta jeżegwixxu l-operazzjonijiet tagħhom għal skopijiet purament ta’ investiment. Għalhekk, il-valutazzjoni analizzat jekk il-banek ċentrali ta’ pajjiżi terzi jiddistingwux bejn tranżazzjonijiet imwettqa għal skopijiet regolatorji u ta’ investiment. Fl-aħħar nett, fid-dawl tal-impatt fuq is-suq ta’ rekwiżiti ta’ divulgazzjoni u r-riperkussjoni potenzjali fuq l-effikaċja tal-politiki monetarji, qed tiġi vvalutata id-disponibbiltà ta’ eżenzjoni statutorja għal banek ċentrali li jinnegozjaw f’ċentri tan-negozjar ta’ pajjiżi terzi.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 deskrizzjoni dettaljata tal-kriterji, jekk jogħġbok erġa' rreferi għall-istudju li sar mis-CEPS.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_Toc413169301"/>
      <w:bookmarkStart w:id="3" w:name="_Toc412950561"/>
      <w:bookmarkStart w:id="4" w:name="_Toc412947399"/>
      <w:bookmarkStart w:id="5" w:name="_Toc412933595"/>
      <w:bookmarkStart w:id="6" w:name="_Toc412835395"/>
      <w:bookmarkStart w:id="7" w:name="_Toc418165659"/>
      <w:r>
        <w:rPr>
          <w:rFonts w:ascii="Times New Roman" w:hAnsi="Times New Roman"/>
          <w:b/>
          <w:noProof/>
          <w:sz w:val="24"/>
        </w:rPr>
        <w:t xml:space="preserve">Sommarju tal-analiżi </w:t>
      </w:r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b/>
          <w:noProof/>
          <w:sz w:val="24"/>
        </w:rPr>
        <w:t>għall-Peoples' Bank of China (PBoC)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" w:hAnsi="Times"/>
          <w:noProof/>
          <w:sz w:val="24"/>
        </w:rPr>
        <w:t>Il-Kummissjoni kkonkludiet li,</w:t>
      </w:r>
      <w:r>
        <w:rPr>
          <w:noProof/>
        </w:rPr>
        <w:t xml:space="preserve"> </w:t>
      </w:r>
      <w:r>
        <w:rPr>
          <w:rFonts w:ascii="Times" w:hAnsi="Times"/>
          <w:noProof/>
          <w:sz w:val="24"/>
        </w:rPr>
        <w:t>ir-Repubblika tal-Poplu taċ-Ċina għandha qafas legali fis-seħħ li jippermetti għal</w:t>
      </w:r>
      <w:r>
        <w:rPr>
          <w:rFonts w:ascii="Times New Roman" w:hAnsi="Times New Roman"/>
          <w:noProof/>
          <w:sz w:val="24"/>
        </w:rPr>
        <w:t xml:space="preserve"> livell suffiċjenti ta’ trasparenza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. Barra minn hekk, l-attività ta’ negozjar fl-UE li toriġina mir-Repubblika tal-Poplu taċ-Ċina hi sostanzjali biżżejjed biex tiġġustifika l-għoti ta’ eżenzjoni minn rekwiżiti ta’ trasparenza ta’ qabel u wara n-negozjar tal-PBoC.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ta’ hawn taħt huwa sommarju qasir tal-analiżi għall-PBoC b’rabta mal-kriterji msemmija hawn fuq.</w:t>
      </w:r>
    </w:p>
    <w:p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Kriterji ewlenin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Il-PBoC għandu rekwiżiti ta’ trasparenza f’ħin reali għal skambji li jelenkaw bonds korporattivi u titoli oħra. Għal tranżazzjonijiet barra l-Borża (OTC), il-parteċipanti fis-suq ma għandhom l-ebda obbligi ta’ divulgazzjoni. Madankollu, is-Sistema Kummerċjali ta’ Munita Barranija taċ-Ċina (CFETS), magħrufa wkoll bħala ċ-Ċentru Nazzjonali ta’ Finanzjament Interbank, għandha aċċess għall-informazzjoni kollha u tista’ tiddivulga din l-informazzjoni lill-pubbliku. It-trasparenza operazzjonali tinkiseb permezz ta’ avviżi pubbliċi ta’ operazzjonijiet tas-suq miftuħ (OMO) u r-riżultati ta’ operazzjonijiet ta’ likwidità fuq perjodu qasir (SLO). 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Ewropea rċeviet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dwar l-attività kummerċjali tal-PBoC fuq is-swieq finanzjarji tal-UE u ma’ kontrapartijiet tal-UE. Il-volumi ta’ negozjar ma’ kontropartijiet tal-UE tal-PBoC huma għoljin. 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Kriterji addizzjonali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Eżenzjoni minn rekwiżiti ta’ trasparenza mhijiex disponibbli għal banek ċentrali barranin li għandom kummerċ fiċ-Ċina.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Il-PBoC tista’ tiddistingwi bejn tranżazzjonijiet għal skopijiet ta’ politika u tranżazzjonijiet għal skopijiet oħra (speċjalment skopijiet ta’ “investiment”), li għandhom rwol marġinali.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Fl-aħħar nett, hemm proċedura ta’ notifika biex tinforma lill-kontropartijiet tal-UE li t-tranżazzjonijiet mhumiex soġġetti għal rekwiżiti ta’ trasparenza.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Caption"/>
        <w:keepNext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/>
          <w:b/>
          <w:i w:val="0"/>
          <w:noProof/>
          <w:color w:val="auto"/>
          <w:sz w:val="22"/>
        </w:rPr>
        <w:t>Ħarsa ġenerali tal-kriterji</w:t>
      </w:r>
    </w:p>
    <w:tbl>
      <w:tblPr>
        <w:tblW w:w="8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596"/>
      </w:tblGrid>
      <w:tr>
        <w:trPr>
          <w:trHeight w:val="50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Kriterji ewlenin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Trasparenza tas-suq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Medja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Trasparenza operazzjonali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Medja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Neċessità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Iva</w:t>
            </w:r>
          </w:p>
        </w:tc>
      </w:tr>
      <w:tr>
        <w:trPr>
          <w:trHeight w:val="50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Kriterji oħra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L-iskop tad-distinzjoni tat-tranżazzjoni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Iva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Il-proċedura tan-notifika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Iva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L-eżenzjoni ta’ Banek Ċentrali Barranin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Le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Tip ta’ eżekuzzjoni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Bilaterali (50-100 %) Ċentri tan-negozjar (10-50 %)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Eżenzjoni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Iva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KONKLUŻJONIJIET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Fuq il-bażi tal-informazzjoni miksuba, il-Kummissjoni tikkonkludi li huwa xieraq li tingħata eżenzjoni mir-rekwiżiti ta’ trasparenza qabel u wara n-negozju ta' MiFIR skont l-Artikolu 1(9) tal-MIFIR lill-PBoC.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Din il-konklużjoni hija mingħajr preġudizzju għal bidliet possibbli fil-futur, wara li tiġi kkunsidrata l-evidenza l-ġdida mogħtija mill-banek ċentrali f’pajjiżi terzi, bidliet fil-leġiżlazzjoni tal-pajjiżi terzi jew bidla fiċ-ċirkustanzi fattwali. Dawn l-avvenimenti jistgħu jinstigaw il-ħtieġa għal rieżami tal-lista ta’ banek ċentrali ta’ pajjiżi terzi eżentati.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361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Ir-Regolament (UE) Nru 600/2014 tal-Parlament Ewropew u tal-Kunsill tal-15 ta' Mejju 2014 dwar is-swieq tal-istrumenti finanzjarji u li jemenda r-Regolament (UE) Nru 648/2012 (ĠU L 173, 12.6.2014, p. 84).</w:t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Id-Direttiva 2014/65/UE tal-Parlament Ewropew u tal-Kunsill tal-15 ta’ Mejju 2014 dwar is-swieq fl-istrumenti finanzjarji u li temenda d-Direttiva 2002/92/KE u d-Direttiva 2011/61/UE (ĠU L 173, 12.6.2014).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https://www.ceps.eu/publications/study-exemptions-third-country-central-banks-and-debt-management-offices-under-mifir</w:t>
      </w:r>
    </w:p>
  </w:footnote>
  <w:footnote w:id="4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COM(2017) 298 final</w:t>
      </w:r>
    </w:p>
  </w:footnote>
  <w:footnote w:id="5">
    <w:p>
      <w:pPr>
        <w:pStyle w:val="FootnoteText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L-għan ta’ dan ir-rapport mhuwiex li jevalwa jekk il-ġuriżdizzjoni ta’ hawn fuq għandhiex regoli ta’ trasparenza tan-negozjar li jistgħu jitqiesu li huma ekwivalenti għal dawk applikabbli taħt il-MiFIR. Il-konklużjonijiet f’dan ir-rapport huma mingħajr preġudizzju għal kull valutazzjoni bħal din. Huwa biżżejjed għall-finijiet ta’ din il-valutazzjoni li l-ġuriżdizzjoni inkwistjoni jkollha qafas ta’ divulgazzjoni fis-seħħ.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F98"/>
    <w:multiLevelType w:val="hybridMultilevel"/>
    <w:tmpl w:val="DCD466BA"/>
    <w:lvl w:ilvl="0" w:tplc="E3888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97BC943E-C157-4128-ADEC-DAF9D9DE374D"/>
    <w:docVar w:name="LW_COVERPAGE_TYPE" w:val="1"/>
    <w:docVar w:name="LW_CROSSREFERENCE" w:val="&lt;UNUSED&gt;"/>
    <w:docVar w:name="LW_DocType" w:val="NORMAL"/>
    <w:docVar w:name="LW_EMISSION" w:val="14.3.2019"/>
    <w:docVar w:name="LW_EMISSION_ISODATE" w:val="2019-03-14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4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E\u380?enzjoni g\u295?all-Bank \u266?entrali tar-Repubblika tal-Poplu ta\u267?-\u266?ina skont ir-Regolament dwar is-Swieq tal-Istrumenti Finanzjarji (MiFIR)_x000d__x000d__x000d__x000d__x000d__x000d__x000d__x000b_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159A79-6F5F-4C73-98D2-E4DCF6DD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1453</Words>
  <Characters>10433</Characters>
  <Application>Microsoft Office Word</Application>
  <DocSecurity>0</DocSecurity>
  <Lines>183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2018-10-11T07:04:00Z</cp:lastPrinted>
  <dcterms:created xsi:type="dcterms:W3CDTF">2018-11-13T08:06:00Z</dcterms:created>
  <dcterms:modified xsi:type="dcterms:W3CDTF">2019-03-12T18:02:00Z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