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DFE58AA-0038-4CC0-8651-B108E0B47CC8" style="width:450.4pt;height:379.1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A javaslat tárgya</w:t>
      </w:r>
    </w:p>
    <w:p>
      <w:pPr>
        <w:rPr>
          <w:noProof/>
        </w:rPr>
      </w:pPr>
      <w:r>
        <w:rPr>
          <w:noProof/>
        </w:rPr>
        <w:t>A javaslat az Európai Unió és Japán közötti gazdasági partnerségi megállapodással létrehozott vegyes bizottságban annak eljárási szabályzata, a választottbírói testület eljárási szabályzatának, a választottbírák közvetítői eljárásának és magatartási kódexének tervezett elfogadása tekintetében az Unió által képviselendő álláspont meghatározására vonatkozik.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A javaslat háttere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Gazdasági partnerségi megállapodás az Európai Unió és Japán között </w:t>
      </w:r>
    </w:p>
    <w:p>
      <w:pPr>
        <w:rPr>
          <w:noProof/>
        </w:rPr>
      </w:pPr>
      <w:r>
        <w:rPr>
          <w:noProof/>
        </w:rPr>
        <w:t>Az Európai Unió és Japán közötti gazdasági partnerségi megállapodás (a továbbiakban: megállapodás) célja a kereskedelem és a beruházások liberalizálása és szorgalmazása, valamint a Felek közötti szorosabb gazdasági kapcsolat előmozdítása.</w:t>
      </w:r>
    </w:p>
    <w:p>
      <w:pPr>
        <w:rPr>
          <w:noProof/>
        </w:rPr>
      </w:pPr>
      <w:r>
        <w:rPr>
          <w:noProof/>
        </w:rPr>
        <w:t>A megállapodást az Európai Unió Tanácsa 2018. december 20-án kötötte meg azt követően, hogy az Európai Parlament 2018. december 12-én egyetértését adta. A megállapodás 2019. február 1-jén lépett hatályba.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A vegyes bizottság</w:t>
      </w:r>
    </w:p>
    <w:p>
      <w:pPr>
        <w:rPr>
          <w:noProof/>
        </w:rPr>
      </w:pPr>
      <w:r>
        <w:rPr>
          <w:noProof/>
        </w:rPr>
        <w:t xml:space="preserve">A megállapodás 22.1. cikkének (1) bekezdése a két Fél képviselőiből álló vegyes bizottságot hoz létre. A 22.1. cikkének (4) bekezdése értelmében annak biztosítása érdekében, hogy a megállapodás megfelelően és hatékonyan működjön, „a vegyes bizottság: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az első ülésén elfogadja az eljárási szabályzatát; valamint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első ülésén elfogadja a választottbírói testület eljárási szabályzatát és a választottbírák magatartási kódexét a 21.30. cikkben említettek szerint, valamint a 21.6. cikk (2) bekezdésében említett közvetítői eljárást.” </w:t>
      </w:r>
    </w:p>
    <w:p>
      <w:pPr>
        <w:rPr>
          <w:noProof/>
        </w:rPr>
      </w:pPr>
      <w:r>
        <w:rPr>
          <w:noProof/>
        </w:rPr>
        <w:t xml:space="preserve">A vegyes bizottság valamennyi határozatát és ajánlását konszenzussal hozza meg.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A vegyes bizottság tervezett jogi aktusa</w:t>
      </w:r>
    </w:p>
    <w:p>
      <w:pPr>
        <w:rPr>
          <w:noProof/>
        </w:rPr>
      </w:pPr>
      <w:r>
        <w:rPr>
          <w:noProof/>
        </w:rPr>
        <w:t>A vegyes bizottság első ülésén elfogadja eljárási szabályzatát, a választottbírói testület eljárási szabályzatát és a választottbírák közvetítői eljárását és magatartási kódexét (a továbbiakban: tervezett jogi aktus).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Az Unió által képviselendő álláspont</w:t>
      </w:r>
    </w:p>
    <w:p>
      <w:pPr>
        <w:rPr>
          <w:noProof/>
        </w:rPr>
      </w:pPr>
      <w:r>
        <w:rPr>
          <w:noProof/>
        </w:rPr>
        <w:t>Ez a tanácsi határozatra irányuló javaslat az Európai Unió és Japán közötti gazdasági partnerségi megállapodással létrehozott vegyes bizottságban annak eljárási szabályzata, a választottbírói testület eljárási szabályzatának, a választottbírák közvetítői eljárásának és magatartási kódexének elfogadása tekintetében az Unió által képviselendő álláspont meghatározására vonatkozik.</w:t>
      </w:r>
    </w:p>
    <w:p>
      <w:pPr>
        <w:rPr>
          <w:noProof/>
        </w:rPr>
      </w:pPr>
      <w:r>
        <w:rPr>
          <w:noProof/>
        </w:rPr>
        <w:t>A megállapodás részes felei megállapodtak a vonatkozó dokumentumok tervezeteiben. Az uniós döntéshozatali eljárásokra is figyelemmel azokat a vegyes bizottság első ülésén el kell fogadni, amelyet a 22.1. cikk (2) bekezdésének megfelelően a megállapodás hatálybalépésétől számított három hónapon belül, vagyis legkésőbb 2019 májusáig kell megtartani.</w:t>
      </w:r>
    </w:p>
    <w:p>
      <w:pPr>
        <w:rPr>
          <w:noProof/>
        </w:rPr>
      </w:pPr>
      <w:r>
        <w:rPr>
          <w:noProof/>
        </w:rPr>
        <w:t xml:space="preserve">A vegyes bizottság csatolt eljárási szabályzatának, a választottbírói testület eljárási szabályzatának, a választottbírók közvetítői eljárásának és magatartási kódexének tartalma nagyon hasonló az egyéb gazdasági partnerségi megállapodások vagy más kereskedelmi megállapodások által létrehozott vegyes bizottságok által elfogadottakhoz. </w:t>
      </w:r>
    </w:p>
    <w:p>
      <w:pPr>
        <w:rPr>
          <w:noProof/>
        </w:rPr>
      </w:pPr>
      <w:r>
        <w:rPr>
          <w:noProof/>
        </w:rPr>
        <w:lastRenderedPageBreak/>
        <w:t>E dokumentumok elfogadása elengedhetetlen ahhoz, hogy a megállapodás rendelkezései működőképesek legyenek, konkrétabban pedig a 21. fejezet (Vitarendezés) és a 22. fejezet (Intézményi rendelkezések) rendelkezéseinek végrehajtásához.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Jogalap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Eljárási jogalap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Alapelvek</w:t>
      </w:r>
    </w:p>
    <w:p>
      <w:pPr>
        <w:rPr>
          <w:noProof/>
        </w:rPr>
      </w:pPr>
      <w:r>
        <w:rPr>
          <w:noProof/>
        </w:rPr>
        <w:t>Az Európai Unió működéséről szóló szerződés (a továbbiakban: EUMSZ) 218. cikkének (9) bekezdése határozatok elfogadásáról rendelkezik „a megállapodásokkal létrehozott szervekben az Unió által képviselendő álláspontok kialakítására vonatkozóan, amennyiben az ilyen szervnek joghatással bíró jogi aktust kell elfogadnia, kivéve a megállapodás intézményi kereteit kiegészítő vagy módosító jogi aktusokat”.</w:t>
      </w:r>
    </w:p>
    <w:p>
      <w:pPr>
        <w:rPr>
          <w:noProof/>
        </w:rPr>
      </w:pPr>
      <w:r>
        <w:rPr>
          <w:noProof/>
        </w:rPr>
        <w:t>A „joghatással bíró jogi aktus” fogalmába beletartoznak a nemzetközi jognak a kérdéses szervre irányadó szabályai szerint joghatással bíró jogi aktusok. Ezenfelül a fogalom kiterjed azokra az eszközökre is, amelyek a nemzetközi jog értelmében nem bírnak kötelező erővel, de „meghatározó módon befolyásolják az uniós jogalkotó által [...] elfogadott szabályozás tartalmát”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vegyes bizottság egy megállapodással, az Európai Unió és Japán közötti gazdasági partnerségi megállapodással létrehozott szerv.</w:t>
      </w:r>
    </w:p>
    <w:p>
      <w:pPr>
        <w:rPr>
          <w:noProof/>
        </w:rPr>
      </w:pPr>
      <w:r>
        <w:rPr>
          <w:noProof/>
        </w:rPr>
        <w:t>A vegyes bizottság által elfogadandó jogi aktus joghatással bíró jogi aktus. A tervezett jogi aktus a megállapodás 22.2. cikkének megfelelően a nemzetközi jog szerint kötelező érvényű lesz.</w:t>
      </w:r>
    </w:p>
    <w:p>
      <w:pPr>
        <w:rPr>
          <w:noProof/>
        </w:rPr>
      </w:pPr>
      <w:r>
        <w:rPr>
          <w:noProof/>
        </w:rPr>
        <w:t>A tervezett jogi aktus nem egészíti ki és nem is módosítja a megállapodás intézményi kereteit.</w:t>
      </w:r>
    </w:p>
    <w:p>
      <w:pPr>
        <w:rPr>
          <w:noProof/>
        </w:rPr>
      </w:pPr>
      <w:r>
        <w:rPr>
          <w:noProof/>
        </w:rPr>
        <w:t>Ezért a javasolt határozat eljárási jogalapja az EUMSZ 218. cikkének (9) bekezdése.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Anyagi jogalap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Alapelvek</w:t>
      </w:r>
    </w:p>
    <w:p>
      <w:pPr>
        <w:rPr>
          <w:noProof/>
        </w:rPr>
      </w:pPr>
      <w:r>
        <w:rPr>
          <w:noProof/>
        </w:rPr>
        <w:t>Az EUMSZ 218. cikkének (9) bekezdése szerinti határozat anyagi jogalapja elsősorban azon tervezett jogi aktus célkitűzésétől és tartalmától függ, amellyel kapcsolatban az Unió által képviselendő álláspont meghatározásra kerül. Amennyiben a tervezett jogi aktus kettős célkitűzést követ, vagy két összetevőből áll, és ezek egyike elsődlegesként vagy döntő jellegűként azonosítható, míg a másik pusztán járulékos jellegű, az EUMSZ 218. cikkének (9) bekezdése szerinti határozatot egyetlen jogalapra, azaz az elsődleges, illetve döntő jellegű célkitűzés vagy összetevő által megkövetelt jogalapra kell alapítani.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tervezett jogi aktus elsődleges célkitűzése és tartalma a közös kereskedelempolitikával kapcsolatos.</w:t>
      </w:r>
    </w:p>
    <w:p>
      <w:pPr>
        <w:rPr>
          <w:noProof/>
        </w:rPr>
      </w:pPr>
      <w:r>
        <w:rPr>
          <w:noProof/>
        </w:rPr>
        <w:t>Ezért a javasolt határozat anyagi jogalapja az EUMSZ 207. cikke.</w:t>
      </w:r>
    </w:p>
    <w:p>
      <w:pPr>
        <w:pStyle w:val="ManualHeading2"/>
        <w:rPr>
          <w:noProof/>
        </w:rPr>
      </w:pPr>
      <w:r>
        <w:lastRenderedPageBreak/>
        <w:t>4.3.</w:t>
      </w:r>
      <w:r>
        <w:tab/>
      </w:r>
      <w:r>
        <w:rPr>
          <w:noProof/>
        </w:rPr>
        <w:t>Következtetés</w:t>
      </w:r>
    </w:p>
    <w:p>
      <w:pPr>
        <w:rPr>
          <w:noProof/>
        </w:rPr>
      </w:pPr>
      <w:r>
        <w:rPr>
          <w:noProof/>
        </w:rPr>
        <w:t>A javasolt határozat jogalapja ezért az EUMSZ 207. cikke, összefüggésben az EUMSZ 218. cikkének (9) bekezdésével.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2019/0082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és Japán közötti gazdasági partnerségi megállapodással létrehozott vegyes bizottságban a vegyes bizottság eljárási szabályzatának, a választottbírói testület eljárási szabályzatának és a választottbírák közvetítői eljárásának és magatartási kódexének elfogadása tekintetében az Európai Unió által képviselendő álláspontról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207. cikke (3) bekezdésére, valamint 207. cikke (4) bekezdésének első albekezdésére, összefüggésben 218. cikke (9) bekezdésével,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Európai Unió és Japán közötti gazdasági partnerségi megállapodást (a továbbiakban: megállapodás) az Unió nevében 2018. december 20-án jóváhagyták.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megállapodás 22.1. cikke (4) bekezdése e) és f) pontjának megfelelően a vegyes bizottság első ülésén elfogadja eljárási szabályzatát, a választottbírói testület eljárási szabályzatát és a választottbírák magatartási kódexét a 21.30. cikkben említettek szerint, valamint a megállapodás 21.6. cikkének (2) bekezdésében említett közvetítői eljárást.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Helyénvaló meghatározni az Unió nevében a vegyes bizottságban képviselendő álláspontot, mivel a vegyes bizottság tervezett határozata kötelező érvényű lesz az Unióra nézve,</w:t>
      </w:r>
    </w:p>
    <w:p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Európai Unió és Japán közötti gazdasági partnerségi megállapodással létrehozott vegyes bizottság első ülésén annak eljárási szabályzata, a választottbírói testület eljárási szabályzata, a választottbírák magatartási kódexe és a közvetítői eljárás tekintetében az Unió által képviselendő álláspont a vegyes bizottságnak az e határozathoz csatolt határozattervezetén és mellékletein alapul.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>Ennek a határozatnak a Bizottság a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A Bíróság 2014. október 7-i ítélete, Németország kontra Tanács, C-399/12, ECLI:EU:C:2014:2258, 61–64. pont.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C829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CCE4D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D1A72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0602A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6403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D06D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89A02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B8A3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1 11:14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DFE58AA-0038-4CC0-8651-B108E0B47CC8"/>
    <w:docVar w:name="LW_COVERPAGE_TYPE" w:val="1"/>
    <w:docVar w:name="LW_CROSSREFERENCE" w:val="&lt;UNUSED&gt;"/>
    <w:docVar w:name="LW_DocType" w:val="COM"/>
    <w:docVar w:name="LW_EMISSION" w:val="2019.3.15."/>
    <w:docVar w:name="LW_EMISSION_ISODATE" w:val="2019-03-15"/>
    <w:docVar w:name="LW_EMISSION_LOCATION" w:val="BRX"/>
    <w:docVar w:name="LW_EMISSION_PREFIX" w:val="Brüssze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82"/>
    <w:docVar w:name="LW_REF.II.NEW.CP_YEAR" w:val="2019"/>
    <w:docVar w:name="LW_REF.INST.NEW" w:val="COM"/>
    <w:docVar w:name="LW_REF.INST.NEW_ADOPTED" w:val="final"/>
    <w:docVar w:name="LW_REF.INST.NEW_TEXT" w:val="(2019) 1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és Japán közötti gazdasági partnerségi megállapodással létrehozott vegyes bizottságban a vegyes bizottság eljárási szabályzatának, a választottbírói testület eljárási szabályzatának és a választottbírák közvetít\u337?i eljárásának és magatartási kódexének elfogadása tekintetében az Európai Unió által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2B78-0C02-46BF-9CDD-CE66B21A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935</Words>
  <Characters>6495</Characters>
  <Application>Microsoft Office Word</Application>
  <DocSecurity>0</DocSecurity>
  <Lines>120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2019-03-01T11:36:00Z</cp:lastPrinted>
  <dcterms:created xsi:type="dcterms:W3CDTF">2019-03-06T14:04:00Z</dcterms:created>
  <dcterms:modified xsi:type="dcterms:W3CDTF">2019-03-11T10:14:00Z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