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3C02E3-950F-4E45-9A19-A70260D8BC93" style="width:450.8pt;height:37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t>1.</w:t>
      </w:r>
      <w:r>
        <w:tab/>
      </w:r>
      <w:r>
        <w:rPr>
          <w:noProof/>
        </w:rPr>
        <w:t>Predmet prijedloga</w:t>
      </w:r>
    </w:p>
    <w:p>
      <w:pPr>
        <w:rPr>
          <w:noProof/>
        </w:rPr>
      </w:pPr>
      <w:r>
        <w:rPr>
          <w:noProof/>
        </w:rPr>
        <w:t>Prijedlog se odnosi na stajalište koje u ime Unije treba zauzeti u Zajedničkom odboru osnovanom na temelju Sporazuma o gospodarskom partnerstvu između Europske unije i Japana u vezi s predviđenim donošenjem poslovnika Zajedničkog odbora, poslovnika panela, postupka medijacije i kodeksa ponašanja za arbitre.</w:t>
      </w:r>
    </w:p>
    <w:p>
      <w:pPr>
        <w:pStyle w:val="ManualHeading1"/>
        <w:rPr>
          <w:noProof/>
        </w:rPr>
      </w:pPr>
      <w:r>
        <w:t>2.</w:t>
      </w:r>
      <w:r>
        <w:tab/>
      </w:r>
      <w:r>
        <w:rPr>
          <w:noProof/>
        </w:rPr>
        <w:t>Kontekst prijedloga</w:t>
      </w:r>
    </w:p>
    <w:p>
      <w:pPr>
        <w:pStyle w:val="ManualHeading2"/>
        <w:rPr>
          <w:noProof/>
        </w:rPr>
      </w:pPr>
      <w:r>
        <w:t>2.1.</w:t>
      </w:r>
      <w:r>
        <w:tab/>
      </w:r>
      <w:r>
        <w:rPr>
          <w:noProof/>
        </w:rPr>
        <w:t xml:space="preserve">Sporazum o gospodarskom partnerstvu između Europske unije i Japana </w:t>
      </w:r>
    </w:p>
    <w:p>
      <w:pPr>
        <w:rPr>
          <w:noProof/>
        </w:rPr>
      </w:pPr>
      <w:r>
        <w:rPr>
          <w:noProof/>
        </w:rPr>
        <w:t>Cilj Sporazuma o gospodarskom partnerstvu između Europske unije i Japana („Sporazum”) jest liberalizacija i olakšavanje trgovine i ulaganja te promicanje bliskijih gospodarskih odnosa između stranaka.</w:t>
      </w:r>
    </w:p>
    <w:p>
      <w:pPr>
        <w:rPr>
          <w:noProof/>
        </w:rPr>
      </w:pPr>
      <w:r>
        <w:rPr>
          <w:noProof/>
        </w:rPr>
        <w:t>Sporazum je 20. prosinca 2018. sklopilo Vijeće Europske unije nakon što je 12. prosinca 2018. Europski parlament dao svoju suglasnost. Sporazum je stupio je na snagu 1. veljače 2019.</w:t>
      </w:r>
    </w:p>
    <w:p>
      <w:pPr>
        <w:pStyle w:val="ManualHeading2"/>
        <w:rPr>
          <w:noProof/>
        </w:rPr>
      </w:pPr>
      <w:r>
        <w:t>2.2.</w:t>
      </w:r>
      <w:r>
        <w:tab/>
      </w:r>
      <w:r>
        <w:rPr>
          <w:noProof/>
        </w:rPr>
        <w:t>Zajednički odbor</w:t>
      </w:r>
    </w:p>
    <w:p>
      <w:pPr>
        <w:rPr>
          <w:noProof/>
        </w:rPr>
      </w:pPr>
      <w:r>
        <w:rPr>
          <w:noProof/>
        </w:rPr>
        <w:t xml:space="preserve">Člankom 22.1. stavkom 1. Sporazuma osniva se Zajednički odbor koji čine predstavnici obiju stranaka. Člankom 22.1. stavkom 4. utvrđuje se da u cilju uredne i učinkovite primjene Sporazuma „Zajednički odbor: </w:t>
      </w:r>
    </w:p>
    <w:p>
      <w:pPr>
        <w:pStyle w:val="Point0"/>
        <w:rPr>
          <w:noProof/>
        </w:rPr>
      </w:pPr>
      <w:r>
        <w:rPr>
          <w:noProof/>
        </w:rPr>
        <w:t>(a)</w:t>
      </w:r>
      <w:r>
        <w:rPr>
          <w:noProof/>
        </w:rPr>
        <w:tab/>
        <w:t xml:space="preserve">na prvom sastanku donosi poslovnik; i </w:t>
      </w:r>
    </w:p>
    <w:p>
      <w:pPr>
        <w:pStyle w:val="Point0"/>
        <w:rPr>
          <w:noProof/>
        </w:rPr>
      </w:pPr>
      <w:r>
        <w:rPr>
          <w:noProof/>
        </w:rPr>
        <w:t>(b)</w:t>
      </w:r>
      <w:r>
        <w:rPr>
          <w:noProof/>
        </w:rPr>
        <w:tab/>
        <w:t xml:space="preserve">na prvom sastanku donosi poslovnik panela i kodeks ponašanja za arbitre kako je navedeno u članku 21.30., te postupak medijacije kako je navedeno u članku 21.6. stavku 2.” </w:t>
      </w:r>
    </w:p>
    <w:p>
      <w:pPr>
        <w:rPr>
          <w:noProof/>
        </w:rPr>
      </w:pPr>
      <w:r>
        <w:rPr>
          <w:noProof/>
        </w:rPr>
        <w:t xml:space="preserve">Sve odluke i preporuke Zajedničkog odbora donose se konsenzusom. </w:t>
      </w:r>
    </w:p>
    <w:p>
      <w:pPr>
        <w:pStyle w:val="ManualHeading2"/>
        <w:rPr>
          <w:noProof/>
        </w:rPr>
      </w:pPr>
      <w:r>
        <w:t>2.3.</w:t>
      </w:r>
      <w:r>
        <w:tab/>
      </w:r>
      <w:r>
        <w:rPr>
          <w:noProof/>
        </w:rPr>
        <w:t>Predviđeni akt Zajedničkog odbora</w:t>
      </w:r>
    </w:p>
    <w:p>
      <w:pPr>
        <w:rPr>
          <w:noProof/>
        </w:rPr>
      </w:pPr>
      <w:r>
        <w:rPr>
          <w:noProof/>
        </w:rPr>
        <w:t>Zajednički odbor na prvom sastanku treba donijeti svoj poslovnik, poslovnik panela, postupak medijacije i kodeks ponašanja za arbitre („predviđeni akt”).</w:t>
      </w:r>
    </w:p>
    <w:p>
      <w:pPr>
        <w:pStyle w:val="ManualHeading1"/>
        <w:rPr>
          <w:noProof/>
        </w:rPr>
      </w:pPr>
      <w:r>
        <w:t>3.</w:t>
      </w:r>
      <w:r>
        <w:tab/>
      </w:r>
      <w:r>
        <w:rPr>
          <w:noProof/>
        </w:rPr>
        <w:t>Stajalište koje treba zauzeti u ime Unije</w:t>
      </w:r>
    </w:p>
    <w:p>
      <w:pPr>
        <w:rPr>
          <w:noProof/>
        </w:rPr>
      </w:pPr>
      <w:r>
        <w:rPr>
          <w:noProof/>
        </w:rPr>
        <w:t>Prijedlogom odluke Vijeća utvrđuje se stajalište koje u ime Unije treba zauzeti u Zajedničkom odboru osnovanom na temelju Sporazuma o gospodarskom partnerstvu između Europske unije i Japana u pogledu donošenja poslovnika Zajedničkog odbora, poslovnika panela, postupka medijacije i kodeksa ponašanja za arbitre.</w:t>
      </w:r>
    </w:p>
    <w:p>
      <w:pPr>
        <w:rPr>
          <w:noProof/>
        </w:rPr>
      </w:pPr>
      <w:r>
        <w:rPr>
          <w:noProof/>
        </w:rPr>
        <w:t>Stranke Sporazuma postigle su dogovor o nacrtima odgovarajućih dokumenata. Te bi dokumente, uz poštovanje EU-ovih postupaka donošenja odluka, trebalo donijeti na prvom sastanku Zajedničkog odbora koji bi se u skladu s člankom 22.1. stavkom 2. trebao održati u roku od tri mjeseca od datuma stupanja na snagu Sporazuma, odnosno najkasnije do svibnja 2019.</w:t>
      </w:r>
    </w:p>
    <w:p>
      <w:pPr>
        <w:rPr>
          <w:noProof/>
        </w:rPr>
      </w:pPr>
      <w:r>
        <w:rPr>
          <w:noProof/>
        </w:rPr>
        <w:t xml:space="preserve">Sadržaj priloženog poslovnika Zajedničkog odbora, poslovnika panela, postupka medijacije i kodeksa ponašanja za arbitre vrlo je sličan dokumentima koje su donijeli zajednički odbori osnovani na temelju drugih trgovinskih sporazuma. </w:t>
      </w:r>
    </w:p>
    <w:p>
      <w:pPr>
        <w:rPr>
          <w:noProof/>
        </w:rPr>
      </w:pPr>
      <w:r>
        <w:rPr>
          <w:noProof/>
        </w:rPr>
        <w:lastRenderedPageBreak/>
        <w:t>Donošenje tih dokumenata ključno je za primjenu odredbi Sporazuma, a posebno za primjenu odredbi poglavlja 21. (Rješavanje sporova) i poglavlja 22. (Institucionalne odredbe).</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mogu „presudno utjecati na sadržaj propisa koje donese zakonodavac Unije”</w:t>
      </w:r>
      <w:r>
        <w:rPr>
          <w:rStyle w:val="FootnoteReference"/>
          <w:noProof/>
        </w:rPr>
        <w:footnoteReference w:id="1"/>
      </w:r>
      <w:r>
        <w:rPr>
          <w:noProof/>
        </w:rPr>
        <w:t>.</w:t>
      </w:r>
    </w:p>
    <w:p>
      <w:pPr>
        <w:pStyle w:val="ManualHeading3"/>
        <w:rPr>
          <w:noProof/>
        </w:rPr>
      </w:pPr>
      <w:r>
        <w:t>4.1.2.</w:t>
      </w:r>
      <w:r>
        <w:tab/>
      </w:r>
      <w:r>
        <w:rPr>
          <w:noProof/>
        </w:rPr>
        <w:t>Primjena u predmetnom slučaju</w:t>
      </w:r>
    </w:p>
    <w:p>
      <w:pPr>
        <w:rPr>
          <w:noProof/>
        </w:rPr>
      </w:pPr>
      <w:r>
        <w:rPr>
          <w:noProof/>
        </w:rPr>
        <w:t>Zajednički odbor tijelo je osnovano sporazumom, točnije Sporazumom o gospodarskom partnerstvu između Europske unije i Japana.</w:t>
      </w:r>
    </w:p>
    <w:p>
      <w:pPr>
        <w:rPr>
          <w:noProof/>
        </w:rPr>
      </w:pPr>
      <w:r>
        <w:rPr>
          <w:noProof/>
        </w:rPr>
        <w:t>Akt koji Zajednički odbor treba donijeti akt je koji proizvodi pravne učinke. Predviđeni akt bit će u skladu s člankom 22.2. Sporazuma obvezujući prema međunarodnom pravu.</w:t>
      </w:r>
    </w:p>
    <w:p>
      <w:pPr>
        <w:rPr>
          <w:noProof/>
        </w:rPr>
      </w:pPr>
      <w:r>
        <w:rPr>
          <w:noProof/>
        </w:rPr>
        <w:t>Predviđenim aktom ne dopunjuje se niti mijenja institucionalni okvir Sporazuma.</w:t>
      </w:r>
    </w:p>
    <w:p>
      <w:pPr>
        <w:rPr>
          <w:noProof/>
        </w:rPr>
      </w:pPr>
      <w:r>
        <w:rPr>
          <w:noProof/>
        </w:rPr>
        <w:t>Stoga je postupovna pravna osnova za predloženu odluku članak 218. stavak 9. UFEU-a.</w:t>
      </w:r>
    </w:p>
    <w:p>
      <w:pPr>
        <w:pStyle w:val="ManualHeading2"/>
        <w:rPr>
          <w:noProof/>
        </w:rPr>
      </w:pPr>
      <w:r>
        <w:t>4.2.</w:t>
      </w:r>
      <w:r>
        <w:tab/>
      </w:r>
      <w:r>
        <w:rPr>
          <w:noProof/>
        </w:rPr>
        <w:t>Materijalnopravna osnova</w:t>
      </w:r>
    </w:p>
    <w:p>
      <w:pPr>
        <w:pStyle w:val="ManualHeading3"/>
        <w:rPr>
          <w:noProof/>
        </w:rPr>
      </w:pPr>
      <w:r>
        <w:t>4.2.1.</w:t>
      </w:r>
      <w:r>
        <w:tab/>
      </w:r>
      <w:r>
        <w:rPr>
          <w:noProof/>
        </w:rPr>
        <w:t>Načela</w:t>
      </w:r>
    </w:p>
    <w:p>
      <w:pPr>
        <w:rPr>
          <w:noProof/>
        </w:rPr>
      </w:pPr>
      <w:r>
        <w:rPr>
          <w:noProof/>
        </w:rPr>
        <w:t>Materijalnopravna osnova odluke na temelju članka 218. stavka 9. UFEU-a prije svega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odnose se na zajedničku trgovinsku politiku.</w:t>
      </w:r>
    </w:p>
    <w:p>
      <w:pPr>
        <w:rPr>
          <w:noProof/>
        </w:rPr>
      </w:pPr>
      <w:r>
        <w:rPr>
          <w:noProof/>
        </w:rPr>
        <w:t>Stoga je materijalnopravna osnova predložene odluke članak 207. UFEU-a.</w:t>
      </w:r>
    </w:p>
    <w:p>
      <w:pPr>
        <w:pStyle w:val="ManualHeading2"/>
        <w:rPr>
          <w:noProof/>
        </w:rPr>
      </w:pPr>
      <w:r>
        <w:t>4.3.</w:t>
      </w:r>
      <w:r>
        <w:tab/>
      </w:r>
      <w:r>
        <w:rPr>
          <w:noProof/>
        </w:rPr>
        <w:t>Zaključak</w:t>
      </w:r>
    </w:p>
    <w:p>
      <w:pPr>
        <w:rPr>
          <w:noProof/>
        </w:rPr>
      </w:pPr>
      <w:r>
        <w:rPr>
          <w:noProof/>
        </w:rPr>
        <w:t>Pravna osnova predložene odluke trebao bi biti članak 207. UFEU-a u vezi s člankom 218. stavkom 9. UFEU-a.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2019/0082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Zajedničkom odboru osnovanom u skladu sa Sporazumom o gospodarskom partnerstvu između Europske unije i Japana u pogledu donošenja poslovnika Zajedničkog odbora, poslovnika panela, postupka medijacije i kodeksa ponašanja za arbitre</w:t>
      </w:r>
    </w:p>
    <w:p>
      <w:pPr>
        <w:pStyle w:val="Institutionquiagit"/>
        <w:rPr>
          <w:noProof/>
        </w:rPr>
      </w:pPr>
      <w:r>
        <w:rPr>
          <w:noProof/>
        </w:rPr>
        <w:t>VIJEĆE EUROPSKE UNIJE,</w:t>
      </w:r>
    </w:p>
    <w:p>
      <w:pPr>
        <w:rPr>
          <w:noProof/>
        </w:rPr>
      </w:pPr>
      <w:r>
        <w:rPr>
          <w:noProof/>
        </w:rPr>
        <w:t>uzimajući u obzir Ugovor o funkcioniranju Europske unije, a posebno njegov članak 207. stavak 3. i članak 207. stavak 4. prvi podstavak,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Sporazum o gospodarskom partnerstvu između Europske unije i Japana („Sporazum”) odobren je u ime Unije 20. prosinca 2018.</w:t>
      </w:r>
    </w:p>
    <w:p>
      <w:pPr>
        <w:pStyle w:val="ManualConsidrant"/>
        <w:rPr>
          <w:noProof/>
        </w:rPr>
      </w:pPr>
      <w:r>
        <w:t>(2)</w:t>
      </w:r>
      <w:r>
        <w:tab/>
      </w:r>
      <w:r>
        <w:rPr>
          <w:noProof/>
        </w:rPr>
        <w:t>U skladu s člankom 22.1. stavkom 4. točkama (e) i (f) Sporazuma Zajednički odbor na prvom sastanku treba donijeti svoj poslovnik, poslovnik panela i kodeks ponašanja za arbitre kako je navedeno u članku 21.30. te postupak medijacije kako je navedeno u članku 21.6. stavku 2. Sporazuma.</w:t>
      </w:r>
    </w:p>
    <w:p>
      <w:pPr>
        <w:pStyle w:val="ManualConsidrant"/>
        <w:rPr>
          <w:noProof/>
        </w:rPr>
      </w:pPr>
      <w:r>
        <w:t>(3)</w:t>
      </w:r>
      <w:r>
        <w:tab/>
      </w:r>
      <w:r>
        <w:rPr>
          <w:noProof/>
        </w:rPr>
        <w:t>Budući da će predviđena odluka Zajedničkog odbora biti obvezujuća za Uniju, primjereno je utvrditi stajalište koje treba zauzeti u ime Unije u Zajedničkom odboru.</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Stajalište koje treba zauzeti u ime Unije na prvom sastanku Zajedničkog odbora osnovanog na temelju Sporazuma o gospodarskom partnerstvu između Europske unije i Japana u pogledu njegova poslovnika, poslovnika panela, kodeksa ponašanja za arbitre i postupka medijacije temelji se na nacrtu odluke Zajedničkog odbora, uključujući njegove priloge, koji je priložen ovoj Odluci.</w:t>
      </w:r>
    </w:p>
    <w:p>
      <w:pPr>
        <w:pStyle w:val="Titrearticle"/>
        <w:rPr>
          <w:noProof/>
        </w:rPr>
      </w:pPr>
      <w:r>
        <w:rPr>
          <w:noProof/>
        </w:rPr>
        <w:t>Članak 2.</w:t>
      </w:r>
    </w:p>
    <w:p>
      <w:pPr>
        <w:rPr>
          <w:noProof/>
        </w:rPr>
      </w:pPr>
      <w:r>
        <w:rPr>
          <w:noProof/>
        </w:rPr>
        <w:t>Ova odluka upućena je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Presuda Suda Europske unije od 7. listopada 2014., Njemačka protiv Vijeća, C-399/12, ECLI:EU:C:2014:2258, točke od 61. do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829C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CE4D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A72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602A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403F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06DB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9A025C"/>
    <w:lvl w:ilvl="0">
      <w:start w:val="1"/>
      <w:numFmt w:val="decimal"/>
      <w:pStyle w:val="ListNumber"/>
      <w:lvlText w:val="%1."/>
      <w:lvlJc w:val="left"/>
      <w:pPr>
        <w:tabs>
          <w:tab w:val="num" w:pos="360"/>
        </w:tabs>
        <w:ind w:left="360" w:hanging="360"/>
      </w:pPr>
    </w:lvl>
  </w:abstractNum>
  <w:abstractNum w:abstractNumId="7">
    <w:nsid w:val="FFFFFF89"/>
    <w:multiLevelType w:val="singleLevel"/>
    <w:tmpl w:val="D5B8A3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1:16: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3C02E3-950F-4E45-9A19-A70260D8BC93"/>
    <w:docVar w:name="LW_COVERPAGE_TYPE" w:val="1"/>
    <w:docVar w:name="LW_CROSSREFERENCE" w:val="&lt;UNUSED&gt;"/>
    <w:docVar w:name="LW_DocType" w:val="COM"/>
    <w:docVar w:name="LW_EMISSION" w:val="15.3.2019."/>
    <w:docVar w:name="LW_EMISSION_ISODATE" w:val="2019-03-15"/>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82"/>
    <w:docVar w:name="LW_REF.II.NEW.CP_YEAR" w:val="2019"/>
    <w:docVar w:name="LW_REF.INST.NEW" w:val="COM"/>
    <w:docVar w:name="LW_REF.INST.NEW_ADOPTED" w:val="final"/>
    <w:docVar w:name="LW_REF.INST.NEW_TEXT" w:val="(2019) 1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Zajedni\u269?kom odboru osnovanom u skladu sa Sporazumom o gospodarskom partnerstvu izme\u273?u Europske unije i Japana u pogledu dono\u353?enja poslovnika Zajedni\u269?kog odbora, poslovnika panela, postupka medijacije i kodeksa pona\u353?anja za arbitre"/>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647">
      <w:bodyDiv w:val="1"/>
      <w:marLeft w:val="0"/>
      <w:marRight w:val="0"/>
      <w:marTop w:val="0"/>
      <w:marBottom w:val="0"/>
      <w:divBdr>
        <w:top w:val="none" w:sz="0" w:space="0" w:color="auto"/>
        <w:left w:val="none" w:sz="0" w:space="0" w:color="auto"/>
        <w:bottom w:val="none" w:sz="0" w:space="0" w:color="auto"/>
        <w:right w:val="none" w:sz="0" w:space="0" w:color="auto"/>
      </w:divBdr>
    </w:div>
    <w:div w:id="3858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F408-3802-4ADA-AC05-47D647CA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928</Words>
  <Characters>5490</Characters>
  <Application>Microsoft Office Word</Application>
  <DocSecurity>0</DocSecurity>
  <Lines>109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2019-03-01T11:36:00Z</cp:lastPrinted>
  <dcterms:created xsi:type="dcterms:W3CDTF">2019-03-07T10:30:00Z</dcterms:created>
  <dcterms:modified xsi:type="dcterms:W3CDTF">2019-03-11T10:16:00Z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