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E60BA92-2009-4D50-AB85-4EABBF118242" style="width:450.35pt;height:293.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center"/>
        <w:rPr>
          <w:rFonts w:ascii="Times New Roman" w:hAnsi="Times New Roman"/>
          <w:b/>
          <w:noProof/>
          <w:sz w:val="24"/>
        </w:rPr>
      </w:pPr>
      <w:bookmarkStart w:id="1" w:name="_GoBack"/>
      <w:bookmarkEnd w:id="1"/>
      <w:r>
        <w:rPr>
          <w:rFonts w:ascii="Times New Roman" w:hAnsi="Times New Roman"/>
          <w:b/>
          <w:noProof/>
          <w:sz w:val="24"/>
        </w:rPr>
        <w:lastRenderedPageBreak/>
        <w:t>RAPPORT FRA KOMMISSIONEN TIL EUROPA-PARLAMENTET OG RÅDET</w:t>
      </w:r>
    </w:p>
    <w:p>
      <w:pPr>
        <w:spacing w:after="0" w:line="240" w:lineRule="auto"/>
        <w:jc w:val="center"/>
        <w:rPr>
          <w:rFonts w:ascii="Times New Roman" w:hAnsi="Times New Roman"/>
          <w:b/>
          <w:noProof/>
          <w:sz w:val="24"/>
        </w:rPr>
      </w:pPr>
    </w:p>
    <w:p>
      <w:pPr>
        <w:spacing w:after="0" w:line="240" w:lineRule="auto"/>
        <w:jc w:val="center"/>
        <w:rPr>
          <w:rFonts w:ascii="Times New Roman" w:hAnsi="Times New Roman"/>
          <w:b/>
          <w:noProof/>
          <w:sz w:val="24"/>
        </w:rPr>
      </w:pPr>
      <w:r>
        <w:rPr>
          <w:rFonts w:ascii="Times New Roman" w:hAnsi="Times New Roman"/>
          <w:b/>
          <w:noProof/>
          <w:sz w:val="24"/>
        </w:rPr>
        <w:t>om kvaliteten af de budgetdata, medlemsstaterne indberettede i 2018</w:t>
      </w:r>
    </w:p>
    <w:p>
      <w:pPr>
        <w:spacing w:after="0" w:line="240" w:lineRule="auto"/>
        <w:jc w:val="center"/>
        <w:rPr>
          <w:rFonts w:ascii="Times New Roman" w:hAnsi="Times New Roman"/>
          <w:b/>
          <w:noProof/>
          <w:sz w:val="24"/>
        </w:rPr>
      </w:pPr>
    </w:p>
    <w:p>
      <w:pPr>
        <w:spacing w:before="120" w:after="240" w:line="240" w:lineRule="auto"/>
        <w:jc w:val="center"/>
        <w:rPr>
          <w:rFonts w:ascii="Times New Roman" w:eastAsia="Times New Roman" w:hAnsi="Times New Roman"/>
          <w:b/>
          <w:noProof/>
          <w:sz w:val="24"/>
          <w:szCs w:val="24"/>
        </w:rPr>
      </w:pPr>
      <w:r>
        <w:rPr>
          <w:rFonts w:ascii="Times New Roman" w:hAnsi="Times New Roman"/>
          <w:b/>
          <w:noProof/>
          <w:sz w:val="24"/>
        </w:rPr>
        <w:t>INDHOLD</w:t>
      </w:r>
    </w:p>
    <w:p>
      <w:pPr>
        <w:spacing w:before="120" w:after="240" w:line="240" w:lineRule="auto"/>
        <w:jc w:val="center"/>
        <w:rPr>
          <w:rFonts w:ascii="Times New Roman" w:eastAsia="Times New Roman" w:hAnsi="Times New Roman"/>
          <w:b/>
          <w:noProof/>
          <w:sz w:val="28"/>
        </w:rPr>
      </w:pPr>
    </w:p>
    <w:bookmarkStart w:id="2" w:name="_Toc342558477"/>
    <w:p>
      <w:pPr>
        <w:pStyle w:val="TOC1"/>
        <w:tabs>
          <w:tab w:val="left" w:pos="440"/>
          <w:tab w:val="right" w:leader="dot" w:pos="9016"/>
        </w:tabs>
        <w:rPr>
          <w:rFonts w:asciiTheme="minorHAnsi" w:eastAsiaTheme="minorEastAsia" w:hAnsiTheme="minorHAnsi" w:cstheme="minorBidi"/>
          <w:noProof/>
          <w:lang w:val="en-GB" w:eastAsia="en-GB" w:bidi="ar-SA"/>
        </w:rPr>
      </w:pPr>
      <w:r>
        <w:rPr>
          <w:rFonts w:ascii="Times New Roman" w:eastAsia="Times New Roman" w:hAnsi="Times New Roman"/>
          <w:noProof/>
        </w:rPr>
        <w:fldChar w:fldCharType="begin"/>
      </w:r>
      <w:r>
        <w:rPr>
          <w:rFonts w:ascii="Times New Roman" w:eastAsia="Times New Roman" w:hAnsi="Times New Roman"/>
          <w:noProof/>
        </w:rPr>
        <w:instrText xml:space="preserve"> TOC \o "1-3" \h \z \u </w:instrText>
      </w:r>
      <w:r>
        <w:rPr>
          <w:rFonts w:ascii="Times New Roman" w:eastAsia="Times New Roman" w:hAnsi="Times New Roman"/>
          <w:noProof/>
        </w:rPr>
        <w:fldChar w:fldCharType="separate"/>
      </w:r>
      <w:hyperlink w:anchor="_Toc2169750" w:history="1">
        <w:r>
          <w:rPr>
            <w:rStyle w:val="Hyperlink"/>
            <w:rFonts w:ascii="Times New Roman" w:eastAsia="Times New Roman" w:hAnsi="Times New Roman"/>
            <w:b/>
            <w:bCs/>
            <w:smallCaps/>
            <w:noProof/>
          </w:rPr>
          <w:t>1.</w:t>
        </w:r>
        <w:r>
          <w:rPr>
            <w:rFonts w:asciiTheme="minorHAnsi" w:eastAsiaTheme="minorEastAsia" w:hAnsiTheme="minorHAnsi" w:cstheme="minorBidi"/>
            <w:noProof/>
            <w:lang w:val="en-GB" w:eastAsia="en-GB" w:bidi="ar-SA"/>
          </w:rPr>
          <w:tab/>
        </w:r>
        <w:r>
          <w:rPr>
            <w:rStyle w:val="Hyperlink"/>
            <w:rFonts w:ascii="Times New Roman" w:hAnsi="Times New Roman"/>
            <w:b/>
            <w:smallCaps/>
            <w:noProof/>
          </w:rPr>
          <w:t>Baggrund</w:t>
        </w:r>
        <w:r>
          <w:rPr>
            <w:noProof/>
            <w:webHidden/>
          </w:rPr>
          <w:tab/>
        </w:r>
        <w:r>
          <w:rPr>
            <w:noProof/>
            <w:webHidden/>
          </w:rPr>
          <w:fldChar w:fldCharType="begin"/>
        </w:r>
        <w:r>
          <w:rPr>
            <w:noProof/>
            <w:webHidden/>
          </w:rPr>
          <w:instrText xml:space="preserve"> PAGEREF _Toc2169750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16"/>
        </w:tabs>
        <w:rPr>
          <w:rFonts w:asciiTheme="minorHAnsi" w:eastAsiaTheme="minorEastAsia" w:hAnsiTheme="minorHAnsi" w:cstheme="minorBidi"/>
          <w:noProof/>
          <w:lang w:val="en-GB" w:eastAsia="en-GB" w:bidi="ar-SA"/>
        </w:rPr>
      </w:pPr>
      <w:hyperlink w:anchor="_Toc2169751" w:history="1">
        <w:r>
          <w:rPr>
            <w:rStyle w:val="Hyperlink"/>
            <w:rFonts w:ascii="Times New Roman" w:eastAsia="Times New Roman" w:hAnsi="Times New Roman"/>
            <w:b/>
            <w:bCs/>
            <w:smallCaps/>
            <w:noProof/>
          </w:rPr>
          <w:t>2.</w:t>
        </w:r>
        <w:r>
          <w:rPr>
            <w:rFonts w:asciiTheme="minorHAnsi" w:eastAsiaTheme="minorEastAsia" w:hAnsiTheme="minorHAnsi" w:cstheme="minorBidi"/>
            <w:noProof/>
            <w:lang w:val="en-GB" w:eastAsia="en-GB" w:bidi="ar-SA"/>
          </w:rPr>
          <w:tab/>
        </w:r>
        <w:r>
          <w:rPr>
            <w:rStyle w:val="Hyperlink"/>
            <w:rFonts w:ascii="Times New Roman" w:hAnsi="Times New Roman"/>
            <w:b/>
            <w:smallCaps/>
            <w:noProof/>
          </w:rPr>
          <w:t>Vigtigste konstateringer vedrørende rapporten for 2018 om det offentlige underskud og den offentlige gæld</w:t>
        </w:r>
        <w:r>
          <w:rPr>
            <w:noProof/>
            <w:webHidden/>
          </w:rPr>
          <w:tab/>
        </w:r>
        <w:r>
          <w:rPr>
            <w:noProof/>
            <w:webHidden/>
          </w:rPr>
          <w:fldChar w:fldCharType="begin"/>
        </w:r>
        <w:r>
          <w:rPr>
            <w:noProof/>
            <w:webHidden/>
          </w:rPr>
          <w:instrText xml:space="preserve"> PAGEREF _Toc2169751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lang w:val="en-GB" w:eastAsia="en-GB" w:bidi="ar-SA"/>
        </w:rPr>
      </w:pPr>
      <w:hyperlink w:anchor="_Toc2169752" w:history="1">
        <w:r>
          <w:rPr>
            <w:rStyle w:val="Hyperlink"/>
            <w:rFonts w:eastAsia="Times New Roman"/>
            <w:b/>
            <w:bCs/>
          </w:rPr>
          <w:t>2.1.</w:t>
        </w:r>
        <w:r>
          <w:rPr>
            <w:rFonts w:asciiTheme="minorHAnsi" w:eastAsiaTheme="minorEastAsia" w:hAnsiTheme="minorHAnsi" w:cstheme="minorBidi"/>
            <w:lang w:val="en-GB" w:eastAsia="en-GB" w:bidi="ar-SA"/>
          </w:rPr>
          <w:tab/>
        </w:r>
        <w:r>
          <w:rPr>
            <w:rStyle w:val="Hyperlink"/>
            <w:b/>
          </w:rPr>
          <w:t>Aktualitet, pålidelighed og fuldstændighed</w:t>
        </w:r>
        <w:r>
          <w:rPr>
            <w:webHidden/>
          </w:rPr>
          <w:tab/>
        </w:r>
        <w:r>
          <w:rPr>
            <w:webHidden/>
          </w:rPr>
          <w:fldChar w:fldCharType="begin"/>
        </w:r>
        <w:r>
          <w:rPr>
            <w:webHidden/>
          </w:rPr>
          <w:instrText xml:space="preserve"> PAGEREF _Toc2169752 \h </w:instrText>
        </w:r>
        <w:r>
          <w:rPr>
            <w:webHidden/>
          </w:rPr>
        </w:r>
        <w:r>
          <w:rPr>
            <w:webHidden/>
          </w:rPr>
          <w:fldChar w:fldCharType="separate"/>
        </w:r>
        <w:r>
          <w:rPr>
            <w:webHidden/>
          </w:rPr>
          <w:t>2</w:t>
        </w:r>
        <w:r>
          <w:rPr>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53" w:history="1">
        <w:r>
          <w:rPr>
            <w:rStyle w:val="Hyperlink"/>
            <w:rFonts w:ascii="Times New Roman" w:eastAsia="Times New Roman" w:hAnsi="Times New Roman"/>
            <w:b/>
            <w:bCs/>
            <w:i/>
            <w:noProof/>
          </w:rPr>
          <w:t>2.1.1.</w:t>
        </w:r>
        <w:r>
          <w:rPr>
            <w:rFonts w:asciiTheme="minorHAnsi" w:eastAsiaTheme="minorEastAsia" w:hAnsiTheme="minorHAnsi" w:cstheme="minorBidi"/>
            <w:noProof/>
            <w:lang w:val="en-GB" w:eastAsia="en-GB" w:bidi="ar-SA"/>
          </w:rPr>
          <w:tab/>
        </w:r>
        <w:r>
          <w:rPr>
            <w:rStyle w:val="Hyperlink"/>
            <w:rFonts w:ascii="Times New Roman" w:hAnsi="Times New Roman"/>
            <w:b/>
            <w:i/>
            <w:noProof/>
          </w:rPr>
          <w:t>Aktualitet</w:t>
        </w:r>
        <w:r>
          <w:rPr>
            <w:noProof/>
            <w:webHidden/>
          </w:rPr>
          <w:tab/>
        </w:r>
        <w:r>
          <w:rPr>
            <w:noProof/>
            <w:webHidden/>
          </w:rPr>
          <w:fldChar w:fldCharType="begin"/>
        </w:r>
        <w:r>
          <w:rPr>
            <w:noProof/>
            <w:webHidden/>
          </w:rPr>
          <w:instrText xml:space="preserve"> PAGEREF _Toc2169753 \h </w:instrText>
        </w:r>
        <w:r>
          <w:rPr>
            <w:noProof/>
            <w:webHidden/>
          </w:rPr>
        </w:r>
        <w:r>
          <w:rPr>
            <w:noProof/>
            <w:webHidden/>
          </w:rPr>
          <w:fldChar w:fldCharType="separate"/>
        </w:r>
        <w:r>
          <w:rPr>
            <w:noProof/>
            <w:webHidden/>
          </w:rPr>
          <w:t>2</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54" w:history="1">
        <w:r>
          <w:rPr>
            <w:rStyle w:val="Hyperlink"/>
            <w:rFonts w:ascii="Times New Roman" w:eastAsia="Times New Roman" w:hAnsi="Times New Roman"/>
            <w:b/>
            <w:bCs/>
            <w:i/>
            <w:noProof/>
          </w:rPr>
          <w:t>2.1.2.</w:t>
        </w:r>
        <w:r>
          <w:rPr>
            <w:rFonts w:asciiTheme="minorHAnsi" w:eastAsiaTheme="minorEastAsia" w:hAnsiTheme="minorHAnsi" w:cstheme="minorBidi"/>
            <w:noProof/>
            <w:lang w:val="en-GB" w:eastAsia="en-GB" w:bidi="ar-SA"/>
          </w:rPr>
          <w:tab/>
        </w:r>
        <w:r>
          <w:rPr>
            <w:rStyle w:val="Hyperlink"/>
            <w:rFonts w:ascii="Times New Roman" w:hAnsi="Times New Roman"/>
            <w:b/>
            <w:i/>
            <w:noProof/>
          </w:rPr>
          <w:t>Pålidelighed</w:t>
        </w:r>
        <w:r>
          <w:rPr>
            <w:noProof/>
            <w:webHidden/>
          </w:rPr>
          <w:tab/>
        </w:r>
        <w:r>
          <w:rPr>
            <w:noProof/>
            <w:webHidden/>
          </w:rPr>
          <w:fldChar w:fldCharType="begin"/>
        </w:r>
        <w:r>
          <w:rPr>
            <w:noProof/>
            <w:webHidden/>
          </w:rPr>
          <w:instrText xml:space="preserve"> PAGEREF _Toc2169754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55" w:history="1">
        <w:r>
          <w:rPr>
            <w:rStyle w:val="Hyperlink"/>
            <w:rFonts w:ascii="Times New Roman" w:eastAsia="Times New Roman" w:hAnsi="Times New Roman"/>
            <w:b/>
            <w:bCs/>
            <w:i/>
            <w:noProof/>
          </w:rPr>
          <w:t>2.1.3.</w:t>
        </w:r>
        <w:r>
          <w:rPr>
            <w:rFonts w:asciiTheme="minorHAnsi" w:eastAsiaTheme="minorEastAsia" w:hAnsiTheme="minorHAnsi" w:cstheme="minorBidi"/>
            <w:noProof/>
            <w:lang w:val="en-GB" w:eastAsia="en-GB" w:bidi="ar-SA"/>
          </w:rPr>
          <w:tab/>
        </w:r>
        <w:r>
          <w:rPr>
            <w:rStyle w:val="Hyperlink"/>
            <w:rFonts w:ascii="Times New Roman" w:hAnsi="Times New Roman"/>
            <w:b/>
            <w:i/>
            <w:noProof/>
          </w:rPr>
          <w:t>Skemaernes fuldstændighed og supplerende oplysninger</w:t>
        </w:r>
        <w:r>
          <w:rPr>
            <w:noProof/>
            <w:webHidden/>
          </w:rPr>
          <w:tab/>
        </w:r>
        <w:r>
          <w:rPr>
            <w:noProof/>
            <w:webHidden/>
          </w:rPr>
          <w:fldChar w:fldCharType="begin"/>
        </w:r>
        <w:r>
          <w:rPr>
            <w:noProof/>
            <w:webHidden/>
          </w:rPr>
          <w:instrText xml:space="preserve"> PAGEREF _Toc2169755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56" w:history="1">
        <w:r>
          <w:rPr>
            <w:rStyle w:val="Hyperlink"/>
            <w:rFonts w:ascii="Times New Roman" w:eastAsia="Times New Roman" w:hAnsi="Times New Roman"/>
            <w:b/>
            <w:bCs/>
            <w:i/>
            <w:noProof/>
          </w:rPr>
          <w:t>2.1.4.</w:t>
        </w:r>
        <w:r>
          <w:rPr>
            <w:rFonts w:asciiTheme="minorHAnsi" w:eastAsiaTheme="minorEastAsia" w:hAnsiTheme="minorHAnsi" w:cstheme="minorBidi"/>
            <w:noProof/>
            <w:lang w:val="en-GB" w:eastAsia="en-GB" w:bidi="ar-SA"/>
          </w:rPr>
          <w:tab/>
        </w:r>
        <w:r>
          <w:rPr>
            <w:rStyle w:val="Hyperlink"/>
            <w:rFonts w:ascii="Times New Roman" w:hAnsi="Times New Roman"/>
            <w:b/>
            <w:i/>
            <w:noProof/>
          </w:rPr>
          <w:t>Supplerende skema til indberetning af offentlige indgreb til støtte for finansielle institutioner</w:t>
        </w:r>
        <w:r>
          <w:rPr>
            <w:noProof/>
            <w:webHidden/>
          </w:rPr>
          <w:tab/>
        </w:r>
        <w:r>
          <w:rPr>
            <w:noProof/>
            <w:webHidden/>
          </w:rPr>
          <w:fldChar w:fldCharType="begin"/>
        </w:r>
        <w:r>
          <w:rPr>
            <w:noProof/>
            <w:webHidden/>
          </w:rPr>
          <w:instrText xml:space="preserve"> PAGEREF _Toc2169756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57" w:history="1">
        <w:r>
          <w:rPr>
            <w:rStyle w:val="Hyperlink"/>
            <w:rFonts w:ascii="Times New Roman" w:eastAsia="Times New Roman" w:hAnsi="Times New Roman"/>
            <w:b/>
            <w:bCs/>
            <w:i/>
            <w:noProof/>
          </w:rPr>
          <w:t>2.1.5.</w:t>
        </w:r>
        <w:r>
          <w:rPr>
            <w:rFonts w:asciiTheme="minorHAnsi" w:eastAsiaTheme="minorEastAsia" w:hAnsiTheme="minorHAnsi" w:cstheme="minorBidi"/>
            <w:noProof/>
            <w:lang w:val="en-GB" w:eastAsia="en-GB" w:bidi="ar-SA"/>
          </w:rPr>
          <w:tab/>
        </w:r>
        <w:r>
          <w:rPr>
            <w:rStyle w:val="Hyperlink"/>
            <w:rFonts w:ascii="Times New Roman" w:hAnsi="Times New Roman"/>
            <w:b/>
            <w:i/>
            <w:noProof/>
          </w:rPr>
          <w:t>Spørgeskema om mellemstatslig långivning</w:t>
        </w:r>
        <w:r>
          <w:rPr>
            <w:noProof/>
            <w:webHidden/>
          </w:rPr>
          <w:tab/>
        </w:r>
        <w:r>
          <w:rPr>
            <w:noProof/>
            <w:webHidden/>
          </w:rPr>
          <w:fldChar w:fldCharType="begin"/>
        </w:r>
        <w:r>
          <w:rPr>
            <w:noProof/>
            <w:webHidden/>
          </w:rPr>
          <w:instrText xml:space="preserve"> PAGEREF _Toc2169757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lang w:val="en-GB" w:eastAsia="en-GB" w:bidi="ar-SA"/>
        </w:rPr>
      </w:pPr>
      <w:hyperlink w:anchor="_Toc2169758" w:history="1">
        <w:r>
          <w:rPr>
            <w:rStyle w:val="Hyperlink"/>
            <w:rFonts w:eastAsia="Times New Roman"/>
            <w:b/>
            <w:bCs/>
          </w:rPr>
          <w:t>2.2.</w:t>
        </w:r>
        <w:r>
          <w:rPr>
            <w:rFonts w:asciiTheme="minorHAnsi" w:eastAsiaTheme="minorEastAsia" w:hAnsiTheme="minorHAnsi" w:cstheme="minorBidi"/>
            <w:lang w:val="en-GB" w:eastAsia="en-GB" w:bidi="ar-SA"/>
          </w:rPr>
          <w:tab/>
        </w:r>
        <w:r>
          <w:rPr>
            <w:rStyle w:val="Hyperlink"/>
            <w:b/>
          </w:rPr>
          <w:t>Overholdelse af regnskabsregler og de statistiske datas konsistens</w:t>
        </w:r>
        <w:r>
          <w:rPr>
            <w:webHidden/>
          </w:rPr>
          <w:tab/>
        </w:r>
        <w:r>
          <w:rPr>
            <w:webHidden/>
          </w:rPr>
          <w:fldChar w:fldCharType="begin"/>
        </w:r>
        <w:r>
          <w:rPr>
            <w:webHidden/>
          </w:rPr>
          <w:instrText xml:space="preserve"> PAGEREF _Toc2169758 \h </w:instrText>
        </w:r>
        <w:r>
          <w:rPr>
            <w:webHidden/>
          </w:rPr>
        </w:r>
        <w:r>
          <w:rPr>
            <w:webHidden/>
          </w:rPr>
          <w:fldChar w:fldCharType="separate"/>
        </w:r>
        <w:r>
          <w:rPr>
            <w:webHidden/>
          </w:rPr>
          <w:t>5</w:t>
        </w:r>
        <w:r>
          <w:rPr>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59" w:history="1">
        <w:r>
          <w:rPr>
            <w:rStyle w:val="Hyperlink"/>
            <w:rFonts w:ascii="Times New Roman" w:eastAsia="Times New Roman" w:hAnsi="Times New Roman"/>
            <w:b/>
            <w:bCs/>
            <w:i/>
            <w:noProof/>
          </w:rPr>
          <w:t>2.2.1.</w:t>
        </w:r>
        <w:r>
          <w:rPr>
            <w:rFonts w:asciiTheme="minorHAnsi" w:eastAsiaTheme="minorEastAsia" w:hAnsiTheme="minorHAnsi" w:cstheme="minorBidi"/>
            <w:noProof/>
            <w:lang w:val="en-GB" w:eastAsia="en-GB" w:bidi="ar-SA"/>
          </w:rPr>
          <w:tab/>
        </w:r>
        <w:r>
          <w:rPr>
            <w:rStyle w:val="Hyperlink"/>
            <w:rFonts w:ascii="Times New Roman" w:hAnsi="Times New Roman"/>
            <w:b/>
            <w:i/>
            <w:noProof/>
          </w:rPr>
          <w:t>Udveksling af oplysninger og redegørelser</w:t>
        </w:r>
        <w:r>
          <w:rPr>
            <w:noProof/>
            <w:webHidden/>
          </w:rPr>
          <w:tab/>
        </w:r>
        <w:r>
          <w:rPr>
            <w:noProof/>
            <w:webHidden/>
          </w:rPr>
          <w:fldChar w:fldCharType="begin"/>
        </w:r>
        <w:r>
          <w:rPr>
            <w:noProof/>
            <w:webHidden/>
          </w:rPr>
          <w:instrText xml:space="preserve"> PAGEREF _Toc2169759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60" w:history="1">
        <w:r>
          <w:rPr>
            <w:rStyle w:val="Hyperlink"/>
            <w:rFonts w:ascii="Times New Roman" w:eastAsia="Times New Roman" w:hAnsi="Times New Roman"/>
            <w:b/>
            <w:bCs/>
            <w:i/>
            <w:noProof/>
          </w:rPr>
          <w:t>2.2.2.</w:t>
        </w:r>
        <w:r>
          <w:rPr>
            <w:rFonts w:asciiTheme="minorHAnsi" w:eastAsiaTheme="minorEastAsia" w:hAnsiTheme="minorHAnsi" w:cstheme="minorBidi"/>
            <w:noProof/>
            <w:lang w:val="en-GB" w:eastAsia="en-GB" w:bidi="ar-SA"/>
          </w:rPr>
          <w:tab/>
        </w:r>
        <w:r>
          <w:rPr>
            <w:rStyle w:val="Hyperlink"/>
            <w:rFonts w:ascii="Times New Roman" w:hAnsi="Times New Roman"/>
            <w:b/>
            <w:i/>
            <w:noProof/>
          </w:rPr>
          <w:t>Dialogbesøg og metodologiske besøg</w:t>
        </w:r>
        <w:r>
          <w:rPr>
            <w:noProof/>
            <w:webHidden/>
          </w:rPr>
          <w:tab/>
        </w:r>
        <w:r>
          <w:rPr>
            <w:noProof/>
            <w:webHidden/>
          </w:rPr>
          <w:fldChar w:fldCharType="begin"/>
        </w:r>
        <w:r>
          <w:rPr>
            <w:noProof/>
            <w:webHidden/>
          </w:rPr>
          <w:instrText xml:space="preserve"> PAGEREF _Toc2169760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61" w:history="1">
        <w:r>
          <w:rPr>
            <w:rStyle w:val="Hyperlink"/>
            <w:rFonts w:ascii="Times New Roman" w:eastAsia="Times New Roman" w:hAnsi="Times New Roman"/>
            <w:b/>
            <w:bCs/>
            <w:i/>
            <w:noProof/>
          </w:rPr>
          <w:t>2.2.3.</w:t>
        </w:r>
        <w:r>
          <w:rPr>
            <w:rFonts w:asciiTheme="minorHAnsi" w:eastAsiaTheme="minorEastAsia" w:hAnsiTheme="minorHAnsi" w:cstheme="minorBidi"/>
            <w:noProof/>
            <w:lang w:val="en-GB" w:eastAsia="en-GB" w:bidi="ar-SA"/>
          </w:rPr>
          <w:tab/>
        </w:r>
        <w:r>
          <w:rPr>
            <w:rStyle w:val="Hyperlink"/>
            <w:rFonts w:ascii="Times New Roman" w:hAnsi="Times New Roman"/>
            <w:b/>
            <w:i/>
            <w:noProof/>
          </w:rPr>
          <w:t>Særlig rådgivning ydet af Eurostat</w:t>
        </w:r>
        <w:r>
          <w:rPr>
            <w:noProof/>
            <w:webHidden/>
          </w:rPr>
          <w:tab/>
        </w:r>
        <w:r>
          <w:rPr>
            <w:noProof/>
            <w:webHidden/>
          </w:rPr>
          <w:fldChar w:fldCharType="begin"/>
        </w:r>
        <w:r>
          <w:rPr>
            <w:noProof/>
            <w:webHidden/>
          </w:rPr>
          <w:instrText xml:space="preserve"> PAGEREF _Toc2169761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62" w:history="1">
        <w:r>
          <w:rPr>
            <w:rStyle w:val="Hyperlink"/>
            <w:rFonts w:ascii="Times New Roman" w:eastAsia="Times New Roman" w:hAnsi="Times New Roman"/>
            <w:b/>
            <w:bCs/>
            <w:i/>
            <w:noProof/>
          </w:rPr>
          <w:t>2.2.4.</w:t>
        </w:r>
        <w:r>
          <w:rPr>
            <w:rFonts w:asciiTheme="minorHAnsi" w:eastAsiaTheme="minorEastAsia" w:hAnsiTheme="minorHAnsi" w:cstheme="minorBidi"/>
            <w:noProof/>
            <w:lang w:val="en-GB" w:eastAsia="en-GB" w:bidi="ar-SA"/>
          </w:rPr>
          <w:tab/>
        </w:r>
        <w:r>
          <w:rPr>
            <w:rStyle w:val="Hyperlink"/>
            <w:rFonts w:ascii="Times New Roman" w:hAnsi="Times New Roman"/>
            <w:b/>
            <w:i/>
            <w:noProof/>
          </w:rPr>
          <w:t>Nyere metodologiske spørgsmål</w:t>
        </w:r>
        <w:r>
          <w:rPr>
            <w:noProof/>
            <w:webHidden/>
          </w:rPr>
          <w:tab/>
        </w:r>
        <w:r>
          <w:rPr>
            <w:noProof/>
            <w:webHidden/>
          </w:rPr>
          <w:fldChar w:fldCharType="begin"/>
        </w:r>
        <w:r>
          <w:rPr>
            <w:noProof/>
            <w:webHidden/>
          </w:rPr>
          <w:instrText xml:space="preserve"> PAGEREF _Toc2169762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63" w:history="1">
        <w:r>
          <w:rPr>
            <w:rStyle w:val="Hyperlink"/>
            <w:rFonts w:ascii="Times New Roman" w:eastAsia="Times New Roman" w:hAnsi="Times New Roman"/>
            <w:b/>
            <w:bCs/>
            <w:i/>
            <w:noProof/>
          </w:rPr>
          <w:t>2.2.5.</w:t>
        </w:r>
        <w:r>
          <w:rPr>
            <w:rFonts w:asciiTheme="minorHAnsi" w:eastAsiaTheme="minorEastAsia" w:hAnsiTheme="minorHAnsi" w:cstheme="minorBidi"/>
            <w:noProof/>
            <w:lang w:val="en-GB" w:eastAsia="en-GB" w:bidi="ar-SA"/>
          </w:rPr>
          <w:tab/>
        </w:r>
        <w:r>
          <w:rPr>
            <w:rStyle w:val="Hyperlink"/>
            <w:rFonts w:ascii="Times New Roman" w:hAnsi="Times New Roman"/>
            <w:b/>
            <w:i/>
            <w:noProof/>
          </w:rPr>
          <w:t>Overensstemmelse med de tilgrundliggende offentlige regnskaber</w:t>
        </w:r>
        <w:r>
          <w:rPr>
            <w:noProof/>
            <w:webHidden/>
          </w:rPr>
          <w:tab/>
        </w:r>
        <w:r>
          <w:rPr>
            <w:noProof/>
            <w:webHidden/>
          </w:rPr>
          <w:fldChar w:fldCharType="begin"/>
        </w:r>
        <w:r>
          <w:rPr>
            <w:noProof/>
            <w:webHidden/>
          </w:rPr>
          <w:instrText xml:space="preserve"> PAGEREF _Toc2169763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lang w:val="en-GB" w:eastAsia="en-GB" w:bidi="ar-SA"/>
        </w:rPr>
      </w:pPr>
      <w:hyperlink w:anchor="_Toc2169764" w:history="1">
        <w:r>
          <w:rPr>
            <w:rStyle w:val="Hyperlink"/>
            <w:rFonts w:eastAsia="Times New Roman"/>
            <w:b/>
            <w:bCs/>
          </w:rPr>
          <w:t>2.3.</w:t>
        </w:r>
        <w:r>
          <w:rPr>
            <w:rFonts w:asciiTheme="minorHAnsi" w:eastAsiaTheme="minorEastAsia" w:hAnsiTheme="minorHAnsi" w:cstheme="minorBidi"/>
            <w:lang w:val="en-GB" w:eastAsia="en-GB" w:bidi="ar-SA"/>
          </w:rPr>
          <w:tab/>
        </w:r>
        <w:r>
          <w:rPr>
            <w:rStyle w:val="Hyperlink"/>
            <w:b/>
          </w:rPr>
          <w:t>Offentliggørelse</w:t>
        </w:r>
        <w:r>
          <w:rPr>
            <w:webHidden/>
          </w:rPr>
          <w:tab/>
        </w:r>
        <w:r>
          <w:rPr>
            <w:webHidden/>
          </w:rPr>
          <w:fldChar w:fldCharType="begin"/>
        </w:r>
        <w:r>
          <w:rPr>
            <w:webHidden/>
          </w:rPr>
          <w:instrText xml:space="preserve"> PAGEREF _Toc2169764 \h </w:instrText>
        </w:r>
        <w:r>
          <w:rPr>
            <w:webHidden/>
          </w:rPr>
        </w:r>
        <w:r>
          <w:rPr>
            <w:webHidden/>
          </w:rPr>
          <w:fldChar w:fldCharType="separate"/>
        </w:r>
        <w:r>
          <w:rPr>
            <w:webHidden/>
          </w:rPr>
          <w:t>9</w:t>
        </w:r>
        <w:r>
          <w:rPr>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65" w:history="1">
        <w:r>
          <w:rPr>
            <w:rStyle w:val="Hyperlink"/>
            <w:rFonts w:ascii="Times New Roman" w:eastAsia="Times New Roman" w:hAnsi="Times New Roman"/>
            <w:b/>
            <w:bCs/>
            <w:i/>
            <w:noProof/>
          </w:rPr>
          <w:t>2.3.1.</w:t>
        </w:r>
        <w:r>
          <w:rPr>
            <w:rFonts w:asciiTheme="minorHAnsi" w:eastAsiaTheme="minorEastAsia" w:hAnsiTheme="minorHAnsi" w:cstheme="minorBidi"/>
            <w:noProof/>
            <w:lang w:val="en-GB" w:eastAsia="en-GB" w:bidi="ar-SA"/>
          </w:rPr>
          <w:tab/>
        </w:r>
        <w:r>
          <w:rPr>
            <w:rStyle w:val="Hyperlink"/>
            <w:rFonts w:ascii="Times New Roman" w:hAnsi="Times New Roman"/>
            <w:b/>
            <w:i/>
            <w:noProof/>
          </w:rPr>
          <w:t>Offentliggørelse af overordnede tal og detaljerede indberetningsskemaer</w:t>
        </w:r>
        <w:r>
          <w:rPr>
            <w:noProof/>
            <w:webHidden/>
          </w:rPr>
          <w:tab/>
        </w:r>
        <w:r>
          <w:rPr>
            <w:noProof/>
            <w:webHidden/>
          </w:rPr>
          <w:fldChar w:fldCharType="begin"/>
        </w:r>
        <w:r>
          <w:rPr>
            <w:noProof/>
            <w:webHidden/>
          </w:rPr>
          <w:instrText xml:space="preserve"> PAGEREF _Toc2169765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66" w:history="1">
        <w:r>
          <w:rPr>
            <w:rStyle w:val="Hyperlink"/>
            <w:rFonts w:ascii="Times New Roman" w:eastAsia="Times New Roman" w:hAnsi="Times New Roman"/>
            <w:b/>
            <w:bCs/>
            <w:i/>
            <w:noProof/>
          </w:rPr>
          <w:t>2.3.2.</w:t>
        </w:r>
        <w:r>
          <w:rPr>
            <w:rFonts w:asciiTheme="minorHAnsi" w:eastAsiaTheme="minorEastAsia" w:hAnsiTheme="minorHAnsi" w:cstheme="minorBidi"/>
            <w:noProof/>
            <w:lang w:val="en-GB" w:eastAsia="en-GB" w:bidi="ar-SA"/>
          </w:rPr>
          <w:tab/>
        </w:r>
        <w:r>
          <w:rPr>
            <w:rStyle w:val="Hyperlink"/>
            <w:rFonts w:ascii="Times New Roman" w:hAnsi="Times New Roman"/>
            <w:b/>
            <w:i/>
            <w:noProof/>
          </w:rPr>
          <w:t>Forbehold vedrørende dataenes kvalitet</w:t>
        </w:r>
        <w:r>
          <w:rPr>
            <w:noProof/>
            <w:webHidden/>
          </w:rPr>
          <w:tab/>
        </w:r>
        <w:r>
          <w:rPr>
            <w:noProof/>
            <w:webHidden/>
          </w:rPr>
          <w:fldChar w:fldCharType="begin"/>
        </w:r>
        <w:r>
          <w:rPr>
            <w:noProof/>
            <w:webHidden/>
          </w:rPr>
          <w:instrText xml:space="preserve"> PAGEREF _Toc2169766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67" w:history="1">
        <w:r>
          <w:rPr>
            <w:rStyle w:val="Hyperlink"/>
            <w:rFonts w:ascii="Times New Roman" w:eastAsia="Times New Roman" w:hAnsi="Times New Roman"/>
            <w:b/>
            <w:bCs/>
            <w:i/>
            <w:noProof/>
          </w:rPr>
          <w:t>2.3.3.</w:t>
        </w:r>
        <w:r>
          <w:rPr>
            <w:rFonts w:asciiTheme="minorHAnsi" w:eastAsiaTheme="minorEastAsia" w:hAnsiTheme="minorHAnsi" w:cstheme="minorBidi"/>
            <w:noProof/>
            <w:lang w:val="en-GB" w:eastAsia="en-GB" w:bidi="ar-SA"/>
          </w:rPr>
          <w:tab/>
        </w:r>
        <w:r>
          <w:rPr>
            <w:rStyle w:val="Hyperlink"/>
            <w:rFonts w:ascii="Times New Roman" w:hAnsi="Times New Roman"/>
            <w:b/>
            <w:i/>
            <w:noProof/>
          </w:rPr>
          <w:t>Ændring af de indberettede data</w:t>
        </w:r>
        <w:r>
          <w:rPr>
            <w:noProof/>
            <w:webHidden/>
          </w:rPr>
          <w:tab/>
        </w:r>
        <w:r>
          <w:rPr>
            <w:noProof/>
            <w:webHidden/>
          </w:rPr>
          <w:fldChar w:fldCharType="begin"/>
        </w:r>
        <w:r>
          <w:rPr>
            <w:noProof/>
            <w:webHidden/>
          </w:rPr>
          <w:instrText xml:space="preserve"> PAGEREF _Toc2169767 \h </w:instrText>
        </w:r>
        <w:r>
          <w:rPr>
            <w:noProof/>
            <w:webHidden/>
          </w:rPr>
        </w:r>
        <w:r>
          <w:rPr>
            <w:noProof/>
            <w:webHidden/>
          </w:rPr>
          <w:fldChar w:fldCharType="separate"/>
        </w:r>
        <w:r>
          <w:rPr>
            <w:noProof/>
            <w:webHidden/>
          </w:rPr>
          <w:t>10</w:t>
        </w:r>
        <w:r>
          <w:rPr>
            <w:noProof/>
            <w:webHidden/>
          </w:rPr>
          <w:fldChar w:fldCharType="end"/>
        </w:r>
      </w:hyperlink>
    </w:p>
    <w:p>
      <w:pPr>
        <w:pStyle w:val="TOC3"/>
        <w:tabs>
          <w:tab w:val="left" w:pos="1320"/>
          <w:tab w:val="right" w:leader="dot" w:pos="9016"/>
        </w:tabs>
        <w:rPr>
          <w:rFonts w:asciiTheme="minorHAnsi" w:eastAsiaTheme="minorEastAsia" w:hAnsiTheme="minorHAnsi" w:cstheme="minorBidi"/>
          <w:noProof/>
          <w:lang w:val="en-GB" w:eastAsia="en-GB" w:bidi="ar-SA"/>
        </w:rPr>
      </w:pPr>
      <w:hyperlink w:anchor="_Toc2169768" w:history="1">
        <w:r>
          <w:rPr>
            <w:rStyle w:val="Hyperlink"/>
            <w:rFonts w:ascii="Times New Roman" w:eastAsia="Times New Roman" w:hAnsi="Times New Roman"/>
            <w:b/>
            <w:bCs/>
            <w:i/>
            <w:noProof/>
          </w:rPr>
          <w:t>2.3.4.</w:t>
        </w:r>
        <w:r>
          <w:rPr>
            <w:rFonts w:asciiTheme="minorHAnsi" w:eastAsiaTheme="minorEastAsia" w:hAnsiTheme="minorHAnsi" w:cstheme="minorBidi"/>
            <w:noProof/>
            <w:lang w:val="en-GB" w:eastAsia="en-GB" w:bidi="ar-SA"/>
          </w:rPr>
          <w:tab/>
        </w:r>
        <w:r>
          <w:rPr>
            <w:rStyle w:val="Hyperlink"/>
            <w:rFonts w:ascii="Times New Roman" w:hAnsi="Times New Roman"/>
            <w:b/>
            <w:i/>
            <w:noProof/>
          </w:rPr>
          <w:t>Offentliggørelse af metadata (oversigter)</w:t>
        </w:r>
        <w:r>
          <w:rPr>
            <w:noProof/>
            <w:webHidden/>
          </w:rPr>
          <w:tab/>
        </w:r>
        <w:r>
          <w:rPr>
            <w:noProof/>
            <w:webHidden/>
          </w:rPr>
          <w:fldChar w:fldCharType="begin"/>
        </w:r>
        <w:r>
          <w:rPr>
            <w:noProof/>
            <w:webHidden/>
          </w:rPr>
          <w:instrText xml:space="preserve"> PAGEREF _Toc2169768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440"/>
          <w:tab w:val="right" w:leader="dot" w:pos="9016"/>
        </w:tabs>
        <w:rPr>
          <w:rFonts w:asciiTheme="minorHAnsi" w:eastAsiaTheme="minorEastAsia" w:hAnsiTheme="minorHAnsi" w:cstheme="minorBidi"/>
          <w:noProof/>
          <w:lang w:val="en-GB" w:eastAsia="en-GB" w:bidi="ar-SA"/>
        </w:rPr>
      </w:pPr>
      <w:hyperlink w:anchor="_Toc2169769" w:history="1">
        <w:r>
          <w:rPr>
            <w:rStyle w:val="Hyperlink"/>
            <w:rFonts w:ascii="Times New Roman" w:eastAsia="Times New Roman" w:hAnsi="Times New Roman"/>
            <w:b/>
            <w:bCs/>
            <w:smallCaps/>
            <w:noProof/>
          </w:rPr>
          <w:t>3.</w:t>
        </w:r>
        <w:r>
          <w:rPr>
            <w:rFonts w:asciiTheme="minorHAnsi" w:eastAsiaTheme="minorEastAsia" w:hAnsiTheme="minorHAnsi" w:cstheme="minorBidi"/>
            <w:noProof/>
            <w:lang w:val="en-GB" w:eastAsia="en-GB" w:bidi="ar-SA"/>
          </w:rPr>
          <w:tab/>
        </w:r>
        <w:r>
          <w:rPr>
            <w:rStyle w:val="Hyperlink"/>
            <w:rFonts w:ascii="Times New Roman" w:hAnsi="Times New Roman"/>
            <w:b/>
            <w:smallCaps/>
            <w:noProof/>
          </w:rPr>
          <w:t>Konklusioner</w:t>
        </w:r>
        <w:r>
          <w:rPr>
            <w:noProof/>
            <w:webHidden/>
          </w:rPr>
          <w:tab/>
        </w:r>
        <w:r>
          <w:rPr>
            <w:noProof/>
            <w:webHidden/>
          </w:rPr>
          <w:fldChar w:fldCharType="begin"/>
        </w:r>
        <w:r>
          <w:rPr>
            <w:noProof/>
            <w:webHidden/>
          </w:rPr>
          <w:instrText xml:space="preserve"> PAGEREF _Toc2169769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440"/>
          <w:tab w:val="right" w:leader="dot" w:pos="9016"/>
        </w:tabs>
        <w:rPr>
          <w:rFonts w:asciiTheme="minorHAnsi" w:eastAsiaTheme="minorEastAsia" w:hAnsiTheme="minorHAnsi" w:cstheme="minorBidi"/>
          <w:noProof/>
        </w:rPr>
      </w:pPr>
      <w:r>
        <w:rPr>
          <w:rFonts w:ascii="Times New Roman" w:eastAsia="Times New Roman" w:hAnsi="Times New Roman"/>
          <w:b/>
          <w:bCs/>
          <w:noProof/>
        </w:rPr>
        <w:fldChar w:fldCharType="end"/>
      </w:r>
      <w:r>
        <w:rPr>
          <w:noProof/>
        </w:rPr>
        <w:br w:type="page"/>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3" w:name="_Toc442173625"/>
      <w:bookmarkStart w:id="4" w:name="_Toc442869381"/>
      <w:bookmarkStart w:id="5" w:name="_Toc1565621"/>
      <w:bookmarkStart w:id="6" w:name="_Toc2169750"/>
      <w:r>
        <w:rPr>
          <w:rFonts w:ascii="Times New Roman" w:hAnsi="Times New Roman"/>
          <w:b/>
          <w:smallCaps/>
          <w:noProof/>
          <w:sz w:val="24"/>
        </w:rPr>
        <w:lastRenderedPageBreak/>
        <w:t>Baggrund</w:t>
      </w:r>
      <w:bookmarkEnd w:id="2"/>
      <w:bookmarkEnd w:id="3"/>
      <w:bookmarkEnd w:id="4"/>
      <w:bookmarkEnd w:id="5"/>
      <w:bookmarkEnd w:id="6"/>
    </w:p>
    <w:p>
      <w:pPr>
        <w:spacing w:before="120" w:after="120" w:line="240" w:lineRule="auto"/>
        <w:ind w:left="850"/>
        <w:jc w:val="both"/>
        <w:rPr>
          <w:rFonts w:ascii="Times New Roman" w:hAnsi="Times New Roman"/>
          <w:noProof/>
          <w:sz w:val="24"/>
        </w:rPr>
      </w:pPr>
      <w:r>
        <w:rPr>
          <w:rFonts w:ascii="Times New Roman" w:hAnsi="Times New Roman"/>
          <w:noProof/>
          <w:sz w:val="24"/>
        </w:rPr>
        <w:t>Ifølge artikel 8, stk. 3, i Rådets forordning (EF) nr. 479/2009 om gennemførelse af protokollen om proceduren i forbindelse med uforholdsmæssigt store underskud (EDP)</w:t>
      </w:r>
      <w:r>
        <w:rPr>
          <w:rFonts w:ascii="Times New Roman" w:hAnsi="Times New Roman"/>
          <w:noProof/>
          <w:sz w:val="24"/>
          <w:vertAlign w:val="superscript"/>
        </w:rPr>
        <w:footnoteReference w:id="1"/>
      </w:r>
      <w:r>
        <w:rPr>
          <w:rFonts w:ascii="Times New Roman" w:hAnsi="Times New Roman"/>
          <w:noProof/>
          <w:sz w:val="24"/>
        </w:rPr>
        <w:t>, skal Kommissionen (Eurostat) regelmæssigt aflægge rapport til Europa-Parlamentet og Rådet om kvaliteten af de faktiske</w:t>
      </w:r>
      <w:r>
        <w:rPr>
          <w:rStyle w:val="FootnoteReference"/>
          <w:rFonts w:ascii="Times New Roman" w:hAnsi="Times New Roman"/>
          <w:noProof/>
          <w:sz w:val="24"/>
        </w:rPr>
        <w:footnoteReference w:id="2"/>
      </w:r>
      <w:r>
        <w:rPr>
          <w:rFonts w:ascii="Times New Roman" w:hAnsi="Times New Roman"/>
          <w:noProof/>
          <w:sz w:val="24"/>
        </w:rPr>
        <w:t xml:space="preserve"> budgetdata, der indberettes af medlemsstaterne. I denne årlige rapport gives der en generel vurdering af dataenes aktualitet, pålidelighed, fuldstændighed, konsistens og deres overensstemmelse med regnskabsreglerne. Kommissionen vedtog den foregående rapport (om dataene fra 2017) den 8. marts 2018</w:t>
      </w:r>
      <w:r>
        <w:rPr>
          <w:rFonts w:ascii="Times New Roman" w:hAnsi="Times New Roman"/>
          <w:noProof/>
          <w:sz w:val="24"/>
          <w:vertAlign w:val="superscript"/>
        </w:rPr>
        <w:footnoteReference w:id="3"/>
      </w:r>
      <w:r>
        <w:rPr>
          <w:rFonts w:ascii="Times New Roman" w:hAnsi="Times New Roman"/>
          <w:noProof/>
          <w:sz w:val="24"/>
        </w:rPr>
        <w:t>.</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vurderer regelmæssigt kvaliteten af de faktiske EDP-data, som medlemsstaterne indberetter, og kvaliteten af de tilgrundliggende regnskaber for sektoren offentlig forvaltning og service i overensstemmelse med forordning (EU) nr. 549/2013</w:t>
      </w:r>
      <w:r>
        <w:rPr>
          <w:rFonts w:ascii="Times New Roman" w:hAnsi="Times New Roman"/>
          <w:noProof/>
          <w:sz w:val="24"/>
          <w:vertAlign w:val="superscript"/>
        </w:rPr>
        <w:footnoteReference w:id="4"/>
      </w:r>
      <w:r>
        <w:rPr>
          <w:rFonts w:ascii="Times New Roman" w:hAnsi="Times New Roman"/>
          <w:noProof/>
          <w:sz w:val="24"/>
        </w:rPr>
        <w:t xml:space="preserve"> (ENS 2010). Vurderingen fokuserer på de faktorer, der forklarer det offentlige overskud/underskud (som en procentdel af BNP) og variationer i forholdet mellem den offentlige gæld og BNP. Medlemsstaterne indsender disse oplysninger til Eurostat to gange om året i "EDP-indberetningsskemaerne", "spørgeskemaet vedrørende EDP-indberetningsskemaerne", "det supplerende skema vedrørende offentlige indgreb til støtte for finansielle institutioner" samt via bilaterale redegørelser. Eurostat aflægger også regelmæssige EDP-dialogbesøg for at holde kontakt med medlemsstaterne.</w:t>
      </w:r>
    </w:p>
    <w:p>
      <w:pPr>
        <w:spacing w:before="120" w:after="120" w:line="240" w:lineRule="auto"/>
        <w:ind w:left="850"/>
        <w:jc w:val="both"/>
        <w:rPr>
          <w:rFonts w:ascii="Times New Roman" w:hAnsi="Times New Roman"/>
          <w:noProof/>
          <w:sz w:val="24"/>
        </w:rPr>
      </w:pPr>
      <w:r>
        <w:rPr>
          <w:rFonts w:ascii="Times New Roman" w:hAnsi="Times New Roman"/>
          <w:noProof/>
          <w:sz w:val="24"/>
        </w:rPr>
        <w:t>Denne rapport tager udgangspunkt i de vigtigste resultater og konstateringer vedrørende medlemsstaternes EDP-indberetninger i 2018. Den fokuserer på de seneste indberetninger, der blev foretaget i oktober 2018, og når det er hensigtsmæssigt, drages der sammenligninger med de data, der blev indsendt i april 2018 og i 2017.</w:t>
      </w:r>
    </w:p>
    <w:p>
      <w:pPr>
        <w:keepNext/>
        <w:numPr>
          <w:ilvl w:val="0"/>
          <w:numId w:val="1"/>
        </w:numPr>
        <w:spacing w:before="240" w:after="120" w:line="240" w:lineRule="auto"/>
        <w:ind w:left="851" w:hanging="851"/>
        <w:jc w:val="both"/>
        <w:outlineLvl w:val="0"/>
        <w:rPr>
          <w:rFonts w:ascii="Times New Roman" w:eastAsia="Times New Roman" w:hAnsi="Times New Roman"/>
          <w:b/>
          <w:bCs/>
          <w:smallCaps/>
          <w:noProof/>
          <w:sz w:val="24"/>
          <w:szCs w:val="28"/>
        </w:rPr>
      </w:pPr>
      <w:bookmarkStart w:id="7" w:name="_Toc342558478"/>
      <w:bookmarkStart w:id="8" w:name="_Toc442173626"/>
      <w:bookmarkStart w:id="9" w:name="_Toc442869382"/>
      <w:bookmarkStart w:id="10" w:name="_Toc1565622"/>
      <w:bookmarkStart w:id="11" w:name="_Toc2169751"/>
      <w:r>
        <w:rPr>
          <w:rFonts w:ascii="Times New Roman" w:hAnsi="Times New Roman"/>
          <w:b/>
          <w:smallCaps/>
          <w:noProof/>
          <w:sz w:val="24"/>
        </w:rPr>
        <w:t>Vigtigste konstateringer vedrørende rapporten for 2018 om det offentlige underskud og den offentlige gæld</w:t>
      </w:r>
      <w:bookmarkEnd w:id="7"/>
      <w:bookmarkEnd w:id="8"/>
      <w:bookmarkEnd w:id="9"/>
      <w:bookmarkEnd w:id="10"/>
      <w:bookmarkEnd w:id="11"/>
    </w:p>
    <w:p>
      <w:pPr>
        <w:keepNext/>
        <w:numPr>
          <w:ilvl w:val="1"/>
          <w:numId w:val="1"/>
        </w:numPr>
        <w:spacing w:before="120" w:after="120" w:line="240" w:lineRule="auto"/>
        <w:jc w:val="both"/>
        <w:outlineLvl w:val="1"/>
        <w:rPr>
          <w:rFonts w:ascii="Times New Roman" w:eastAsia="Times New Roman" w:hAnsi="Times New Roman" w:cs="Times New Roman"/>
          <w:b/>
          <w:bCs/>
          <w:noProof/>
          <w:sz w:val="24"/>
          <w:szCs w:val="26"/>
        </w:rPr>
      </w:pPr>
      <w:bookmarkStart w:id="12" w:name="_Ref149561652"/>
      <w:bookmarkStart w:id="13" w:name="_Toc342558479"/>
      <w:bookmarkStart w:id="14" w:name="_Toc442173627"/>
      <w:bookmarkStart w:id="15" w:name="_Toc442869383"/>
      <w:bookmarkStart w:id="16" w:name="_Toc1565623"/>
      <w:bookmarkStart w:id="17" w:name="_Toc2169752"/>
      <w:r>
        <w:rPr>
          <w:rFonts w:ascii="Times New Roman" w:hAnsi="Times New Roman"/>
          <w:b/>
          <w:noProof/>
          <w:sz w:val="24"/>
        </w:rPr>
        <w:t>Aktualitet</w:t>
      </w:r>
      <w:bookmarkEnd w:id="12"/>
      <w:r>
        <w:rPr>
          <w:rFonts w:ascii="Times New Roman" w:hAnsi="Times New Roman"/>
          <w:b/>
          <w:noProof/>
          <w:sz w:val="24"/>
        </w:rPr>
        <w:t>, pålidelighed og fuldstændighed</w:t>
      </w:r>
      <w:bookmarkEnd w:id="13"/>
      <w:bookmarkEnd w:id="14"/>
      <w:bookmarkEnd w:id="15"/>
      <w:bookmarkEnd w:id="16"/>
      <w:bookmarkEnd w:id="17"/>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18" w:name="_Toc342558480"/>
      <w:bookmarkStart w:id="19" w:name="_Toc442173628"/>
      <w:bookmarkStart w:id="20" w:name="_Toc442869384"/>
      <w:bookmarkStart w:id="21" w:name="_Toc1565624"/>
      <w:bookmarkStart w:id="22" w:name="_Toc2169753"/>
      <w:r>
        <w:rPr>
          <w:rFonts w:ascii="Times New Roman" w:hAnsi="Times New Roman"/>
          <w:b/>
          <w:i/>
          <w:noProof/>
          <w:sz w:val="24"/>
        </w:rPr>
        <w:t>Aktualitet</w:t>
      </w:r>
      <w:bookmarkEnd w:id="18"/>
      <w:bookmarkEnd w:id="19"/>
      <w:bookmarkEnd w:id="20"/>
      <w:bookmarkEnd w:id="21"/>
      <w:bookmarkEnd w:id="22"/>
    </w:p>
    <w:p>
      <w:pPr>
        <w:spacing w:before="120" w:after="120" w:line="240" w:lineRule="auto"/>
        <w:ind w:left="850"/>
        <w:jc w:val="both"/>
        <w:rPr>
          <w:rFonts w:ascii="Times New Roman" w:hAnsi="Times New Roman"/>
          <w:noProof/>
          <w:sz w:val="24"/>
        </w:rPr>
      </w:pPr>
      <w:r>
        <w:rPr>
          <w:rFonts w:ascii="Times New Roman" w:hAnsi="Times New Roman"/>
          <w:noProof/>
          <w:sz w:val="24"/>
        </w:rPr>
        <w:t>Medlemsstaterne skal underrette Eurostat om deres faktiske og forventede EDP-data to gange om året, inden den 1. april og inden den 1. oktober</w:t>
      </w:r>
      <w:r>
        <w:rPr>
          <w:rFonts w:ascii="Times New Roman" w:hAnsi="Times New Roman"/>
          <w:noProof/>
          <w:sz w:val="24"/>
          <w:vertAlign w:val="superscript"/>
        </w:rPr>
        <w:footnoteReference w:id="5"/>
      </w:r>
      <w:r>
        <w:rPr>
          <w:rFonts w:ascii="Times New Roman" w:hAnsi="Times New Roman"/>
          <w:noProof/>
          <w:sz w:val="24"/>
        </w:rPr>
        <w:t>. I 2018 dækkede EDP-indberetningerne perioden 2014-2018. Tallene for 2018 er de af de nationale myndigheder forventede tal, mens tallene for 2014-2017 er de faktiske data</w:t>
      </w:r>
      <w:r>
        <w:rPr>
          <w:rFonts w:ascii="Times New Roman" w:hAnsi="Times New Roman"/>
          <w:noProof/>
          <w:sz w:val="24"/>
          <w:vertAlign w:val="superscript"/>
        </w:rPr>
        <w:footnoteReference w:id="6"/>
      </w:r>
      <w:r>
        <w:rPr>
          <w:rFonts w:ascii="Times New Roman" w:hAnsi="Times New Roman"/>
          <w:noProof/>
          <w:sz w:val="24"/>
        </w:rPr>
        <w:t>. I overensstemmelse med artikel 8, stk. 1, i forordning (EF) nr. 479/2009 vurderer Eurostat de faktiske data, men ikke de forventede data.</w:t>
      </w:r>
    </w:p>
    <w:p>
      <w:pPr>
        <w:spacing w:before="120" w:after="120" w:line="240" w:lineRule="auto"/>
        <w:ind w:left="850"/>
        <w:jc w:val="both"/>
        <w:rPr>
          <w:rFonts w:ascii="Times New Roman" w:hAnsi="Times New Roman"/>
          <w:noProof/>
          <w:sz w:val="24"/>
        </w:rPr>
      </w:pPr>
      <w:r>
        <w:rPr>
          <w:rFonts w:ascii="Times New Roman" w:hAnsi="Times New Roman"/>
          <w:noProof/>
          <w:sz w:val="24"/>
        </w:rPr>
        <w:lastRenderedPageBreak/>
        <w:t>Alle medlemsstater overholdt fristerne for begge indberetninger.</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23" w:name="_Toc342558481"/>
      <w:bookmarkStart w:id="24" w:name="_Toc442173629"/>
      <w:bookmarkStart w:id="25" w:name="_Toc442869385"/>
      <w:bookmarkStart w:id="26" w:name="_Toc1565625"/>
      <w:bookmarkStart w:id="27" w:name="_Toc2169754"/>
      <w:r>
        <w:rPr>
          <w:rFonts w:ascii="Times New Roman" w:hAnsi="Times New Roman"/>
          <w:b/>
          <w:i/>
          <w:noProof/>
          <w:sz w:val="24"/>
        </w:rPr>
        <w:t>Pålidelighed</w:t>
      </w:r>
      <w:bookmarkEnd w:id="23"/>
      <w:bookmarkEnd w:id="24"/>
      <w:bookmarkEnd w:id="25"/>
      <w:bookmarkEnd w:id="26"/>
      <w:bookmarkEnd w:id="27"/>
    </w:p>
    <w:p>
      <w:pPr>
        <w:spacing w:before="120" w:after="120" w:line="240" w:lineRule="auto"/>
        <w:ind w:left="850"/>
        <w:jc w:val="both"/>
        <w:rPr>
          <w:rFonts w:ascii="Times New Roman" w:hAnsi="Times New Roman"/>
          <w:noProof/>
          <w:sz w:val="24"/>
          <w:highlight w:val="yellow"/>
        </w:rPr>
      </w:pPr>
      <w:r>
        <w:rPr>
          <w:rFonts w:ascii="Times New Roman" w:hAnsi="Times New Roman"/>
          <w:noProof/>
          <w:sz w:val="24"/>
        </w:rPr>
        <w:t>De ændringer, der blev foretaget mellem EDP-indberetningerne i april 2018 og oktober 2018, skyldtes hovedsagelig opdateringer af kildedata, primært for de offentlige budgetters saldi ("working balances") og skattedata, og metodologiske ændringer såsom omklassificeringer af enheder eller transaktioner.</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rPr>
        <w:t>Som følge af de ændringer, der blev foretaget i 2017-dataene (mellem indberetningerne i april og oktober 2018), blev det offentlige overskud/underskud (som en procentdel af BNP) forbedret for 10 medlemsstaters vedkommende og forværret for otte medlemsstaters vedkommende. De største positive ændringer blev foretaget af Polen, Slovakiet, Sverige (+0,3 procentpoint i hvert tilfælde) og Bulgarien (+0,2 procentpoint), og de største negative ændringer blev foretaget af Malta (-0,4 procentpoint) samt Ungarn og Tyskland (-0,3 procentpoint i hvert tilfælde). De største opjusteringer af gældsniveauet for 2017, der blev foretaget af andre årsager end en ændring af BNP, blev indberettet af Frankrig (+1,7 procentpoint), Bulgarien (+0,8 procentpoint), Nederlandene og Cypern (begge med +0,5 procentpoint), Belgien (+0,4 procentpoint) og Malta (+0,3 procentpoint), mens gældsniveauet i Danmark blev nedjusteret (-0,3 procentpoint).</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Ændringer af BNP havde en betydelig virkning på gældskvotienten i flere medlemsstater. Navnlig steg gældskvotienten som følge af ændringer af BNP i Slovenien og Irland (begge med +0,5 procentpoint), Sverige (+0,2 procentpoint), Slovakiet og Tjekkiet (begge med +0,1 procentpoint), og faldt i 22 medlemsstater, hvoraf den største var for Grækenland (-2,5 procentpoint), Cypern (-1,8 procentpoint), Portugal (-1,0 procentpoint) samt Italien og Bulgarien (begge med -0,6 procentpoint). </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28" w:name="_Toc342558482"/>
      <w:bookmarkStart w:id="29" w:name="_Toc442173630"/>
      <w:bookmarkStart w:id="30" w:name="_Toc442869386"/>
      <w:bookmarkStart w:id="31" w:name="_Toc1565626"/>
      <w:bookmarkStart w:id="32" w:name="_Toc2169755"/>
      <w:r>
        <w:rPr>
          <w:rFonts w:ascii="Times New Roman" w:hAnsi="Times New Roman"/>
          <w:b/>
          <w:i/>
          <w:noProof/>
          <w:sz w:val="24"/>
        </w:rPr>
        <w:t>Skemaernes fuldstændighed og supplerende oplysninger</w:t>
      </w:r>
      <w:bookmarkEnd w:id="28"/>
      <w:bookmarkEnd w:id="29"/>
      <w:bookmarkEnd w:id="30"/>
      <w:bookmarkEnd w:id="31"/>
      <w:bookmarkEnd w:id="32"/>
    </w:p>
    <w:p>
      <w:pPr>
        <w:spacing w:after="0" w:line="240" w:lineRule="auto"/>
        <w:ind w:left="850"/>
        <w:jc w:val="both"/>
        <w:rPr>
          <w:rFonts w:ascii="Times New Roman" w:hAnsi="Times New Roman"/>
          <w:i/>
          <w:noProof/>
          <w:sz w:val="24"/>
        </w:rPr>
      </w:pPr>
      <w:r>
        <w:rPr>
          <w:rFonts w:ascii="Times New Roman" w:hAnsi="Times New Roman"/>
          <w:noProof/>
          <w:sz w:val="24"/>
        </w:rPr>
        <w:t xml:space="preserve">Det er lovpligtigt at udfylde indberetningsskemaerne, og det er nødvendigt, hvis Eurostat skal vurdere datakvaliteten på en passende måde. I henhold til artikel 8, stk. 2, i forordning (EF) nr. 479/2009 skal medlemsstaterne til Eurostat indsende relevante statistiske oplysninger, </w:t>
      </w:r>
      <w:r>
        <w:rPr>
          <w:rFonts w:ascii="Times New Roman" w:hAnsi="Times New Roman"/>
          <w:i/>
          <w:noProof/>
          <w:sz w:val="24"/>
        </w:rPr>
        <w:t>der "(...) (især) omfatter (...):</w:t>
      </w:r>
    </w:p>
    <w:p>
      <w:pPr>
        <w:spacing w:after="0" w:line="240" w:lineRule="auto"/>
        <w:ind w:left="1701" w:hanging="425"/>
        <w:jc w:val="both"/>
        <w:rPr>
          <w:rFonts w:ascii="Times New Roman" w:hAnsi="Times New Roman"/>
          <w:i/>
          <w:noProof/>
          <w:sz w:val="24"/>
        </w:rPr>
      </w:pPr>
      <w:r>
        <w:rPr>
          <w:rFonts w:ascii="Times New Roman" w:hAnsi="Times New Roman"/>
          <w:i/>
          <w:noProof/>
          <w:sz w:val="24"/>
        </w:rPr>
        <w:t>a)</w:t>
      </w:r>
      <w:r>
        <w:rPr>
          <w:noProof/>
        </w:rPr>
        <w:tab/>
      </w:r>
      <w:r>
        <w:rPr>
          <w:rFonts w:ascii="Times New Roman" w:hAnsi="Times New Roman"/>
          <w:i/>
          <w:noProof/>
          <w:sz w:val="24"/>
        </w:rPr>
        <w:t>data fra nationalregnskaber</w:t>
      </w:r>
    </w:p>
    <w:p>
      <w:pPr>
        <w:spacing w:after="0" w:line="240" w:lineRule="auto"/>
        <w:ind w:left="1701" w:hanging="425"/>
        <w:jc w:val="both"/>
        <w:rPr>
          <w:rFonts w:ascii="Times New Roman" w:hAnsi="Times New Roman"/>
          <w:i/>
          <w:noProof/>
          <w:sz w:val="24"/>
        </w:rPr>
      </w:pPr>
      <w:r>
        <w:rPr>
          <w:rFonts w:ascii="Times New Roman" w:hAnsi="Times New Roman"/>
          <w:i/>
          <w:noProof/>
          <w:sz w:val="24"/>
        </w:rPr>
        <w:t>b)</w:t>
      </w:r>
      <w:r>
        <w:rPr>
          <w:noProof/>
        </w:rPr>
        <w:tab/>
      </w:r>
      <w:r>
        <w:rPr>
          <w:rFonts w:ascii="Times New Roman" w:hAnsi="Times New Roman"/>
          <w:i/>
          <w:noProof/>
          <w:sz w:val="24"/>
        </w:rPr>
        <w:t>oversigter</w:t>
      </w:r>
    </w:p>
    <w:p>
      <w:pPr>
        <w:spacing w:after="0" w:line="240" w:lineRule="auto"/>
        <w:ind w:left="1701" w:hanging="425"/>
        <w:jc w:val="both"/>
        <w:rPr>
          <w:rFonts w:ascii="Times New Roman" w:hAnsi="Times New Roman"/>
          <w:i/>
          <w:noProof/>
          <w:sz w:val="24"/>
        </w:rPr>
      </w:pPr>
      <w:r>
        <w:rPr>
          <w:rFonts w:ascii="Times New Roman" w:hAnsi="Times New Roman"/>
          <w:i/>
          <w:noProof/>
          <w:sz w:val="24"/>
        </w:rPr>
        <w:t>c)</w:t>
      </w:r>
      <w:r>
        <w:rPr>
          <w:noProof/>
        </w:rPr>
        <w:tab/>
      </w:r>
      <w:r>
        <w:rPr>
          <w:rFonts w:ascii="Times New Roman" w:hAnsi="Times New Roman"/>
          <w:i/>
          <w:noProof/>
          <w:sz w:val="24"/>
        </w:rPr>
        <w:t>skemaer til indberetning af data vedrørende proceduren i forbindelse med uforholdsmæssigt store underskud</w:t>
      </w:r>
    </w:p>
    <w:p>
      <w:pPr>
        <w:spacing w:after="0" w:line="240" w:lineRule="auto"/>
        <w:ind w:left="1701" w:hanging="425"/>
        <w:jc w:val="both"/>
        <w:rPr>
          <w:rFonts w:ascii="Times New Roman" w:hAnsi="Times New Roman"/>
          <w:i/>
          <w:noProof/>
          <w:sz w:val="24"/>
        </w:rPr>
      </w:pPr>
      <w:r>
        <w:rPr>
          <w:rFonts w:ascii="Times New Roman" w:hAnsi="Times New Roman"/>
          <w:i/>
          <w:noProof/>
          <w:sz w:val="24"/>
        </w:rPr>
        <w:t>d)</w:t>
      </w:r>
      <w:r>
        <w:rPr>
          <w:noProof/>
        </w:rPr>
        <w:tab/>
      </w:r>
      <w:r>
        <w:rPr>
          <w:rFonts w:ascii="Times New Roman" w:hAnsi="Times New Roman"/>
          <w:i/>
          <w:noProof/>
          <w:sz w:val="24"/>
        </w:rPr>
        <w:t>yderligere spørgeskemaer og præciseringer i forbindelse med indberetningerne."</w:t>
      </w:r>
    </w:p>
    <w:p>
      <w:pPr>
        <w:spacing w:before="120" w:after="120" w:line="240" w:lineRule="auto"/>
        <w:ind w:left="850"/>
        <w:jc w:val="both"/>
        <w:rPr>
          <w:rFonts w:ascii="Times New Roman" w:hAnsi="Times New Roman"/>
          <w:noProof/>
          <w:sz w:val="24"/>
        </w:rPr>
      </w:pPr>
      <w:r>
        <w:rPr>
          <w:rFonts w:ascii="Times New Roman" w:hAnsi="Times New Roman"/>
          <w:noProof/>
          <w:sz w:val="24"/>
        </w:rPr>
        <w:t>Der er fire centrale EDP-indberetningsskemaer:</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skema 1 dækker indberetning af det offentlige overskud/underskud (i alt og pr. offentlig delsektor), og den offentlige gæld (det samlede gældsniveau</w:t>
      </w:r>
      <w:r>
        <w:rPr>
          <w:rFonts w:ascii="Times New Roman" w:hAnsi="Times New Roman"/>
          <w:noProof/>
          <w:sz w:val="24"/>
          <w:vertAlign w:val="superscript"/>
        </w:rPr>
        <w:footnoteReference w:id="7"/>
      </w:r>
      <w:r>
        <w:rPr>
          <w:rFonts w:ascii="Times New Roman" w:hAnsi="Times New Roman"/>
          <w:noProof/>
          <w:sz w:val="24"/>
        </w:rPr>
        <w:t xml:space="preserve"> og pr. kategori af finansielle instrumenter). Det dækker ligeledes BNP i markedspriser og de offentlige udgifter til faste bruttoinvesteringer og renter</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skema 2A-2D indeholder data, der forklarer sammenhængen mellem de nationale definitioner af den offentlige saldo (benævnt "de offentlige budgetters saldo" ("working balance") i nationalregnskabsmetodologien) og overskuddet/ underskuddet for hver offentlig delsektor (benævnt "nettolångivning/nettolåntagning" i nationalregnskabsmetodologien)</w:t>
      </w:r>
      <w:r>
        <w:rPr>
          <w:rFonts w:ascii="Times New Roman" w:hAnsi="Times New Roman"/>
          <w:noProof/>
          <w:sz w:val="24"/>
          <w:vertAlign w:val="superscript"/>
        </w:rPr>
        <w:footnoteReference w:id="8"/>
      </w:r>
      <w:r>
        <w:rPr>
          <w:rFonts w:ascii="Times New Roman" w:hAnsi="Times New Roman"/>
          <w:noProof/>
          <w:sz w:val="24"/>
          <w:vertAlign w:val="superscript"/>
        </w:rPr>
        <w:t xml:space="preserve"> </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 xml:space="preserve">skema 3A-3D indeholder data, der forklarer bidragene fra det offentlige overskud/underskud og andre relevante faktorer til variationen i den offentlige gæld og konsolideringen af gælden, og </w:t>
      </w:r>
    </w:p>
    <w:p>
      <w:pPr>
        <w:numPr>
          <w:ilvl w:val="0"/>
          <w:numId w:val="2"/>
        </w:numPr>
        <w:tabs>
          <w:tab w:val="left" w:pos="1701"/>
        </w:tabs>
        <w:spacing w:before="120" w:after="120" w:line="240" w:lineRule="auto"/>
        <w:ind w:left="1701" w:hanging="425"/>
        <w:jc w:val="both"/>
        <w:rPr>
          <w:rFonts w:ascii="Times New Roman" w:hAnsi="Times New Roman"/>
          <w:noProof/>
          <w:sz w:val="24"/>
        </w:rPr>
      </w:pPr>
      <w:r>
        <w:rPr>
          <w:rFonts w:ascii="Times New Roman" w:hAnsi="Times New Roman"/>
          <w:noProof/>
          <w:sz w:val="24"/>
        </w:rPr>
        <w:t>skema 4 indeholder hovedsagelig data om handelskreditter og forudbetalinger</w:t>
      </w:r>
      <w:r>
        <w:rPr>
          <w:rFonts w:ascii="Times New Roman" w:hAnsi="Times New Roman"/>
          <w:noProof/>
          <w:sz w:val="24"/>
          <w:vertAlign w:val="superscript"/>
        </w:rPr>
        <w:footnoteReference w:id="9"/>
      </w:r>
      <w:r>
        <w:rPr>
          <w:rFonts w:ascii="Times New Roman" w:hAnsi="Times New Roman"/>
          <w:noProof/>
          <w:sz w:val="24"/>
        </w:rPr>
        <w:t xml:space="preserve">. </w:t>
      </w:r>
    </w:p>
    <w:p>
      <w:pPr>
        <w:tabs>
          <w:tab w:val="left" w:pos="1701"/>
        </w:tabs>
        <w:spacing w:before="120" w:after="120" w:line="240" w:lineRule="auto"/>
        <w:ind w:left="851"/>
        <w:jc w:val="both"/>
        <w:rPr>
          <w:rFonts w:ascii="Times New Roman" w:hAnsi="Times New Roman"/>
          <w:noProof/>
          <w:sz w:val="24"/>
        </w:rPr>
      </w:pPr>
      <w:r>
        <w:rPr>
          <w:rFonts w:ascii="Times New Roman" w:hAnsi="Times New Roman"/>
          <w:noProof/>
          <w:sz w:val="24"/>
        </w:rPr>
        <w:t>I 2018 dækkede EDP-skema 1 og 2 perioden 2014-2018</w:t>
      </w:r>
      <w:r>
        <w:rPr>
          <w:rFonts w:ascii="Times New Roman" w:hAnsi="Times New Roman"/>
          <w:noProof/>
          <w:sz w:val="24"/>
          <w:vertAlign w:val="superscript"/>
        </w:rPr>
        <w:footnoteReference w:id="10"/>
      </w:r>
      <w:r>
        <w:rPr>
          <w:rFonts w:ascii="Times New Roman" w:hAnsi="Times New Roman"/>
          <w:noProof/>
          <w:sz w:val="24"/>
        </w:rPr>
        <w:t>, mens de øvrige skemaer dækkede perioden 2014-2017.</w:t>
      </w:r>
    </w:p>
    <w:p>
      <w:pPr>
        <w:spacing w:before="120" w:after="120" w:line="240" w:lineRule="auto"/>
        <w:ind w:left="850"/>
        <w:jc w:val="both"/>
        <w:rPr>
          <w:rFonts w:ascii="Times New Roman" w:hAnsi="Times New Roman"/>
          <w:noProof/>
          <w:sz w:val="24"/>
        </w:rPr>
      </w:pPr>
      <w:r>
        <w:rPr>
          <w:rFonts w:ascii="Times New Roman" w:hAnsi="Times New Roman"/>
          <w:noProof/>
          <w:sz w:val="24"/>
        </w:rPr>
        <w:t>Alle medlemsstater fremsendte alle EDP-indberetningsskemaer</w:t>
      </w:r>
      <w:r>
        <w:rPr>
          <w:rFonts w:ascii="Times New Roman" w:hAnsi="Times New Roman"/>
          <w:noProof/>
          <w:sz w:val="24"/>
          <w:vertAlign w:val="superscript"/>
        </w:rPr>
        <w:footnoteReference w:id="11"/>
      </w:r>
      <w:r>
        <w:rPr>
          <w:rFonts w:ascii="Times New Roman" w:hAnsi="Times New Roman"/>
          <w:noProof/>
          <w:sz w:val="24"/>
        </w:rPr>
        <w:t xml:space="preserve"> til Eurostat i april og oktober. I forbindelse med indberetningen i oktober udfyldte alle medlemsstater EDP-skema 1 fuldt ud og gav oplysninger i EDP-skema 2 om sammenhængen mellem de offentlige budgetters saldo og det offentlige overskud/underskud for alle delsektorer. Nogle medlemsstater (Tyskland og Østrig) indberettede ikke alle de korrektionsposter, der var anmodet om i skemaet, og andre (Tyskland, Italien, Nederlandene, Finland og Sverige) medtog en række yderligere korrektionsposter.</w:t>
      </w:r>
    </w:p>
    <w:p>
      <w:pPr>
        <w:spacing w:before="120" w:after="120" w:line="240" w:lineRule="auto"/>
        <w:ind w:left="850"/>
        <w:jc w:val="both"/>
        <w:rPr>
          <w:rFonts w:ascii="Times New Roman" w:hAnsi="Times New Roman"/>
          <w:noProof/>
          <w:sz w:val="24"/>
        </w:rPr>
      </w:pPr>
      <w:r>
        <w:rPr>
          <w:rFonts w:ascii="Times New Roman" w:hAnsi="Times New Roman"/>
          <w:noProof/>
          <w:sz w:val="24"/>
        </w:rPr>
        <w:t>Ikke alle medlemsstater leverede samtlige underopdelinger i EDP-skema 3, navnlig hvad angår kommunal forvaltning og service.</w:t>
      </w:r>
    </w:p>
    <w:p>
      <w:pPr>
        <w:spacing w:before="120" w:after="120" w:line="240" w:lineRule="auto"/>
        <w:ind w:left="850"/>
        <w:jc w:val="both"/>
        <w:rPr>
          <w:rFonts w:ascii="Times New Roman" w:hAnsi="Times New Roman"/>
          <w:noProof/>
          <w:sz w:val="24"/>
        </w:rPr>
      </w:pPr>
      <w:r>
        <w:rPr>
          <w:rFonts w:ascii="Times New Roman" w:hAnsi="Times New Roman"/>
          <w:noProof/>
          <w:sz w:val="24"/>
        </w:rPr>
        <w:t>Den offentlige beholdning af handelskreditter og forudbetalinger bør indberettes i EDP-skema 4. En fuldstændig dækning af alle offentlige delsektorer såvel som inden for delsektorerne er dog endnu ikke opnået for alle medlemsstaters vedkommende. Nogle medlemsstater mærkede de data, de indberettede, som værende enten foreløbige eller estimerede data. Som følge heraf kan dataene for Belgien, Bulgarien, Tyskland, Irland, Frankrig, Italien, Cypern, Luxembourg, Malta, Nederlandene, Polen og Det Forenede Kongerige blive ændret i fremtidige indberetninger.</w:t>
      </w:r>
    </w:p>
    <w:p>
      <w:pPr>
        <w:spacing w:before="120" w:after="120" w:line="240" w:lineRule="auto"/>
        <w:ind w:left="850"/>
        <w:jc w:val="both"/>
        <w:rPr>
          <w:rFonts w:ascii="Times New Roman" w:hAnsi="Times New Roman"/>
          <w:noProof/>
          <w:sz w:val="24"/>
        </w:rPr>
      </w:pPr>
      <w:r>
        <w:rPr>
          <w:rFonts w:ascii="Times New Roman" w:hAnsi="Times New Roman"/>
          <w:noProof/>
          <w:sz w:val="24"/>
        </w:rPr>
        <w:t>Selv om der stadig kan opnås forbedringer med hensyn til fuldstændigheden af EDP-skemaerne, forventes de udestående spørgsmål kun at få ringe indvirkning på datakvaliteten.</w:t>
      </w:r>
    </w:p>
    <w:p>
      <w:pPr>
        <w:spacing w:before="120" w:after="120" w:line="240" w:lineRule="auto"/>
        <w:ind w:left="850"/>
        <w:jc w:val="both"/>
        <w:rPr>
          <w:rFonts w:ascii="Times New Roman" w:hAnsi="Times New Roman"/>
          <w:noProof/>
          <w:sz w:val="24"/>
        </w:rPr>
      </w:pPr>
      <w:r>
        <w:rPr>
          <w:rFonts w:ascii="Times New Roman" w:hAnsi="Times New Roman"/>
          <w:noProof/>
          <w:sz w:val="24"/>
        </w:rPr>
        <w:t>Alle medlemsstaterne besvarede "spørgeskemaet vedrørende EDP-indberetningsskemaerne"</w:t>
      </w:r>
      <w:r>
        <w:rPr>
          <w:rFonts w:ascii="Times New Roman" w:hAnsi="Times New Roman"/>
          <w:noProof/>
          <w:sz w:val="24"/>
          <w:vertAlign w:val="superscript"/>
        </w:rPr>
        <w:footnoteReference w:id="12"/>
      </w:r>
      <w:r>
        <w:rPr>
          <w:rFonts w:ascii="Times New Roman" w:hAnsi="Times New Roman"/>
          <w:noProof/>
          <w:sz w:val="24"/>
        </w:rPr>
        <w:t>. Selv om besvarelsernes dækning og kvalitet løbende er blevet forbedret, skal der stadig gøres fremskridt, da nogle medlemsstater ikke indberettede alle de oplysninger, der blev anmodet om. Dette gælder især for data om den offentlige sektors fordringer og gældsannulleringer, opdelingerne af andre forfaldne ikke-betalte mellemværender, registreringen af statsgarantier (hovedsagelig for kommunal forvaltning og service) og data om kapitalindskud.</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33" w:name="_Toc342558483"/>
      <w:bookmarkStart w:id="34" w:name="_Toc442173631"/>
      <w:bookmarkStart w:id="35" w:name="_Toc442869387"/>
      <w:bookmarkStart w:id="36" w:name="_Toc1565627"/>
      <w:bookmarkStart w:id="37" w:name="_Toc2169756"/>
      <w:r>
        <w:rPr>
          <w:rFonts w:ascii="Times New Roman" w:hAnsi="Times New Roman"/>
          <w:b/>
          <w:i/>
          <w:noProof/>
          <w:sz w:val="24"/>
        </w:rPr>
        <w:t xml:space="preserve">Supplerende skema til indberetning af offentlige indgreb til støtte for </w:t>
      </w:r>
      <w:bookmarkEnd w:id="33"/>
      <w:bookmarkEnd w:id="34"/>
      <w:bookmarkEnd w:id="35"/>
      <w:r>
        <w:rPr>
          <w:rFonts w:ascii="Times New Roman" w:hAnsi="Times New Roman"/>
          <w:b/>
          <w:i/>
          <w:noProof/>
          <w:sz w:val="24"/>
        </w:rPr>
        <w:t>finansielle institutioner</w:t>
      </w:r>
      <w:bookmarkEnd w:id="36"/>
      <w:bookmarkEnd w:id="37"/>
      <w:r>
        <w:rPr>
          <w:rFonts w:ascii="Times New Roman" w:hAnsi="Times New Roman"/>
          <w:b/>
          <w:i/>
          <w:noProof/>
          <w:sz w:val="24"/>
        </w:rPr>
        <w:t xml:space="preserve"> </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Eurostat har siden den 15. juli 2009 indsamlet et sæt supplerende data om offentlige indgreb til støtte for finansielle institutioner. De data, der blev indsamlet i 2018, vedrørte perioden 2007-2017. Alle medlemsstater undtagen fem (Estland, Malta, Polen, Rumænien og Slovakiet) indberettede offentlige indgreb i denne periode. I Finland (2008) og Tjekkiet (2013-2015) vedrørte de eneste indgreb, der blev indberettet, eventualforpligtelser. I 2017 indberettede de fleste medlemsstater en neutral eller begrænset underskudsforøgende virkning af offentlige indgreb til støtte for finansielle institutioner, med undtagelse af Portugal, Italien og Cypern hvor denne virkning var større. Den største akkumulerede virkning på den offentlige gæld ved udgangen af 2017 blev observeret i Grækenland, Cypern og Irland. </w:t>
      </w:r>
    </w:p>
    <w:p>
      <w:pPr>
        <w:spacing w:before="120" w:after="120" w:line="240" w:lineRule="auto"/>
        <w:ind w:left="850"/>
        <w:jc w:val="both"/>
        <w:rPr>
          <w:rFonts w:ascii="Times New Roman" w:hAnsi="Times New Roman"/>
          <w:noProof/>
          <w:sz w:val="24"/>
          <w:vertAlign w:val="superscript"/>
        </w:rPr>
      </w:pPr>
      <w:r>
        <w:rPr>
          <w:rFonts w:ascii="Times New Roman" w:hAnsi="Times New Roman"/>
          <w:noProof/>
          <w:sz w:val="24"/>
        </w:rPr>
        <w:t>Eurostat offentliggjorde sideløbende med sin EDP-pressemeddelelse et baggrundsnotat</w:t>
      </w:r>
      <w:r>
        <w:rPr>
          <w:rFonts w:ascii="Times New Roman" w:hAnsi="Times New Roman"/>
          <w:noProof/>
          <w:sz w:val="24"/>
          <w:vertAlign w:val="superscript"/>
        </w:rPr>
        <w:footnoteReference w:id="13"/>
      </w:r>
      <w:r>
        <w:rPr>
          <w:rFonts w:ascii="Times New Roman" w:hAnsi="Times New Roman"/>
          <w:noProof/>
          <w:sz w:val="24"/>
        </w:rPr>
        <w:t xml:space="preserve"> om offentlige indgreb til støtte for finansielle institutioner, der gav flere oplysninger om indholdet af det supplerende skema og konklusioner vedrørende data.</w:t>
      </w:r>
      <w:r>
        <w:rPr>
          <w:rFonts w:ascii="Times New Roman" w:hAnsi="Times New Roman"/>
          <w:noProof/>
          <w:sz w:val="24"/>
          <w:vertAlign w:val="superscript"/>
        </w:rPr>
        <w:t xml:space="preserve"> </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38" w:name="_Toc342558484"/>
      <w:bookmarkStart w:id="39" w:name="_Toc442173632"/>
      <w:bookmarkStart w:id="40" w:name="_Toc442869388"/>
      <w:bookmarkStart w:id="41" w:name="_Toc1565628"/>
      <w:bookmarkStart w:id="42" w:name="_Toc2169757"/>
      <w:r>
        <w:rPr>
          <w:rFonts w:ascii="Times New Roman" w:hAnsi="Times New Roman"/>
          <w:b/>
          <w:i/>
          <w:noProof/>
          <w:sz w:val="24"/>
        </w:rPr>
        <w:t>Spørgeskema om mellemstatslig långivning</w:t>
      </w:r>
      <w:bookmarkEnd w:id="38"/>
      <w:bookmarkEnd w:id="39"/>
      <w:bookmarkEnd w:id="40"/>
      <w:bookmarkEnd w:id="41"/>
      <w:bookmarkEnd w:id="42"/>
    </w:p>
    <w:p>
      <w:pPr>
        <w:spacing w:before="120" w:after="120" w:line="240" w:lineRule="auto"/>
        <w:ind w:left="850"/>
        <w:jc w:val="both"/>
        <w:rPr>
          <w:rFonts w:ascii="Times New Roman" w:hAnsi="Times New Roman"/>
          <w:noProof/>
          <w:sz w:val="24"/>
        </w:rPr>
      </w:pPr>
      <w:r>
        <w:rPr>
          <w:rFonts w:ascii="Times New Roman" w:hAnsi="Times New Roman"/>
          <w:noProof/>
          <w:sz w:val="24"/>
        </w:rPr>
        <w:t>Medlemsstaterne indberetter data om mellemstatslig långivning, sædvanligvis leveret i forbindelse med finansielle støtteprogrammer. Disse data og yderligere oplysninger om den europæiske finansielle stabilitetsfacilitet er en del af EDP-pressemeddelelsen. I perioden 2014-2017 vedrørte disse data hovedsagelig Grækenland, Irland og Portugal.</w:t>
      </w:r>
    </w:p>
    <w:p>
      <w:pPr>
        <w:spacing w:before="120" w:after="120" w:line="240" w:lineRule="auto"/>
        <w:ind w:left="850"/>
        <w:jc w:val="both"/>
        <w:rPr>
          <w:rFonts w:ascii="Times New Roman" w:hAnsi="Times New Roman"/>
          <w:noProof/>
          <w:sz w:val="24"/>
        </w:rPr>
      </w:pPr>
      <w:r>
        <w:rPr>
          <w:rFonts w:ascii="Times New Roman" w:hAnsi="Times New Roman"/>
          <w:noProof/>
          <w:sz w:val="24"/>
        </w:rPr>
        <w:t>Mellemstatslig långivning trækkes fra ved beregningen af EU-28- og euroområdeaggregaterne for offentlig gæld efter Maastrichtkriterierne, da begge vises på konsolideret basis.</w:t>
      </w:r>
    </w:p>
    <w:p>
      <w:pPr>
        <w:keepNext/>
        <w:numPr>
          <w:ilvl w:val="1"/>
          <w:numId w:val="1"/>
        </w:numPr>
        <w:spacing w:before="240" w:after="120" w:line="240" w:lineRule="auto"/>
        <w:ind w:left="851" w:hanging="851"/>
        <w:jc w:val="both"/>
        <w:outlineLvl w:val="1"/>
        <w:rPr>
          <w:rFonts w:ascii="Times New Roman" w:eastAsia="Times New Roman" w:hAnsi="Times New Roman" w:cs="Times New Roman"/>
          <w:b/>
          <w:bCs/>
          <w:noProof/>
          <w:sz w:val="24"/>
          <w:szCs w:val="26"/>
        </w:rPr>
      </w:pPr>
      <w:bookmarkStart w:id="43" w:name="_Toc342558485"/>
      <w:bookmarkStart w:id="44" w:name="_Toc442173633"/>
      <w:bookmarkStart w:id="45" w:name="_Toc442869389"/>
      <w:bookmarkStart w:id="46" w:name="_Toc1565629"/>
      <w:bookmarkStart w:id="47" w:name="_Toc2169758"/>
      <w:r>
        <w:rPr>
          <w:rFonts w:ascii="Times New Roman" w:hAnsi="Times New Roman"/>
          <w:b/>
          <w:noProof/>
          <w:sz w:val="24"/>
        </w:rPr>
        <w:t>Overholdelse af regnskabsregler og de statistiske datas konsistens</w:t>
      </w:r>
      <w:bookmarkEnd w:id="43"/>
      <w:bookmarkEnd w:id="44"/>
      <w:bookmarkEnd w:id="45"/>
      <w:bookmarkEnd w:id="46"/>
      <w:bookmarkEnd w:id="47"/>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48" w:name="_Toc342558486"/>
      <w:bookmarkStart w:id="49" w:name="_Toc442173634"/>
      <w:bookmarkStart w:id="50" w:name="_Toc442869390"/>
      <w:bookmarkStart w:id="51" w:name="_Toc1565630"/>
      <w:bookmarkStart w:id="52" w:name="_Toc2169759"/>
      <w:r>
        <w:rPr>
          <w:rFonts w:ascii="Times New Roman" w:hAnsi="Times New Roman"/>
          <w:b/>
          <w:i/>
          <w:noProof/>
          <w:sz w:val="24"/>
        </w:rPr>
        <w:t>Udveksling af oplysninger og redegørelser</w:t>
      </w:r>
      <w:bookmarkEnd w:id="48"/>
      <w:bookmarkEnd w:id="49"/>
      <w:bookmarkEnd w:id="50"/>
      <w:bookmarkEnd w:id="51"/>
      <w:bookmarkEnd w:id="52"/>
    </w:p>
    <w:p>
      <w:pPr>
        <w:spacing w:before="120" w:after="120" w:line="240" w:lineRule="auto"/>
        <w:ind w:left="850"/>
        <w:jc w:val="both"/>
        <w:rPr>
          <w:rFonts w:ascii="Times New Roman" w:hAnsi="Times New Roman"/>
          <w:noProof/>
          <w:sz w:val="24"/>
        </w:rPr>
      </w:pPr>
      <w:r>
        <w:rPr>
          <w:rFonts w:ascii="Times New Roman" w:hAnsi="Times New Roman"/>
          <w:noProof/>
          <w:sz w:val="24"/>
        </w:rPr>
        <w:t>I den tre uger lange indberetningsperiode mellem forårs-/efterårsindberetningsfristen og offentliggørelsesdatoen kontaktede Eurostat alle medlemsstaternes nationale statistikmyndigheder for at anmode om yderligere oplysninger og for at præcisere, hvordan regnskabsreglerne skal anvendes i forbindelse med bestemte transaktioner. Denne korrespondance skete ad flere omgange.</w:t>
      </w:r>
    </w:p>
    <w:p>
      <w:pPr>
        <w:spacing w:before="120" w:after="120" w:line="240" w:lineRule="auto"/>
        <w:ind w:left="850"/>
        <w:jc w:val="both"/>
        <w:rPr>
          <w:rFonts w:ascii="Times New Roman" w:hAnsi="Times New Roman"/>
          <w:noProof/>
          <w:sz w:val="24"/>
        </w:rPr>
      </w:pPr>
      <w:r>
        <w:rPr>
          <w:rFonts w:ascii="Times New Roman" w:hAnsi="Times New Roman"/>
          <w:noProof/>
          <w:sz w:val="24"/>
        </w:rPr>
        <w:t>I forbindelse med indberetningsperioden for efteråret 2018 blev den første runde anmodninger om præciseringer sendt til alle medlemsstater inden den 5. oktober, og den anden runde blev sendt inden den 12. oktober – i en tredje runde blev der sendt anmodninger til 16 medlemsstater, og i en fjerde runde blev der sendt til én medlemsstat. Eurostat anmodede visse medlemsstater om at fremlægge reviderede "EDP-indberetningsskemaer", reviderede skemaer for de tilgrundliggende offentlige regnskaber (dvs. udgifts- og indtægtsregnskaber på årsbasis og finansielle og ikke-finansielle konti på kvartalsbasis) og et revideret "spørgeskema vedrørende EDP-indberetningsskemaerne". I de fleste tilfælde bestod ændringerne til dataene af rettelser af tekniske fejl, interne uoverensstemmelser og justeringer. Nogle få ændringer vedrørte en opdatering af kildedataene for de faktiske og forventede data.</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53" w:name="_Toc342558487"/>
      <w:bookmarkStart w:id="54" w:name="_Toc442173635"/>
      <w:bookmarkStart w:id="55" w:name="_Toc442869391"/>
      <w:bookmarkStart w:id="56" w:name="_Toc1565631"/>
      <w:bookmarkStart w:id="57" w:name="_Toc2169760"/>
      <w:r>
        <w:rPr>
          <w:rFonts w:ascii="Times New Roman" w:hAnsi="Times New Roman"/>
          <w:b/>
          <w:i/>
          <w:noProof/>
          <w:sz w:val="24"/>
        </w:rPr>
        <w:t>Dialogbesøg og metodologiske besøg</w:t>
      </w:r>
      <w:bookmarkEnd w:id="53"/>
      <w:bookmarkEnd w:id="54"/>
      <w:bookmarkEnd w:id="55"/>
      <w:bookmarkEnd w:id="56"/>
      <w:bookmarkEnd w:id="57"/>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Der er i forordning (EF) nr. 479/2009 fastsat bestemmelser om, at Eurostat gennemfører dialogbesøg og metodologiske besøg i medlemsstaterne. Repræsentanter for GD for Økonomiske og Finansielle Anliggender og Den Europæiske Centralbank deltager regelmæssigt i disse besøg som observatører. </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I forbindelse med de </w:t>
      </w:r>
      <w:r>
        <w:rPr>
          <w:rFonts w:ascii="Times New Roman" w:hAnsi="Times New Roman"/>
          <w:i/>
          <w:noProof/>
          <w:sz w:val="24"/>
        </w:rPr>
        <w:t>regelmæssige</w:t>
      </w:r>
      <w:r>
        <w:rPr>
          <w:rFonts w:ascii="Times New Roman" w:hAnsi="Times New Roman"/>
          <w:noProof/>
          <w:sz w:val="24"/>
        </w:rPr>
        <w:t xml:space="preserve"> (som minimum hvert andet år) dialogbesøg i medlemsstaterne gennemgår Eurostat de indberettede data, undersøger metodologiske spørgsmål, drøfter de statistiske procedurer og kilder, der er beskrevet i oversigterne, og vurderer overholdelsen af de relevante regnskabsregler (afgrænsning af den offentlige sektor, registreringstidspunktet og klassificering af offentlige transaktioner og forpligtelser). </w:t>
      </w:r>
    </w:p>
    <w:p>
      <w:pPr>
        <w:spacing w:before="120" w:after="120" w:line="240" w:lineRule="auto"/>
        <w:ind w:left="850"/>
        <w:jc w:val="both"/>
        <w:rPr>
          <w:rFonts w:ascii="Times New Roman" w:hAnsi="Times New Roman"/>
          <w:noProof/>
          <w:sz w:val="24"/>
        </w:rPr>
      </w:pPr>
      <w:r>
        <w:rPr>
          <w:rFonts w:ascii="Times New Roman" w:hAnsi="Times New Roman"/>
          <w:i/>
          <w:noProof/>
          <w:sz w:val="24"/>
        </w:rPr>
        <w:t>Metodologiske</w:t>
      </w:r>
      <w:r>
        <w:rPr>
          <w:rFonts w:ascii="Times New Roman" w:hAnsi="Times New Roman"/>
          <w:noProof/>
          <w:sz w:val="24"/>
        </w:rPr>
        <w:t xml:space="preserve"> besøg finder normalt kun sted i særlige tilfælde, hvor der entydigt er konstateret væsentlige risici eller problemer i forbindelse med dataenes kvalitet.</w:t>
      </w:r>
    </w:p>
    <w:p>
      <w:pPr>
        <w:spacing w:before="120" w:after="120" w:line="240" w:lineRule="auto"/>
        <w:ind w:left="850"/>
        <w:jc w:val="both"/>
        <w:rPr>
          <w:rFonts w:ascii="Times New Roman" w:hAnsi="Times New Roman"/>
          <w:noProof/>
          <w:sz w:val="24"/>
        </w:rPr>
      </w:pPr>
      <w:r>
        <w:rPr>
          <w:rFonts w:ascii="Times New Roman" w:hAnsi="Times New Roman"/>
          <w:noProof/>
          <w:sz w:val="24"/>
        </w:rPr>
        <w:t>Der kan også tilrettelægges</w:t>
      </w:r>
      <w:r>
        <w:rPr>
          <w:rFonts w:ascii="Times New Roman" w:hAnsi="Times New Roman"/>
          <w:i/>
          <w:noProof/>
          <w:sz w:val="24"/>
        </w:rPr>
        <w:t xml:space="preserve"> ad hoc-besøg</w:t>
      </w:r>
      <w:r>
        <w:rPr>
          <w:rFonts w:ascii="Times New Roman" w:hAnsi="Times New Roman"/>
          <w:noProof/>
          <w:sz w:val="24"/>
        </w:rPr>
        <w:t xml:space="preserve"> eller</w:t>
      </w:r>
      <w:r>
        <w:rPr>
          <w:rFonts w:ascii="Times New Roman" w:hAnsi="Times New Roman"/>
          <w:i/>
          <w:noProof/>
          <w:sz w:val="24"/>
        </w:rPr>
        <w:t xml:space="preserve"> tekniske besøg</w:t>
      </w:r>
      <w:r>
        <w:rPr>
          <w:rFonts w:ascii="Times New Roman" w:hAnsi="Times New Roman"/>
          <w:noProof/>
          <w:sz w:val="24"/>
        </w:rPr>
        <w:t>, hvis Eurostat tager et særligt vigtigt spørgsmål op med en medlemsstat, som kun kan løses ved et møde med de berørte myndigheder.</w:t>
      </w:r>
    </w:p>
    <w:p>
      <w:pPr>
        <w:spacing w:before="120" w:after="120" w:line="240" w:lineRule="auto"/>
        <w:ind w:left="850"/>
        <w:jc w:val="both"/>
        <w:rPr>
          <w:rFonts w:ascii="Times New Roman" w:hAnsi="Times New Roman"/>
          <w:noProof/>
          <w:sz w:val="24"/>
        </w:rPr>
      </w:pPr>
      <w:r>
        <w:rPr>
          <w:rFonts w:ascii="Times New Roman" w:hAnsi="Times New Roman"/>
          <w:noProof/>
          <w:sz w:val="24"/>
        </w:rPr>
        <w:t>I 2018 aflagde Eurostat EDP-dialogbesøg i Nederlandene, Finland, Rumænien, Tyskland, Polen, Grækenland (to gange), Litauen, Malta, Bulgarien, Belgien, Kroatien og Italien. Der blev også aflagt ad hoc-besøg i Frankrig og Spanien og ét teknisk besøg på Island, men ingen metodologiske besøg.</w:t>
      </w:r>
    </w:p>
    <w:p>
      <w:pPr>
        <w:spacing w:before="120" w:after="120" w:line="240" w:lineRule="auto"/>
        <w:ind w:left="851"/>
        <w:jc w:val="both"/>
        <w:rPr>
          <w:rFonts w:ascii="Times New Roman" w:hAnsi="Times New Roman"/>
          <w:noProof/>
          <w:sz w:val="24"/>
        </w:rPr>
      </w:pPr>
      <w:r>
        <w:rPr>
          <w:rFonts w:ascii="Times New Roman" w:hAnsi="Times New Roman"/>
          <w:noProof/>
          <w:sz w:val="24"/>
        </w:rPr>
        <w:t>De endelige resultater af hvert dialogbesøg, herunder de aftalte aktionspunkter og status for de spørgsmål, som blev rejst, sendes til Det Økonomiske og Finansielle Udvalg og offentliggøres på Eurostats hjemmeside</w:t>
      </w:r>
      <w:r>
        <w:rPr>
          <w:rFonts w:ascii="Times New Roman" w:hAnsi="Times New Roman"/>
          <w:noProof/>
          <w:sz w:val="24"/>
          <w:vertAlign w:val="superscript"/>
        </w:rPr>
        <w:footnoteReference w:id="14"/>
      </w:r>
      <w:r>
        <w:rPr>
          <w:rFonts w:ascii="Times New Roman" w:hAnsi="Times New Roman"/>
          <w:noProof/>
          <w:sz w:val="24"/>
        </w:rPr>
        <w:t>. Dialogbesøgene samt gennemførelsen af disse aktionspunkter har gradvist forbedret datakvaliteten betydeligt.</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58" w:name="_Toc342558488"/>
      <w:bookmarkStart w:id="59" w:name="_Toc442173636"/>
      <w:bookmarkStart w:id="60" w:name="_Toc442869392"/>
      <w:bookmarkStart w:id="61" w:name="_Toc1565632"/>
      <w:bookmarkStart w:id="62" w:name="_Toc2169761"/>
      <w:r>
        <w:rPr>
          <w:rFonts w:ascii="Times New Roman" w:hAnsi="Times New Roman"/>
          <w:b/>
          <w:i/>
          <w:noProof/>
          <w:sz w:val="24"/>
        </w:rPr>
        <w:t>Særlig rådgivning ydet af Eurostat</w:t>
      </w:r>
      <w:bookmarkEnd w:id="58"/>
      <w:bookmarkEnd w:id="59"/>
      <w:bookmarkEnd w:id="60"/>
      <w:bookmarkEnd w:id="61"/>
      <w:bookmarkEnd w:id="62"/>
    </w:p>
    <w:p>
      <w:pPr>
        <w:spacing w:before="120" w:after="120" w:line="240" w:lineRule="auto"/>
        <w:ind w:left="850"/>
        <w:jc w:val="both"/>
        <w:rPr>
          <w:rFonts w:ascii="Times New Roman" w:hAnsi="Times New Roman"/>
          <w:noProof/>
          <w:sz w:val="24"/>
        </w:rPr>
      </w:pPr>
      <w:r>
        <w:rPr>
          <w:rFonts w:ascii="Times New Roman" w:hAnsi="Times New Roman"/>
          <w:noProof/>
          <w:sz w:val="24"/>
        </w:rPr>
        <w:t>Medlemsstaterne spørger regelmæssigt Eurostat til råds om nationalregnskabstekniske spørgsmål vedrørende fremtidige eller allerede gennemførte transaktioner. Eurostat yder rådgivning i overensstemmelse med de offentliggjorte retningslinjer</w:t>
      </w:r>
      <w:r>
        <w:rPr>
          <w:rFonts w:ascii="Times New Roman" w:hAnsi="Times New Roman"/>
          <w:noProof/>
          <w:sz w:val="24"/>
          <w:vertAlign w:val="superscript"/>
        </w:rPr>
        <w:footnoteReference w:id="15"/>
      </w:r>
      <w:r>
        <w:rPr>
          <w:rFonts w:ascii="Times New Roman" w:hAnsi="Times New Roman"/>
          <w:noProof/>
          <w:sz w:val="24"/>
        </w:rPr>
        <w:t>. Af hensyn til gennemsigtigheden har Eurostat siden juli 2016</w:t>
      </w:r>
      <w:r>
        <w:rPr>
          <w:rFonts w:ascii="Times New Roman" w:hAnsi="Times New Roman"/>
          <w:noProof/>
          <w:sz w:val="24"/>
          <w:vertAlign w:val="superscript"/>
        </w:rPr>
        <w:footnoteReference w:id="16"/>
      </w:r>
      <w:r>
        <w:rPr>
          <w:rFonts w:ascii="Times New Roman" w:hAnsi="Times New Roman"/>
          <w:noProof/>
          <w:sz w:val="24"/>
        </w:rPr>
        <w:t xml:space="preserve"> offentliggjort alle sine rådgivningsskrivelser uden først at indhente samtykke fra den berørte medlemsstat, sådan som det var praksis indtil da. Eurostat offentliggjorde 21 rådgivningsskrivelser i 2018.</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63" w:name="_Toc342558489"/>
      <w:bookmarkStart w:id="64" w:name="_Toc442173638"/>
      <w:bookmarkStart w:id="65" w:name="_Toc442869394"/>
      <w:bookmarkStart w:id="66" w:name="_Toc1565633"/>
      <w:bookmarkStart w:id="67" w:name="_Toc2169762"/>
      <w:r>
        <w:rPr>
          <w:rFonts w:ascii="Times New Roman" w:hAnsi="Times New Roman"/>
          <w:b/>
          <w:i/>
          <w:noProof/>
          <w:sz w:val="24"/>
        </w:rPr>
        <w:t>Nyere metodologiske spørgsmål</w:t>
      </w:r>
      <w:bookmarkEnd w:id="63"/>
      <w:bookmarkEnd w:id="64"/>
      <w:bookmarkEnd w:id="65"/>
      <w:bookmarkEnd w:id="66"/>
      <w:bookmarkEnd w:id="67"/>
    </w:p>
    <w:p>
      <w:pPr>
        <w:spacing w:before="120" w:after="120" w:line="240" w:lineRule="auto"/>
        <w:ind w:left="851"/>
        <w:jc w:val="both"/>
        <w:rPr>
          <w:noProof/>
        </w:rPr>
      </w:pPr>
      <w:r>
        <w:rPr>
          <w:rFonts w:ascii="Times New Roman" w:hAnsi="Times New Roman"/>
          <w:noProof/>
          <w:sz w:val="24"/>
        </w:rPr>
        <w:t>Eurostat overvåger anvendelsen af reglerne i ENS 2010 og dens metodologiske afgørelser ved at analysere de data, som medlemsstaterne har indberettet i EDP-skemaerne og "spørgeskemaet vedrørende EDP-indberetningsskemaerne", samt gennem drøftelser med de nationale statistikmyndigheder under EDP-dialogbesøgene.</w:t>
      </w:r>
      <w:bookmarkStart w:id="68" w:name="_Toc474487300"/>
      <w:bookmarkStart w:id="69" w:name="_Toc498100906"/>
      <w:bookmarkStart w:id="70" w:name="_Toc342558490"/>
      <w:bookmarkStart w:id="71" w:name="_Toc442173639"/>
      <w:bookmarkStart w:id="72" w:name="_Toc442869395"/>
      <w:bookmarkStart w:id="73" w:name="_Ref66503600"/>
      <w:bookmarkStart w:id="74" w:name="_Ref66503620"/>
    </w:p>
    <w:p>
      <w:pPr>
        <w:spacing w:before="120" w:after="120" w:line="240" w:lineRule="auto"/>
        <w:ind w:left="851"/>
        <w:jc w:val="both"/>
        <w:rPr>
          <w:rFonts w:ascii="Times New Roman" w:hAnsi="Times New Roman" w:cs="Times New Roman"/>
          <w:noProof/>
          <w:sz w:val="24"/>
          <w:szCs w:val="24"/>
        </w:rPr>
      </w:pPr>
      <w:r>
        <w:rPr>
          <w:rFonts w:ascii="Times New Roman" w:hAnsi="Times New Roman"/>
          <w:noProof/>
          <w:sz w:val="24"/>
        </w:rPr>
        <w:t>Eurostat stiller yderligere metodologisk vejledningsmateriale om regnskabsreglerne for både EDP-statistikker og statistikker over statsfinanserne (GFS - government finance statistics), der supplerer de generelle bestemmelser i ENS 2010, til rådighed. Der udsendes vejledninger under Eurostats ansvar efter høring af medlemsstaternes statistikmyndigheder. Der udsendes præciseringer under Eurostats ansvar, hvori der redegøres for regnskabsreglerne for en række meget specifikke spørgsmål.</w:t>
      </w:r>
      <w:bookmarkEnd w:id="68"/>
      <w:bookmarkEnd w:id="69"/>
    </w:p>
    <w:p>
      <w:pPr>
        <w:spacing w:before="120" w:after="120" w:line="240" w:lineRule="auto"/>
        <w:ind w:left="851"/>
        <w:jc w:val="both"/>
        <w:rPr>
          <w:i/>
          <w:noProof/>
          <w:szCs w:val="24"/>
        </w:rPr>
      </w:pPr>
      <w:bookmarkStart w:id="75" w:name="_Toc474487301"/>
      <w:bookmarkStart w:id="76" w:name="_Toc498100907"/>
      <w:r>
        <w:rPr>
          <w:rFonts w:ascii="Times New Roman" w:hAnsi="Times New Roman"/>
          <w:noProof/>
          <w:sz w:val="24"/>
        </w:rPr>
        <w:t>Den 8. maj 2018 offentliggjorde Eurostat en vejledning</w:t>
      </w:r>
      <w:r>
        <w:rPr>
          <w:rFonts w:ascii="Times New Roman" w:hAnsi="Times New Roman"/>
          <w:noProof/>
          <w:sz w:val="24"/>
          <w:vertAlign w:val="superscript"/>
        </w:rPr>
        <w:footnoteReference w:id="17"/>
      </w:r>
      <w:r>
        <w:rPr>
          <w:rFonts w:ascii="Times New Roman" w:hAnsi="Times New Roman"/>
          <w:noProof/>
          <w:sz w:val="24"/>
        </w:rPr>
        <w:t xml:space="preserve"> om den statistiske behandling af kontrakter om energimæssig ydeevne.</w:t>
      </w:r>
      <w:bookmarkEnd w:id="75"/>
      <w:bookmarkEnd w:id="76"/>
    </w:p>
    <w:p>
      <w:pPr>
        <w:spacing w:before="120" w:after="120" w:line="240" w:lineRule="auto"/>
        <w:ind w:left="851"/>
        <w:jc w:val="both"/>
        <w:rPr>
          <w:rFonts w:ascii="Times New Roman" w:hAnsi="Times New Roman" w:cs="Times New Roman"/>
          <w:noProof/>
          <w:sz w:val="24"/>
        </w:rPr>
      </w:pPr>
      <w:bookmarkStart w:id="77" w:name="_Toc474487302"/>
      <w:r>
        <w:rPr>
          <w:rFonts w:ascii="Times New Roman" w:hAnsi="Times New Roman"/>
          <w:noProof/>
          <w:sz w:val="24"/>
        </w:rPr>
        <w:t>De emner, der ikke var dækket i tilstrækkelig grad, gennem eksisterende vejledninger og retningslinjer blev analyseret nærmere og drøftet i tekniske arbejdsgrupper og projektgrupper.</w:t>
      </w:r>
    </w:p>
    <w:p>
      <w:pPr>
        <w:spacing w:before="120" w:after="120" w:line="240" w:lineRule="auto"/>
        <w:ind w:left="851"/>
        <w:jc w:val="both"/>
        <w:rPr>
          <w:rFonts w:ascii="Times New Roman" w:hAnsi="Times New Roman" w:cs="Times New Roman"/>
          <w:noProof/>
          <w:sz w:val="24"/>
          <w:szCs w:val="24"/>
        </w:rPr>
      </w:pPr>
      <w:bookmarkStart w:id="78" w:name="_Toc498100908"/>
      <w:r>
        <w:rPr>
          <w:rFonts w:ascii="Times New Roman" w:hAnsi="Times New Roman"/>
          <w:noProof/>
          <w:sz w:val="24"/>
        </w:rPr>
        <w:t>Ud over de to regelmæssige møder i arbejdsgruppen for EDP-statistikker arrangerede Eurostat også tre møder i projektgrupper (to om EDP-metodologiske spørgsmål og ét om statistikker over statsfinanserne).</w:t>
      </w:r>
      <w:bookmarkEnd w:id="78"/>
    </w:p>
    <w:p>
      <w:pPr>
        <w:spacing w:before="120" w:after="120" w:line="240" w:lineRule="auto"/>
        <w:ind w:left="851"/>
        <w:jc w:val="both"/>
        <w:rPr>
          <w:rFonts w:ascii="Times New Roman" w:hAnsi="Times New Roman" w:cs="Times New Roman"/>
          <w:noProof/>
          <w:sz w:val="24"/>
        </w:rPr>
      </w:pPr>
      <w:r>
        <w:rPr>
          <w:rFonts w:ascii="Times New Roman" w:hAnsi="Times New Roman"/>
          <w:noProof/>
          <w:sz w:val="24"/>
        </w:rPr>
        <w:t>Som følge af Økofinrådets konklusioner fra november 2017 analyserede Eurostat virkningsfuldheden af de nye "procedurer for udvikling og gennemførelse af metodologien til understøttelse af EDP-data</w:t>
      </w:r>
      <w:r>
        <w:rPr>
          <w:rFonts w:ascii="Times New Roman" w:hAnsi="Times New Roman"/>
          <w:noProof/>
          <w:sz w:val="24"/>
          <w:vertAlign w:val="superscript"/>
        </w:rPr>
        <w:footnoteReference w:id="18"/>
      </w:r>
      <w:r>
        <w:rPr>
          <w:rFonts w:ascii="Times New Roman" w:hAnsi="Times New Roman"/>
          <w:noProof/>
          <w:sz w:val="24"/>
        </w:rPr>
        <w:t>" efter ét års erfaring med fokus på procedurernes anvendelse til at udvikle de forskellige typer metodologiske retningslinjer, som fortolker og supplerer ENS 2010. I Økofinrådets konklusioner om EU-statistikker fra november 2018</w:t>
      </w:r>
      <w:r>
        <w:rPr>
          <w:rStyle w:val="FootnoteReference"/>
          <w:rFonts w:ascii="Times New Roman" w:hAnsi="Times New Roman"/>
          <w:noProof/>
          <w:sz w:val="24"/>
        </w:rPr>
        <w:footnoteReference w:id="19"/>
      </w:r>
      <w:r>
        <w:rPr>
          <w:rFonts w:ascii="Times New Roman" w:hAnsi="Times New Roman"/>
          <w:noProof/>
          <w:sz w:val="24"/>
        </w:rPr>
        <w:t xml:space="preserve"> blev det understreget, at Rådet glæder sig over fremskridtene med indførelsen af metodiske ændringer på en struktureret og planmæssig måde og med de nye procedurer for den nye vejledning. Eurostat vil fortsat samarbejde med medlemsstaterne om at supplere og præcisere de eksisterende procedurer i forbindelse med EDP-data for at sikre, at de anvendes på virkningsfuld vis.</w:t>
      </w:r>
    </w:p>
    <w:p>
      <w:pPr>
        <w:spacing w:before="120" w:after="120" w:line="240" w:lineRule="auto"/>
        <w:ind w:left="851"/>
        <w:jc w:val="both"/>
        <w:rPr>
          <w:rFonts w:ascii="Times New Roman" w:hAnsi="Times New Roman" w:cs="Times New Roman"/>
          <w:noProof/>
          <w:sz w:val="24"/>
        </w:rPr>
      </w:pPr>
      <w:r>
        <w:rPr>
          <w:rFonts w:ascii="Times New Roman" w:hAnsi="Times New Roman"/>
          <w:noProof/>
          <w:sz w:val="24"/>
        </w:rPr>
        <w:t>Den 22. februar 2017 vedtog Kommissionen sin rapport</w:t>
      </w:r>
      <w:r>
        <w:rPr>
          <w:rStyle w:val="FootnoteReference"/>
          <w:rFonts w:ascii="Times New Roman" w:hAnsi="Times New Roman"/>
          <w:noProof/>
          <w:sz w:val="24"/>
        </w:rPr>
        <w:footnoteReference w:id="20"/>
      </w:r>
      <w:r>
        <w:rPr>
          <w:rFonts w:ascii="Times New Roman" w:hAnsi="Times New Roman"/>
          <w:noProof/>
          <w:sz w:val="24"/>
        </w:rPr>
        <w:t xml:space="preserve"> om undersøgelsen vedrørende manipulation af statistikker i Østrig, som omhandlet i forordning (EU) nr. 1173/2011</w:t>
      </w:r>
      <w:r>
        <w:rPr>
          <w:rStyle w:val="FootnoteReference"/>
          <w:rFonts w:ascii="Times New Roman" w:hAnsi="Times New Roman"/>
          <w:noProof/>
          <w:sz w:val="24"/>
        </w:rPr>
        <w:footnoteReference w:id="21"/>
      </w:r>
      <w:r>
        <w:rPr>
          <w:rFonts w:ascii="Times New Roman" w:hAnsi="Times New Roman"/>
          <w:noProof/>
          <w:sz w:val="24"/>
        </w:rPr>
        <w:t xml:space="preserve"> og et forslag</w:t>
      </w:r>
      <w:r>
        <w:rPr>
          <w:rStyle w:val="FootnoteReference"/>
          <w:rFonts w:ascii="Times New Roman" w:hAnsi="Times New Roman"/>
          <w:noProof/>
          <w:sz w:val="24"/>
        </w:rPr>
        <w:footnoteReference w:id="22"/>
      </w:r>
      <w:r>
        <w:rPr>
          <w:rFonts w:ascii="Times New Roman" w:hAnsi="Times New Roman"/>
          <w:noProof/>
          <w:sz w:val="24"/>
        </w:rPr>
        <w:t xml:space="preserve"> til Rådets gennemførelsesafgørelse om en bod, der pålægges Østrig for manipulation af gældsdata i delstaten Salzburg. Jf. artikel 8, stk. 1, i forordningen vedtog Rådet den 28. maj 2018 gennemførelsesafgørelsen</w:t>
      </w:r>
      <w:r>
        <w:rPr>
          <w:rStyle w:val="FootnoteReference"/>
          <w:rFonts w:ascii="Times New Roman" w:hAnsi="Times New Roman"/>
          <w:noProof/>
          <w:sz w:val="24"/>
        </w:rPr>
        <w:footnoteReference w:id="23"/>
      </w:r>
      <w:r>
        <w:rPr>
          <w:rFonts w:ascii="Times New Roman" w:hAnsi="Times New Roman"/>
          <w:noProof/>
          <w:sz w:val="24"/>
        </w:rPr>
        <w:t xml:space="preserve"> og pålagde Østrig en bøde på 26,82 mio. EUR for misvisende fremstilling af data for den offentlige gæld som følge af grov uagtsomhed hos tre enheder i Østrigs offentlige sektor.</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79" w:name="_Toc1565634"/>
      <w:bookmarkStart w:id="80" w:name="_Toc2169763"/>
      <w:bookmarkEnd w:id="77"/>
      <w:r>
        <w:rPr>
          <w:rFonts w:ascii="Times New Roman" w:hAnsi="Times New Roman"/>
          <w:b/>
          <w:i/>
          <w:noProof/>
          <w:sz w:val="24"/>
        </w:rPr>
        <w:t>Overensstemmelse med de tilgrundliggende offentlige regnskaber</w:t>
      </w:r>
      <w:bookmarkEnd w:id="70"/>
      <w:bookmarkEnd w:id="71"/>
      <w:bookmarkEnd w:id="72"/>
      <w:bookmarkEnd w:id="79"/>
      <w:bookmarkEnd w:id="80"/>
    </w:p>
    <w:p>
      <w:pPr>
        <w:spacing w:before="120" w:after="120" w:line="240" w:lineRule="auto"/>
        <w:ind w:left="850"/>
        <w:jc w:val="both"/>
        <w:rPr>
          <w:rFonts w:ascii="Times New Roman" w:hAnsi="Times New Roman"/>
          <w:noProof/>
          <w:sz w:val="24"/>
        </w:rPr>
      </w:pPr>
      <w:r>
        <w:rPr>
          <w:rFonts w:ascii="Times New Roman" w:hAnsi="Times New Roman"/>
          <w:noProof/>
          <w:sz w:val="24"/>
        </w:rPr>
        <w:t>Indberetningsfristerne, som ved forordning (EF) nr. 479/2009 blev fastsat til den 1. april og den 1. oktober, blev indført for at sikre overensstemmelse med de tilgrundliggende årlige og kvartårlige regnskaber for sektoren offentlig forvaltning, som leveret gennem forskellige ENS-indberetninger til Eurostat. Navnlig bør de samlede udgifts- og indtægtsbeløb være i overensstemmelse med de indberettede EDP-data for overskud og underskud.</w:t>
      </w:r>
    </w:p>
    <w:p>
      <w:pPr>
        <w:spacing w:before="120" w:after="120" w:line="240" w:lineRule="auto"/>
        <w:ind w:left="850"/>
        <w:jc w:val="both"/>
        <w:rPr>
          <w:rFonts w:ascii="Times New Roman" w:hAnsi="Times New Roman"/>
          <w:noProof/>
          <w:sz w:val="24"/>
        </w:rPr>
      </w:pPr>
      <w:r>
        <w:rPr>
          <w:rFonts w:ascii="Times New Roman" w:hAnsi="Times New Roman"/>
          <w:noProof/>
          <w:sz w:val="24"/>
        </w:rPr>
        <w:t>EDP-dataene stemte som regel overens med de indberettede ENS 2010-regnskaber for den offentlige sektor, selv om både statuskontiene for finansielle aktiver og passiver (beholdninger) og de finansielle konti for offentlig forvaltning og service på kvartalsbasis (ENS-skema 27) gav anledning til bekymring. Der er stadig behov for en yderligere indsats fra visse medlemsstater for at forbedre konsistensen mellem EDP-skema 3 og ENS-tabel 27.</w:t>
      </w:r>
    </w:p>
    <w:p>
      <w:pPr>
        <w:spacing w:before="120" w:after="120" w:line="240" w:lineRule="auto"/>
        <w:ind w:left="850"/>
        <w:jc w:val="both"/>
        <w:rPr>
          <w:rFonts w:ascii="Times New Roman" w:hAnsi="Times New Roman"/>
          <w:noProof/>
          <w:sz w:val="24"/>
        </w:rPr>
      </w:pPr>
      <w:r>
        <w:rPr>
          <w:rFonts w:ascii="Times New Roman" w:hAnsi="Times New Roman"/>
          <w:noProof/>
          <w:sz w:val="24"/>
        </w:rPr>
        <w:t>Der er betydelige uoverensstemmelser vedrørende finansielle nettotransaktioner for en række år for Grækenland, eftersom de finansielle regnskaber, der er indberettet af den græske nationalbank, ikke er enslydende med de EDP-data, der er indberettet af ELSTAT. Den græske nationalbank har ikke fulgt Eurostats vejledning for ENS 2010-regnskaber på en række områder. I oktober 2015 besluttede Eurostat at undlade at offentliggøre ENS-tabel 27 for Grækenland, indtil problemerne var blevet løst.</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Der er også betydelige uoverensstemmelser for Frankrig i bogføringen af andre forfaldne ikke-betalte mellemværender hos statslig forvaltning og service samt sociale kasser og fonde i 2017. </w:t>
      </w:r>
    </w:p>
    <w:p>
      <w:pPr>
        <w:spacing w:before="120" w:after="120" w:line="240" w:lineRule="auto"/>
        <w:ind w:left="850"/>
        <w:jc w:val="both"/>
        <w:rPr>
          <w:rFonts w:ascii="Times New Roman" w:hAnsi="Times New Roman"/>
          <w:noProof/>
          <w:sz w:val="24"/>
        </w:rPr>
      </w:pPr>
      <w:r>
        <w:rPr>
          <w:rFonts w:ascii="Times New Roman" w:hAnsi="Times New Roman"/>
          <w:noProof/>
          <w:sz w:val="24"/>
        </w:rPr>
        <w:t>Hvad angår Tyskland, Portugal (2014-2017) og Spanien (2014-2016) adskiller indberetningen af statistiske afvigelser i indberetningsskemaet for oktober 2018 sig fra konventionen for ENS-tabel 27, og dette fører til betydelige forskelle for alle årene.</w:t>
      </w:r>
    </w:p>
    <w:p>
      <w:pPr>
        <w:spacing w:before="120" w:after="120" w:line="240" w:lineRule="auto"/>
        <w:ind w:left="850"/>
        <w:jc w:val="both"/>
        <w:rPr>
          <w:rFonts w:ascii="Times New Roman" w:hAnsi="Times New Roman"/>
          <w:noProof/>
          <w:sz w:val="24"/>
        </w:rPr>
      </w:pPr>
      <w:r>
        <w:rPr>
          <w:rFonts w:ascii="Times New Roman" w:hAnsi="Times New Roman"/>
          <w:noProof/>
          <w:sz w:val="24"/>
        </w:rPr>
        <w:t>De data om overskud/underskud, faste bruttoinvesteringer og renteudgifter, som medlemsstaterne har indberettet, var i fuld overensstemmelse med de årlige og kvartalsvise data om de offentlige udgifter og indtægter (ENS-tabel 2 og 25). Dataene om årlig gæld og offentlig gæld på kvartalsbasis (ENS-tabel 28) er også i fuldkommen overensstemmelse for alle medlemsstater.</w:t>
      </w:r>
    </w:p>
    <w:p>
      <w:pPr>
        <w:keepNext/>
        <w:numPr>
          <w:ilvl w:val="1"/>
          <w:numId w:val="1"/>
        </w:numPr>
        <w:spacing w:before="240" w:after="120" w:line="240" w:lineRule="auto"/>
        <w:ind w:left="851" w:hanging="851"/>
        <w:jc w:val="both"/>
        <w:outlineLvl w:val="1"/>
        <w:rPr>
          <w:rFonts w:ascii="Times New Roman" w:eastAsia="Times New Roman" w:hAnsi="Times New Roman" w:cs="Times New Roman"/>
          <w:b/>
          <w:bCs/>
          <w:noProof/>
          <w:sz w:val="24"/>
          <w:szCs w:val="26"/>
        </w:rPr>
      </w:pPr>
      <w:bookmarkStart w:id="81" w:name="_Toc342558491"/>
      <w:bookmarkStart w:id="82" w:name="_Toc442173640"/>
      <w:bookmarkStart w:id="83" w:name="_Toc442869396"/>
      <w:bookmarkStart w:id="84" w:name="_Toc1565635"/>
      <w:bookmarkStart w:id="85" w:name="_Toc2169764"/>
      <w:bookmarkEnd w:id="73"/>
      <w:bookmarkEnd w:id="74"/>
      <w:r>
        <w:rPr>
          <w:rFonts w:ascii="Times New Roman" w:hAnsi="Times New Roman"/>
          <w:b/>
          <w:noProof/>
          <w:sz w:val="24"/>
        </w:rPr>
        <w:t>Offentliggørelse</w:t>
      </w:r>
      <w:bookmarkEnd w:id="81"/>
      <w:bookmarkEnd w:id="82"/>
      <w:bookmarkEnd w:id="83"/>
      <w:bookmarkEnd w:id="84"/>
      <w:bookmarkEnd w:id="85"/>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86" w:name="_Toc342558492"/>
      <w:bookmarkStart w:id="87" w:name="_Toc442173641"/>
      <w:bookmarkStart w:id="88" w:name="_Toc442869397"/>
      <w:bookmarkStart w:id="89" w:name="_Toc1565636"/>
      <w:bookmarkStart w:id="90" w:name="_Toc2169765"/>
      <w:r>
        <w:rPr>
          <w:rFonts w:ascii="Times New Roman" w:hAnsi="Times New Roman"/>
          <w:b/>
          <w:i/>
          <w:noProof/>
          <w:sz w:val="24"/>
        </w:rPr>
        <w:t>Offentliggørelse af overordnede tal og detaljerede indberetningsskemaer</w:t>
      </w:r>
      <w:bookmarkEnd w:id="86"/>
      <w:bookmarkEnd w:id="87"/>
      <w:bookmarkEnd w:id="88"/>
      <w:bookmarkEnd w:id="89"/>
      <w:bookmarkEnd w:id="90"/>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I henhold til artikel 14, stk. 1, i forordning (EF) nr. 479/2009 </w:t>
      </w:r>
      <w:r>
        <w:rPr>
          <w:rFonts w:ascii="Times New Roman" w:hAnsi="Times New Roman"/>
          <w:i/>
          <w:noProof/>
          <w:sz w:val="24"/>
        </w:rPr>
        <w:t>"[fremlægger] Kommissionen (Eurostat) [...] dataene om det faktiske offentlige underskud og den faktiske offentlige gæld med henblik på anvendelsen af protokollen om proceduren i forbindelse med uforholdsmæssigt store underskud senest tre uger efter udløbet af de indberetningsfrister [...]. Fremlæggelsen af dataene sker ved offentliggørelse."</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offentliggjorde tallene for det offentlige underskud og den offentlige gæld på sin hjemmeside den 23. april</w:t>
      </w:r>
      <w:r>
        <w:rPr>
          <w:rFonts w:ascii="Times New Roman" w:hAnsi="Times New Roman"/>
          <w:noProof/>
          <w:sz w:val="24"/>
          <w:vertAlign w:val="superscript"/>
        </w:rPr>
        <w:footnoteReference w:id="24"/>
      </w:r>
      <w:r>
        <w:rPr>
          <w:rFonts w:ascii="Times New Roman" w:hAnsi="Times New Roman"/>
          <w:noProof/>
          <w:sz w:val="24"/>
        </w:rPr>
        <w:t xml:space="preserve"> og den 22. oktober</w:t>
      </w:r>
      <w:r>
        <w:rPr>
          <w:rFonts w:ascii="Times New Roman" w:hAnsi="Times New Roman"/>
          <w:noProof/>
          <w:sz w:val="24"/>
          <w:vertAlign w:val="superscript"/>
        </w:rPr>
        <w:footnoteReference w:id="25"/>
      </w:r>
      <w:r>
        <w:rPr>
          <w:rFonts w:ascii="Times New Roman" w:hAnsi="Times New Roman"/>
          <w:noProof/>
          <w:sz w:val="24"/>
        </w:rPr>
        <w:t xml:space="preserve"> sammen med samtlige endelige indberetningsskemaer</w:t>
      </w:r>
      <w:r>
        <w:rPr>
          <w:rFonts w:ascii="Times New Roman" w:hAnsi="Times New Roman"/>
          <w:noProof/>
          <w:sz w:val="24"/>
          <w:vertAlign w:val="superscript"/>
        </w:rPr>
        <w:footnoteReference w:id="26"/>
      </w:r>
      <w:r>
        <w:rPr>
          <w:rFonts w:ascii="Times New Roman" w:hAnsi="Times New Roman"/>
          <w:noProof/>
          <w:sz w:val="24"/>
        </w:rPr>
        <w:t>, som medlemsstaterne havde indsendt, og notater om:</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stock-flow-tilpasning</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offentlige indgreb til støtte for finansielle institutioner</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 xml:space="preserve">beholdningen af passiver i forbindelse med handelskreditter og forudbetalinger og </w:t>
      </w:r>
    </w:p>
    <w:p>
      <w:pPr>
        <w:numPr>
          <w:ilvl w:val="0"/>
          <w:numId w:val="3"/>
        </w:numPr>
        <w:tabs>
          <w:tab w:val="left" w:pos="1701"/>
        </w:tabs>
        <w:spacing w:before="120" w:after="120" w:line="240" w:lineRule="auto"/>
        <w:ind w:left="1701" w:hanging="431"/>
        <w:jc w:val="both"/>
        <w:rPr>
          <w:rFonts w:ascii="Times New Roman" w:hAnsi="Times New Roman"/>
          <w:noProof/>
          <w:sz w:val="24"/>
        </w:rPr>
      </w:pPr>
      <w:r>
        <w:rPr>
          <w:rFonts w:ascii="Times New Roman" w:hAnsi="Times New Roman"/>
          <w:noProof/>
          <w:sz w:val="24"/>
        </w:rPr>
        <w:t xml:space="preserve">ændringer af det offentlige overskud/underskud og gæld. </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offentliggjorde ligeledes en pressemeddelelse om gælden efter Maastrichtkriterierne på kvartalsbasis, ca. t+115 dage</w:t>
      </w:r>
      <w:r>
        <w:rPr>
          <w:rFonts w:ascii="Times New Roman" w:hAnsi="Times New Roman"/>
          <w:noProof/>
          <w:sz w:val="24"/>
          <w:vertAlign w:val="superscript"/>
        </w:rPr>
        <w:footnoteReference w:id="27"/>
      </w:r>
      <w:r>
        <w:rPr>
          <w:rFonts w:ascii="Times New Roman" w:hAnsi="Times New Roman"/>
          <w:noProof/>
          <w:sz w:val="24"/>
        </w:rPr>
        <w:t>, samt en pressemeddelelse om det kvartårlige offentlige underskud.</w:t>
      </w:r>
    </w:p>
    <w:p>
      <w:pPr>
        <w:spacing w:before="120" w:after="120" w:line="240" w:lineRule="auto"/>
        <w:ind w:left="850"/>
        <w:jc w:val="both"/>
        <w:rPr>
          <w:rFonts w:ascii="Times New Roman" w:hAnsi="Times New Roman"/>
          <w:noProof/>
          <w:sz w:val="24"/>
        </w:rPr>
      </w:pPr>
      <w:r>
        <w:rPr>
          <w:rFonts w:ascii="Times New Roman" w:hAnsi="Times New Roman"/>
          <w:noProof/>
          <w:sz w:val="24"/>
        </w:rPr>
        <w:t>I henhold til forordning (EF) nr. 479/2009 skal medlemsstaterne offentliggøre deres faktiske data om underskud og gæld. Alle medlemsstater offentliggør data om underskud og gæld på nationalt plan. De fleste har meddelt Eurostat, at de offentliggør alle deres EDP-skemaer. Fem medlemsstater (Bulgarien, Italien, Luxembourg, Polen og Slovakiet) offentliggør kun nogle af EDP-skemaerne. Frankrig har offentliggjort data om underskud og gæld på nationalt plan i et andet format end EDP-skemaerne.</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91" w:name="_Toc342558493"/>
      <w:bookmarkStart w:id="92" w:name="_Toc442173642"/>
      <w:bookmarkStart w:id="93" w:name="_Toc442869398"/>
      <w:bookmarkStart w:id="94" w:name="_Toc1565637"/>
      <w:bookmarkStart w:id="95" w:name="_Toc2169766"/>
      <w:r>
        <w:rPr>
          <w:rFonts w:ascii="Times New Roman" w:hAnsi="Times New Roman"/>
          <w:b/>
          <w:i/>
          <w:noProof/>
          <w:sz w:val="24"/>
        </w:rPr>
        <w:t>Forbehold vedrørende dataenes kvalitet</w:t>
      </w:r>
      <w:bookmarkEnd w:id="91"/>
      <w:bookmarkEnd w:id="92"/>
      <w:bookmarkEnd w:id="93"/>
      <w:bookmarkEnd w:id="94"/>
      <w:bookmarkEnd w:id="95"/>
    </w:p>
    <w:p>
      <w:pPr>
        <w:spacing w:before="120" w:after="120" w:line="240" w:lineRule="auto"/>
        <w:ind w:left="850"/>
        <w:jc w:val="both"/>
        <w:rPr>
          <w:rFonts w:ascii="Times New Roman" w:hAnsi="Times New Roman"/>
          <w:i/>
          <w:noProof/>
          <w:sz w:val="24"/>
        </w:rPr>
      </w:pPr>
      <w:r>
        <w:rPr>
          <w:rFonts w:ascii="Times New Roman" w:hAnsi="Times New Roman"/>
          <w:i/>
          <w:noProof/>
          <w:sz w:val="24"/>
        </w:rPr>
        <w:t>April 2018</w:t>
      </w:r>
    </w:p>
    <w:p>
      <w:pPr>
        <w:spacing w:before="120" w:after="120" w:line="240" w:lineRule="auto"/>
        <w:ind w:left="850"/>
        <w:jc w:val="both"/>
        <w:rPr>
          <w:rFonts w:ascii="Times New Roman" w:hAnsi="Times New Roman"/>
          <w:noProof/>
          <w:sz w:val="24"/>
        </w:rPr>
      </w:pPr>
      <w:r>
        <w:rPr>
          <w:rFonts w:ascii="Times New Roman" w:hAnsi="Times New Roman"/>
          <w:noProof/>
          <w:sz w:val="24"/>
        </w:rPr>
        <w:t xml:space="preserve">Eurostat fastholdt sit forbehold vedrørende kvaliteten af de data, der var blevet indberettet af Ungarn og Frankrig. Forbeholdet vedrørende kvaliteten af de data, som Ungarn havde indberettet, om sektorklassificeringen af de fonde, der var oprettet af den ungarske nationalbank, blev fastholdt, hvorimod forbeholdet som følge af sektorklassificeringen af Eximbank blev trukket tilbage. Forbeholdet vedrørende kvaliteten af de data, som Frankrig havde indberettet, blev ændret i forhold til pressemeddelelsen fra oktober 2017 vedrørende sektorklassificeringen af Agence Française de Développement og behandlingen af kapitaltilførslen til AREVA.  </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trak sit forbehold vedrørende kvaliteten af de data, som Belgien havde indberettet om sektorklassificeringen af hospitaler, tilbage i afventning af resultaterne af de igangværende høringer om spørgsmålet på EU-plan.</w:t>
      </w:r>
    </w:p>
    <w:p>
      <w:pPr>
        <w:spacing w:before="120" w:after="120" w:line="240" w:lineRule="auto"/>
        <w:ind w:left="850"/>
        <w:jc w:val="both"/>
        <w:rPr>
          <w:rFonts w:ascii="Times New Roman" w:hAnsi="Times New Roman"/>
          <w:i/>
          <w:noProof/>
          <w:sz w:val="24"/>
        </w:rPr>
      </w:pPr>
      <w:r>
        <w:rPr>
          <w:rFonts w:ascii="Times New Roman" w:hAnsi="Times New Roman"/>
          <w:i/>
          <w:noProof/>
          <w:sz w:val="24"/>
        </w:rPr>
        <w:t>Oktober 2018</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fastholdt sit forbehold med hensyn til kvaliteten af de data, som Ungarn havde indberettet om sektorklassificeringen af de fonde, der var oprettet af den ungarske nationalbank.</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trak sit forbehold vedrørende kvaliteten af de data, som Frankrig havde indberettet, om sektorklassificeringen af Agence Française de Développement og om behandlingen af kapitaltilførslen til AREVA, tilbage.</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96" w:name="_Toc342558494"/>
      <w:bookmarkStart w:id="97" w:name="_Toc442173643"/>
      <w:bookmarkStart w:id="98" w:name="_Toc442869399"/>
      <w:bookmarkStart w:id="99" w:name="_Toc1565638"/>
      <w:bookmarkStart w:id="100" w:name="_Toc2169767"/>
      <w:r>
        <w:rPr>
          <w:rFonts w:ascii="Times New Roman" w:hAnsi="Times New Roman"/>
          <w:b/>
          <w:i/>
          <w:noProof/>
          <w:sz w:val="24"/>
        </w:rPr>
        <w:t>Ændring af de indberettede data</w:t>
      </w:r>
      <w:bookmarkEnd w:id="96"/>
      <w:bookmarkEnd w:id="97"/>
      <w:bookmarkEnd w:id="98"/>
      <w:bookmarkEnd w:id="99"/>
      <w:bookmarkEnd w:id="100"/>
    </w:p>
    <w:p>
      <w:pPr>
        <w:spacing w:before="120" w:after="120" w:line="240" w:lineRule="auto"/>
        <w:ind w:left="850"/>
        <w:jc w:val="both"/>
        <w:rPr>
          <w:rFonts w:ascii="Times New Roman" w:hAnsi="Times New Roman"/>
          <w:noProof/>
          <w:sz w:val="24"/>
        </w:rPr>
      </w:pPr>
      <w:r>
        <w:rPr>
          <w:rFonts w:ascii="Times New Roman" w:hAnsi="Times New Roman"/>
          <w:noProof/>
          <w:sz w:val="24"/>
        </w:rPr>
        <w:t>Eurostat har ikke ændret de data, som medlemsstaterne indberettede i EDP-indberetningerne i april eller oktober 2018.</w:t>
      </w:r>
    </w:p>
    <w:p>
      <w:pPr>
        <w:keepNext/>
        <w:numPr>
          <w:ilvl w:val="2"/>
          <w:numId w:val="1"/>
        </w:numPr>
        <w:spacing w:before="120" w:after="120" w:line="240" w:lineRule="auto"/>
        <w:jc w:val="both"/>
        <w:outlineLvl w:val="2"/>
        <w:rPr>
          <w:rFonts w:ascii="Times New Roman" w:eastAsia="Times New Roman" w:hAnsi="Times New Roman" w:cs="Times New Roman"/>
          <w:b/>
          <w:bCs/>
          <w:i/>
          <w:noProof/>
          <w:sz w:val="24"/>
        </w:rPr>
      </w:pPr>
      <w:bookmarkStart w:id="101" w:name="_Toc442173644"/>
      <w:bookmarkStart w:id="102" w:name="_Toc342558495"/>
      <w:bookmarkStart w:id="103" w:name="_Toc442869400"/>
      <w:bookmarkStart w:id="104" w:name="_Toc1565639"/>
      <w:bookmarkStart w:id="105" w:name="_Toc2169768"/>
      <w:r>
        <w:rPr>
          <w:rFonts w:ascii="Times New Roman" w:hAnsi="Times New Roman"/>
          <w:b/>
          <w:i/>
          <w:noProof/>
          <w:sz w:val="24"/>
        </w:rPr>
        <w:t>Offentliggørelse af metadata (oversigter)</w:t>
      </w:r>
      <w:r>
        <w:rPr>
          <w:rFonts w:ascii="Times New Roman" w:hAnsi="Times New Roman"/>
          <w:b/>
          <w:i/>
          <w:noProof/>
          <w:sz w:val="24"/>
          <w:vertAlign w:val="superscript"/>
        </w:rPr>
        <w:footnoteReference w:id="28"/>
      </w:r>
      <w:bookmarkEnd w:id="101"/>
      <w:bookmarkEnd w:id="102"/>
      <w:bookmarkEnd w:id="103"/>
      <w:bookmarkEnd w:id="104"/>
      <w:bookmarkEnd w:id="105"/>
    </w:p>
    <w:p>
      <w:pPr>
        <w:spacing w:before="120" w:after="120" w:line="240" w:lineRule="auto"/>
        <w:ind w:left="850"/>
        <w:jc w:val="both"/>
        <w:rPr>
          <w:rFonts w:ascii="Times New Roman" w:hAnsi="Times New Roman"/>
          <w:noProof/>
          <w:sz w:val="24"/>
        </w:rPr>
      </w:pPr>
      <w:r>
        <w:rPr>
          <w:rFonts w:ascii="Times New Roman" w:hAnsi="Times New Roman"/>
          <w:noProof/>
          <w:sz w:val="24"/>
        </w:rPr>
        <w:t>Det fremgår af forordning (EF) nr. 479/2009, at EDP-oversigterne er en del af de statistiske oplysninger, som medlemsstaterne skal levere. I henhold til forordningen skal oversigterne også offentliggøres nationalt.</w:t>
      </w:r>
    </w:p>
    <w:p>
      <w:pPr>
        <w:spacing w:before="120" w:after="120" w:line="240" w:lineRule="auto"/>
        <w:ind w:left="850"/>
        <w:jc w:val="both"/>
        <w:rPr>
          <w:rFonts w:ascii="Times New Roman" w:eastAsia="Times New Roman" w:hAnsi="Times New Roman"/>
          <w:b/>
          <w:bCs/>
          <w:smallCaps/>
          <w:noProof/>
          <w:sz w:val="24"/>
          <w:szCs w:val="28"/>
        </w:rPr>
      </w:pPr>
      <w:r>
        <w:rPr>
          <w:rFonts w:ascii="Times New Roman" w:hAnsi="Times New Roman"/>
          <w:noProof/>
          <w:sz w:val="24"/>
        </w:rPr>
        <w:t xml:space="preserve">I 2014 blev formatet af EDP-oversigterne forbedret (der blev foretaget ændringer i strukturen og detaljeringsniveauet), og der blev indgået en aftale med medlemsstaterne om den nye oversigtsskabelon for ENS 2010. Ved udgangen af 2018 havde Eurostat offentliggjort ændrede oversigter for 24 medlemsstater. </w:t>
      </w:r>
      <w:bookmarkStart w:id="106" w:name="_Toc342558496"/>
      <w:bookmarkStart w:id="107" w:name="_Toc442173645"/>
      <w:bookmarkStart w:id="108" w:name="_Toc442869401"/>
      <w:r>
        <w:rPr>
          <w:rFonts w:ascii="Times New Roman" w:hAnsi="Times New Roman"/>
          <w:noProof/>
          <w:sz w:val="24"/>
        </w:rPr>
        <w:t>De resterende fire medlemsstater (Frankrig, Irland, Luxembourg og Nederlandene) har leveret et udkast til en EDP-oversigt i det nye format, og der forventes yderligere fremskridt.</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109" w:name="_Toc1565640"/>
      <w:bookmarkStart w:id="110" w:name="_Toc2169769"/>
      <w:r>
        <w:rPr>
          <w:rFonts w:ascii="Times New Roman" w:hAnsi="Times New Roman"/>
          <w:b/>
          <w:smallCaps/>
          <w:noProof/>
          <w:sz w:val="24"/>
        </w:rPr>
        <w:t>Konklusioner</w:t>
      </w:r>
      <w:bookmarkEnd w:id="106"/>
      <w:bookmarkEnd w:id="107"/>
      <w:bookmarkEnd w:id="108"/>
      <w:bookmarkEnd w:id="109"/>
      <w:bookmarkEnd w:id="110"/>
    </w:p>
    <w:p>
      <w:pPr>
        <w:spacing w:before="120" w:after="120" w:line="240" w:lineRule="auto"/>
        <w:ind w:left="850"/>
        <w:jc w:val="both"/>
        <w:rPr>
          <w:rFonts w:ascii="Times New Roman" w:hAnsi="Times New Roman"/>
          <w:noProof/>
          <w:sz w:val="24"/>
        </w:rPr>
      </w:pPr>
      <w:r>
        <w:rPr>
          <w:rFonts w:ascii="Times New Roman" w:hAnsi="Times New Roman"/>
          <w:noProof/>
          <w:sz w:val="24"/>
        </w:rPr>
        <w:t>Eurostat anerkender de fortsatte generelle forbedringer i de indberettede budgetdatas konsistens og fuldstændighed. Budgetdataenes kvalitet skal dog forbedres yderligere. I 2018 arbejdede Eurostat for at forbedre kvaliteten af budgetdataene gennem bilaterale redegørelser i forbindelse med vurderingen af EDP-indberetningerne og ved at intensivere kontakter og samråd med medlemsstaterne i perioden mellem indberetningerne. Offentliggørelsen af alle Eurostats vejledningsskrivelser om metodologi forbedrede videndelingen og gennemsigtigheden, og det samme gjorde den omfattende indsats med hensyn til kommunikation mellem brugere og producenter af statistikker i forbindelse med den metodologiske udvikling.</w:t>
      </w:r>
    </w:p>
    <w:p>
      <w:pPr>
        <w:spacing w:before="120" w:after="120" w:line="240" w:lineRule="auto"/>
        <w:ind w:left="850"/>
        <w:jc w:val="both"/>
        <w:rPr>
          <w:rFonts w:ascii="Times New Roman" w:hAnsi="Times New Roman"/>
          <w:noProof/>
          <w:sz w:val="24"/>
        </w:rPr>
      </w:pPr>
      <w:r>
        <w:rPr>
          <w:rFonts w:ascii="Times New Roman" w:hAnsi="Times New Roman"/>
          <w:noProof/>
          <w:sz w:val="24"/>
        </w:rPr>
        <w:t>Der er fortsat konsistensproblemer med de finansielle kvartalsregnskaber i nogle medlemsstater, navnlig i Grækenland.</w:t>
      </w:r>
    </w:p>
    <w:p>
      <w:pPr>
        <w:spacing w:before="120" w:after="120" w:line="240" w:lineRule="auto"/>
        <w:ind w:left="850"/>
        <w:jc w:val="both"/>
        <w:rPr>
          <w:rFonts w:ascii="Times New Roman" w:hAnsi="Times New Roman"/>
          <w:noProof/>
          <w:sz w:val="24"/>
        </w:rPr>
      </w:pPr>
      <w:r>
        <w:rPr>
          <w:rFonts w:ascii="Times New Roman" w:hAnsi="Times New Roman"/>
          <w:noProof/>
          <w:sz w:val="24"/>
        </w:rPr>
        <w:t>Eurostat fastholdt sine forbehold vedrørende kvaliteten af de data, som blev indberettet af Frankrig (april) og Ungarn (april og oktober) i EDP-indberetningerne. Eurostat trak sine forbehold vedrørende Belgien (april) og Frankrig (oktober) tilbage.</w:t>
      </w:r>
    </w:p>
    <w:p>
      <w:pPr>
        <w:spacing w:before="120" w:after="120" w:line="240" w:lineRule="auto"/>
        <w:ind w:left="850"/>
        <w:jc w:val="both"/>
        <w:rPr>
          <w:rFonts w:ascii="Times New Roman" w:hAnsi="Times New Roman"/>
          <w:noProof/>
          <w:sz w:val="24"/>
        </w:rPr>
      </w:pPr>
      <w:r>
        <w:rPr>
          <w:rFonts w:ascii="Times New Roman" w:hAnsi="Times New Roman"/>
          <w:noProof/>
          <w:sz w:val="24"/>
        </w:rPr>
        <w:t>Alt i alt konkluderer Eurostat, at kvaliteten af indberetningen af budgetdata fortsatte med at blive forbedret i 2018. Generelt set har de data, som medlemsstaterne leverede gennem EDP-indberetningsskemaerne og andre relevante statistiske indberetninger, været af højere kvalitet og mere fuldstændige.</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09736"/>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noProof/>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Rådets forordning (EF) nr. 479/2009 om gennemførelse af den protokol om proceduren i forbindelse med uforholdsmæssigt store underskud ("EDP"), der er knyttet som bilag til traktaten om oprettelse af Det Europæiske Fællesskab (EUT L 145 af 10.6.2009, s. 1).</w:t>
      </w:r>
    </w:p>
  </w:footnote>
  <w:footnote w:id="2">
    <w:p>
      <w:pPr>
        <w:pStyle w:val="FootnoteText"/>
        <w:spacing w:after="120" w:line="240" w:lineRule="auto"/>
        <w:ind w:left="284" w:hanging="284"/>
        <w:jc w:val="both"/>
        <w:rPr>
          <w:rFonts w:ascii="Times New Roman" w:hAnsi="Times New Roman"/>
          <w:lang w:val="nn-NO"/>
        </w:rPr>
      </w:pPr>
      <w:r>
        <w:rPr>
          <w:rStyle w:val="FootnoteReference"/>
          <w:rFonts w:ascii="Times New Roman" w:hAnsi="Times New Roman"/>
        </w:rPr>
        <w:footnoteRef/>
      </w:r>
      <w:r>
        <w:rPr>
          <w:rFonts w:ascii="Times New Roman" w:hAnsi="Times New Roman"/>
          <w:lang w:val="nn-NO"/>
        </w:rPr>
        <w:t xml:space="preserve">     Data for de seneste fire år, jf. artikel 3, stk. 2, i forordning (EF) nr. 479/2009. </w:t>
      </w:r>
    </w:p>
  </w:footnote>
  <w:footnote w:id="3">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COM(2018) 112 final.</w:t>
      </w:r>
    </w:p>
  </w:footnote>
  <w:footnote w:id="4">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tab/>
      </w:r>
      <w:r>
        <w:rPr>
          <w:rFonts w:ascii="Times New Roman" w:hAnsi="Times New Roman"/>
        </w:rPr>
        <w:t>Europa-Parlamentets og Rådets forordning (EU) nr. 549/2013 af 21. maj 2013 om det europæiske national- og regionalregnskabssystem i Den Europæiske Union ("ENS 2010") (EUT L 174 af 26.6.2013, s. 1).</w:t>
      </w:r>
    </w:p>
  </w:footnote>
  <w:footnote w:id="5">
    <w:p>
      <w:pPr>
        <w:pStyle w:val="FootnoteText"/>
        <w:spacing w:after="120" w:line="240" w:lineRule="auto"/>
        <w:ind w:left="284" w:hanging="284"/>
        <w:jc w:val="both"/>
        <w:rPr>
          <w:rFonts w:ascii="Times New Roman" w:hAnsi="Times New Roman"/>
          <w:lang w:val="nn-NO"/>
        </w:rPr>
      </w:pPr>
      <w:r>
        <w:rPr>
          <w:rFonts w:ascii="Times New Roman" w:hAnsi="Times New Roman"/>
          <w:vertAlign w:val="superscript"/>
        </w:rPr>
        <w:footnoteRef/>
      </w:r>
      <w:r>
        <w:rPr>
          <w:lang w:val="nn-NO"/>
        </w:rPr>
        <w:tab/>
      </w:r>
      <w:r>
        <w:rPr>
          <w:rFonts w:ascii="Times New Roman" w:hAnsi="Times New Roman"/>
          <w:lang w:val="nn-NO"/>
        </w:rPr>
        <w:t>Artikel 3, stk. 1 og 3, i forordning (EF) nr. 479/2009.</w:t>
      </w:r>
    </w:p>
  </w:footnote>
  <w:footnote w:id="6">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tab/>
      </w:r>
      <w:r>
        <w:rPr>
          <w:rFonts w:ascii="Times New Roman" w:hAnsi="Times New Roman"/>
        </w:rPr>
        <w:t>Faktiske data kan være estimerede, foreløbige, næsten endelige eller endelige tal.</w:t>
      </w:r>
    </w:p>
  </w:footnote>
  <w:footnote w:id="7">
    <w:p>
      <w:pPr>
        <w:pStyle w:val="FootnoteText"/>
        <w:tabs>
          <w:tab w:val="left" w:pos="851"/>
        </w:tabs>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I henhold til protokollen om proceduren i forbindelse med uforholdsmæssigt store underskud, der er knyttet som bilag til traktaten om Den Europæiske Unions funktionsmåde, er den offentlige gæld defineret som hele den konsoliderede bruttogæld for sektoren offentlig forvaltning og service, der er udstående ved årets afslutning (til pålydende værdi). I henhold til forordning (EF) nr. 479/2009 indbefatter den offentlige gæld sedler og mønt samt indskud (AF.2), gældsværdipapirer (AF.3) og lån (AF.4) som defineret i ENS 2010.</w:t>
      </w:r>
    </w:p>
  </w:footnote>
  <w:footnote w:id="8">
    <w:p>
      <w:pPr>
        <w:pStyle w:val="FootnoteText"/>
        <w:tabs>
          <w:tab w:val="left" w:pos="851"/>
        </w:tabs>
        <w:spacing w:after="120" w:line="240" w:lineRule="auto"/>
        <w:ind w:left="284" w:hanging="284"/>
        <w:jc w:val="both"/>
        <w:rPr>
          <w:rFonts w:ascii="Times New Roman" w:hAnsi="Times New Roman"/>
          <w:lang w:val="nn-NO"/>
        </w:rPr>
      </w:pPr>
      <w:r>
        <w:rPr>
          <w:rStyle w:val="FootnoteReference"/>
          <w:rFonts w:ascii="Times New Roman" w:hAnsi="Times New Roman"/>
        </w:rPr>
        <w:footnoteRef/>
      </w:r>
      <w:r>
        <w:rPr>
          <w:rFonts w:ascii="Times New Roman" w:hAnsi="Times New Roman"/>
          <w:lang w:val="nn-NO"/>
        </w:rPr>
        <w:t xml:space="preserve"> </w:t>
      </w:r>
      <w:r>
        <w:rPr>
          <w:lang w:val="nn-NO"/>
        </w:rPr>
        <w:tab/>
      </w:r>
      <w:r>
        <w:rPr>
          <w:rFonts w:ascii="Times New Roman" w:hAnsi="Times New Roman"/>
          <w:lang w:val="nn-NO"/>
        </w:rPr>
        <w:t>Artikel 3, stk. 2, i forordning (EF) nr. 479/2009.</w:t>
      </w:r>
    </w:p>
  </w:footnote>
  <w:footnote w:id="9">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Se erklæringerne til Rådets mødeprotokol af 22. november 1993:</w:t>
      </w:r>
      <w:r>
        <w:tab/>
      </w:r>
      <w:r>
        <w:rPr>
          <w:rFonts w:ascii="Times New Roman" w:hAnsi="Times New Roman"/>
        </w:rPr>
        <w:br/>
      </w:r>
      <w:hyperlink r:id="rId1">
        <w:r>
          <w:rPr>
            <w:rStyle w:val="Hyperlink"/>
          </w:rPr>
          <w:t>https://webgate.ec.europa.eu/fpfis/mwikis/gfs/images/e/e7/Statements_9817.en93.pdf.</w:t>
        </w:r>
      </w:hyperlink>
    </w:p>
  </w:footnote>
  <w:footnote w:id="10">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I henhold til forordning (EF) nr. 479/2009 kræves det kun eksplicit, at medlemsstaterne fremlægger forventede data i EDP-skema 1 og 2A.</w:t>
      </w:r>
    </w:p>
  </w:footnote>
  <w:footnote w:id="11">
    <w:p>
      <w:pPr>
        <w:pStyle w:val="FootnoteText"/>
        <w:tabs>
          <w:tab w:val="left" w:pos="851"/>
        </w:tabs>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Medlemsstaternes EDP-indberetningsskemaer findes på Eurostats hjemmeside:</w:t>
      </w:r>
      <w:r>
        <w:tab/>
      </w:r>
      <w:r>
        <w:rPr>
          <w:rFonts w:ascii="Times New Roman" w:hAnsi="Times New Roman"/>
        </w:rPr>
        <w:br/>
      </w:r>
      <w:hyperlink r:id="rId2">
        <w:r>
          <w:rPr>
            <w:rStyle w:val="Hyperlink"/>
          </w:rPr>
          <w:t>http://ec.europa.eu/eurostat/web/government-finance-statistics/excessive-deficit-procedure/edp-notification-tables</w:t>
        </w:r>
      </w:hyperlink>
    </w:p>
  </w:footnote>
  <w:footnote w:id="12">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Spørgeskemaet omfatter 13 dele, hvor der anmodes om kvantitative og en række kvalitative oplysninger inden for forskellige områder, bl.a. transaktioner i forbindelse med skatter og bidrag til sociale ordninger og med EU, anskaffelse af militært udstyr, statsgarantier, gældsannulleringer, offentlige kapitalindskud i offentlige selskaber, offentligprivate partnerskaber, omkanalisering af transaktioner osv.</w:t>
      </w:r>
    </w:p>
  </w:footnote>
  <w:footnote w:id="13">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hyperlink r:id="rId3">
        <w:r>
          <w:rPr>
            <w:rStyle w:val="Hyperlink"/>
          </w:rPr>
          <w:t>https://ec.europa.eu/eurostat/documents/1015035/9306957/Background-note-on-gov-interventions-Oct2018.pdf</w:t>
        </w:r>
      </w:hyperlink>
      <w:r>
        <w:rPr>
          <w:rFonts w:ascii="Times New Roman" w:hAnsi="Times New Roman"/>
        </w:rPr>
        <w:t xml:space="preserve"> </w:t>
      </w:r>
    </w:p>
  </w:footnote>
  <w:footnote w:id="14">
    <w:p>
      <w:pPr>
        <w:pStyle w:val="FootnoteText"/>
        <w:spacing w:after="12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hyperlink r:id="rId4">
        <w:r>
          <w:rPr>
            <w:rStyle w:val="Hyperlink"/>
          </w:rPr>
          <w:t>http://ec.europa.eu/eurostat/web/government-finance-statistics/excessive-deficit-procedure/eurostat-edp-visits-to-member-states</w:t>
        </w:r>
      </w:hyperlink>
    </w:p>
  </w:footnote>
  <w:footnote w:id="15">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Pr>
          <w:t>http://ec.europa.eu/eurostat/web/government-finance-statistics/methodology/guidance-on-accounting-rules</w:t>
        </w:r>
      </w:hyperlink>
    </w:p>
  </w:footnote>
  <w:footnote w:id="16">
    <w:p>
      <w:pPr>
        <w:pStyle w:val="FootnoteText"/>
        <w:spacing w:after="120" w:line="240" w:lineRule="auto"/>
        <w:ind w:left="284" w:hanging="284"/>
        <w:jc w:val="both"/>
        <w:rPr>
          <w:rStyle w:val="Hyperlink"/>
        </w:rPr>
      </w:pPr>
      <w:r>
        <w:rPr>
          <w:rStyle w:val="FootnoteReference"/>
          <w:rFonts w:ascii="Times New Roman" w:hAnsi="Times New Roman"/>
        </w:rPr>
        <w:footnoteRef/>
      </w:r>
      <w:r>
        <w:rPr>
          <w:rFonts w:ascii="Times New Roman" w:hAnsi="Times New Roman"/>
        </w:rPr>
        <w:t xml:space="preserve"> </w:t>
      </w:r>
      <w:r>
        <w:tab/>
      </w:r>
      <w:hyperlink r:id="rId6">
        <w:r>
          <w:rPr>
            <w:rStyle w:val="Hyperlink"/>
          </w:rPr>
          <w:t>http://ec.europa.eu/eurostat/web/government-finance-statistics/methodology/advice-to-member-states</w:t>
        </w:r>
      </w:hyperlink>
    </w:p>
  </w:footnote>
  <w:footnote w:id="17">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r>
          <w:rPr>
            <w:rStyle w:val="Hyperlink"/>
          </w:rPr>
          <w:t>https://ec.europa.eu/eurostat/documents/1015035/8885635/guide_to_statistical_treatment_of_epcs_en.pdf</w:t>
        </w:r>
      </w:hyperlink>
      <w:r>
        <w:rPr>
          <w:rFonts w:ascii="Times New Roman" w:hAnsi="Times New Roman"/>
        </w:rPr>
        <w:t xml:space="preserve"> </w:t>
      </w:r>
    </w:p>
  </w:footnote>
  <w:footnote w:id="18">
    <w:p>
      <w:pPr>
        <w:pStyle w:val="FootnoteText"/>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8">
        <w:r>
          <w:rPr>
            <w:rStyle w:val="Hyperlink"/>
          </w:rPr>
          <w:t>https://ec.europa.eu/eurostat/documents/1015035/2041329/Procedures-Dev-and-Implt-Methodology-EDP-data.pdf</w:t>
        </w:r>
      </w:hyperlink>
      <w:r>
        <w:rPr>
          <w:rFonts w:ascii="Times New Roman" w:hAnsi="Times New Roman"/>
        </w:rPr>
        <w:t xml:space="preserve"> </w:t>
      </w:r>
    </w:p>
  </w:footnote>
  <w:footnote w:id="19">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9">
        <w:r>
          <w:rPr>
            <w:rStyle w:val="Hyperlink"/>
          </w:rPr>
          <w:t>http://data.consilium.europa.eu/doc/document/ST-13865-2018-INIT/da/pdf</w:t>
        </w:r>
      </w:hyperlink>
    </w:p>
  </w:footnote>
  <w:footnote w:id="20">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COM(2017) 94 final.</w:t>
      </w:r>
    </w:p>
  </w:footnote>
  <w:footnote w:id="21">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Europa-Parlamentets og Rådets forordning (EU) nr. 1173/2011 af 16. november 2011 om en effektiv håndhævelse af budgetovervågningen i euroområdet (EUT L 306 af 23.11.2011, s. 1).</w:t>
      </w:r>
    </w:p>
  </w:footnote>
  <w:footnote w:id="22">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COM(2017) 93 final.</w:t>
      </w:r>
    </w:p>
  </w:footnote>
  <w:footnote w:id="23">
    <w:p>
      <w:pPr>
        <w:pStyle w:val="FootnoteText"/>
        <w:spacing w:after="12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Rådets gennemførelsesafgørelse (EU) 2018/818 af 28. maj 2018 om en bod, der pålægges Østrig for manipulation af gældsdata i delstaten Salzburg (EUT L 137 af 4.6.2018, s. 23).</w:t>
      </w:r>
    </w:p>
  </w:footnote>
  <w:footnote w:id="24">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hyperlink r:id="rId10">
        <w:r>
          <w:rPr>
            <w:rStyle w:val="Hyperlink"/>
          </w:rPr>
          <w:t>https://ec.europa.eu/eurostat/documents/2995521/8824490/2-23042018-AP-EN.pdf</w:t>
        </w:r>
      </w:hyperlink>
      <w:r>
        <w:rPr>
          <w:rFonts w:ascii="Times New Roman" w:hAnsi="Times New Roman"/>
        </w:rPr>
        <w:t xml:space="preserve">  </w:t>
      </w:r>
    </w:p>
  </w:footnote>
  <w:footnote w:id="25">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hyperlink r:id="rId11">
        <w:r>
          <w:rPr>
            <w:rStyle w:val="Hyperlink"/>
          </w:rPr>
          <w:t>https://ec.europa.eu/eurostat/documents/2995521/9328077/2-22102018-AP-EN.pdf</w:t>
        </w:r>
      </w:hyperlink>
      <w:r>
        <w:rPr>
          <w:rFonts w:ascii="Times New Roman" w:hAnsi="Times New Roman"/>
        </w:rPr>
        <w:t xml:space="preserve"> </w:t>
      </w:r>
    </w:p>
  </w:footnote>
  <w:footnote w:id="26">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12">
        <w:r>
          <w:rPr>
            <w:rStyle w:val="Hyperlink"/>
          </w:rPr>
          <w:t>http://ec.europa.eu/eurostat/web/government-finance-statistics/excessive-deficit-procedure/edp-notification-tables</w:t>
        </w:r>
      </w:hyperlink>
    </w:p>
  </w:footnote>
  <w:footnote w:id="27">
    <w:p>
      <w:pPr>
        <w:pStyle w:val="FootnoteText"/>
        <w:spacing w:after="12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"t" henviser til udgangen af indberetningsperioden.</w:t>
      </w:r>
    </w:p>
  </w:footnote>
  <w:footnote w:id="28">
    <w:p>
      <w:pPr>
        <w:pStyle w:val="FootnoteText"/>
        <w:spacing w:after="120" w:line="240" w:lineRule="auto"/>
        <w:ind w:left="284" w:hanging="284"/>
        <w:jc w:val="both"/>
        <w:rPr>
          <w:rFonts w:ascii="Times New Roman" w:hAnsi="Times New Roman"/>
        </w:rPr>
      </w:pPr>
      <w:r>
        <w:rPr>
          <w:rStyle w:val="FootnoteReference"/>
          <w:rFonts w:ascii="Times New Roman" w:hAnsi="Times New Roman"/>
        </w:rPr>
        <w:footnoteRef/>
      </w:r>
      <w:r>
        <w:tab/>
      </w:r>
      <w:r>
        <w:rPr>
          <w:rFonts w:ascii="Times New Roman" w:hAnsi="Times New Roman"/>
        </w:rPr>
        <w:t>Oversigter over metoder, procedurer og kilder, der er anvendt til at indsamle data om det faktiske underskud og den faktiske gæld og de tilgrundliggende offentlige regnskaber.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9B8"/>
    <w:multiLevelType w:val="hybridMultilevel"/>
    <w:tmpl w:val="6D2A5244"/>
    <w:lvl w:ilvl="0" w:tplc="3DF2C38E">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0BEB7B1E"/>
    <w:multiLevelType w:val="hybridMultilevel"/>
    <w:tmpl w:val="EF402F56"/>
    <w:lvl w:ilvl="0" w:tplc="3DF2C38E">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E60BA92-2009-4D50-AB85-4EABBF118242"/>
    <w:docVar w:name="LW_COVERPAGE_TYPE" w:val="1"/>
    <w:docVar w:name="LW_CROSSREFERENCE" w:val="&lt;UNUSED&gt;"/>
    <w:docVar w:name="LW_DocType" w:val="NORMAL"/>
    <w:docVar w:name="LW_EMISSION" w:val="27.3.2019"/>
    <w:docVar w:name="LW_EMISSION_ISODATE" w:val="2019-03-27"/>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1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m kvaliteten af de budgetdata, medlemsstaterne indberettede i 2018&lt;/FMT&gt;"/>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da-DK"/>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da-DK"/>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da-DK"/>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da-DK"/>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TOC1">
    <w:name w:val="toc 1"/>
    <w:basedOn w:val="Normal"/>
    <w:next w:val="Normal"/>
    <w:autoRedefine/>
    <w:uiPriority w:val="39"/>
    <w:unhideWhenUsed/>
    <w:rPr>
      <w:rFonts w:ascii="Calibri" w:eastAsia="Calibri" w:hAnsi="Calibri" w:cs="Times New Roman"/>
    </w:rPr>
  </w:style>
  <w:style w:type="paragraph" w:styleId="TOC2">
    <w:name w:val="toc 2"/>
    <w:basedOn w:val="Normal"/>
    <w:next w:val="Normal"/>
    <w:autoRedefine/>
    <w:uiPriority w:val="39"/>
    <w:unhideWhenUsed/>
    <w:pPr>
      <w:tabs>
        <w:tab w:val="left" w:pos="880"/>
        <w:tab w:val="right" w:leader="dot" w:pos="9016"/>
      </w:tabs>
      <w:ind w:left="220"/>
    </w:pPr>
    <w:rPr>
      <w:rFonts w:ascii="Times New Roman" w:eastAsia="Calibri" w:hAnsi="Times New Roman" w:cs="Times New Roman"/>
      <w:noProof/>
    </w:rPr>
  </w:style>
  <w:style w:type="paragraph" w:styleId="TOC3">
    <w:name w:val="toc 3"/>
    <w:basedOn w:val="Normal"/>
    <w:next w:val="Normal"/>
    <w:autoRedefine/>
    <w:uiPriority w:val="39"/>
    <w:unhideWhenUsed/>
    <w:pPr>
      <w:ind w:left="440"/>
    </w:pPr>
    <w:rPr>
      <w:rFonts w:ascii="Calibri" w:eastAsia="Calibri" w:hAnsi="Calibri"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da-DK"/>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da-DK"/>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da-DK"/>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da-DK"/>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Hyperlink">
    <w:name w:val="Hyperlink"/>
    <w:uiPriority w:val="99"/>
    <w:rPr>
      <w:rFonts w:cs="Times New Roman"/>
      <w:color w:val="0000FF"/>
      <w:u w:val="single"/>
      <w:shd w:val="clear" w:color="auto" w:fill="auto"/>
    </w:rPr>
  </w:style>
  <w:style w:type="character" w:styleId="FootnoteReference">
    <w:name w:val="footnote reference"/>
    <w:uiPriority w:val="99"/>
    <w:unhideWhenUsed/>
    <w:rPr>
      <w:shd w:val="clear" w:color="auto" w:fill="auto"/>
      <w:vertAlign w:val="superscript"/>
    </w:rPr>
  </w:style>
  <w:style w:type="paragraph" w:styleId="TOC1">
    <w:name w:val="toc 1"/>
    <w:basedOn w:val="Normal"/>
    <w:next w:val="Normal"/>
    <w:autoRedefine/>
    <w:uiPriority w:val="39"/>
    <w:unhideWhenUsed/>
    <w:rPr>
      <w:rFonts w:ascii="Calibri" w:eastAsia="Calibri" w:hAnsi="Calibri" w:cs="Times New Roman"/>
    </w:rPr>
  </w:style>
  <w:style w:type="paragraph" w:styleId="TOC2">
    <w:name w:val="toc 2"/>
    <w:basedOn w:val="Normal"/>
    <w:next w:val="Normal"/>
    <w:autoRedefine/>
    <w:uiPriority w:val="39"/>
    <w:unhideWhenUsed/>
    <w:pPr>
      <w:tabs>
        <w:tab w:val="left" w:pos="880"/>
        <w:tab w:val="right" w:leader="dot" w:pos="9016"/>
      </w:tabs>
      <w:ind w:left="220"/>
    </w:pPr>
    <w:rPr>
      <w:rFonts w:ascii="Times New Roman" w:eastAsia="Calibri" w:hAnsi="Times New Roman" w:cs="Times New Roman"/>
      <w:noProof/>
    </w:rPr>
  </w:style>
  <w:style w:type="paragraph" w:styleId="TOC3">
    <w:name w:val="toc 3"/>
    <w:basedOn w:val="Normal"/>
    <w:next w:val="Normal"/>
    <w:autoRedefine/>
    <w:uiPriority w:val="39"/>
    <w:unhideWhenUsed/>
    <w:pPr>
      <w:ind w:left="440"/>
    </w:pPr>
    <w:rPr>
      <w:rFonts w:ascii="Calibri" w:eastAsia="Calibri" w:hAnsi="Calibri"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documents/1015035/2041329/Procedures-Dev-and-Implt-Methodology-EDP-data.pdf" TargetMode="External"/><Relationship Id="rId3" Type="http://schemas.openxmlformats.org/officeDocument/2006/relationships/hyperlink" Target="https://ec.europa.eu/eurostat/documents/1015035/9306957/Background-note-on-gov-interventions-Oct2018.pdf" TargetMode="External"/><Relationship Id="rId7" Type="http://schemas.openxmlformats.org/officeDocument/2006/relationships/hyperlink" Target="https://ec.europa.eu/eurostat/documents/1015035/8885635/guide_to_statistical_treatment_of_epcs_en.pdf" TargetMode="External"/><Relationship Id="rId12" Type="http://schemas.openxmlformats.org/officeDocument/2006/relationships/hyperlink" Target="http://ec.europa.eu/eurostat/web/government-finance-statistics/excessive-deficit-procedure/edp-notification-tables" TargetMode="External"/><Relationship Id="rId2" Type="http://schemas.openxmlformats.org/officeDocument/2006/relationships/hyperlink" Target="http://ec.europa.eu/eurostat/web/government-finance-statistics/excessive-deficit-procedure/edp-notification-tables" TargetMode="External"/><Relationship Id="rId1" Type="http://schemas.openxmlformats.org/officeDocument/2006/relationships/hyperlink" Target="https://webgate.ec.europa.eu/fpfis/mwikis/gfs/images/e/e7/Statements_9817.en93.pdf." TargetMode="External"/><Relationship Id="rId6" Type="http://schemas.openxmlformats.org/officeDocument/2006/relationships/hyperlink" Target="http://ec.europa.eu/eurostat/web/government-finance-statistics/methodology/advice-to-member-states" TargetMode="External"/><Relationship Id="rId11" Type="http://schemas.openxmlformats.org/officeDocument/2006/relationships/hyperlink" Target="https://ec.europa.eu/eurostat/documents/2995521/9328077/2-22102018-AP-EN.pdf" TargetMode="External"/><Relationship Id="rId5" Type="http://schemas.openxmlformats.org/officeDocument/2006/relationships/hyperlink" Target="http://ec.europa.eu/eurostat/web/government-finance-statistics/methodology/guidance-on-accounting-rules" TargetMode="External"/><Relationship Id="rId10" Type="http://schemas.openxmlformats.org/officeDocument/2006/relationships/hyperlink" Target="https://ec.europa.eu/eurostat/documents/2995521/8824490/2-23042018-AP-EN.pdf" TargetMode="External"/><Relationship Id="rId4" Type="http://schemas.openxmlformats.org/officeDocument/2006/relationships/hyperlink" Target="http://ec.europa.eu/eurostat/web/government-finance-statistics/excessive-deficit-procedure/eurostat-edp-visits-to-member-states" TargetMode="External"/><Relationship Id="rId9" Type="http://schemas.openxmlformats.org/officeDocument/2006/relationships/hyperlink" Target="http://data.consilium.europa.eu/doc/document/ST-13865-2018-INIT/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12</Pages>
  <Words>3382</Words>
  <Characters>22358</Characters>
  <Application>Microsoft Office Word</Application>
  <DocSecurity>0</DocSecurity>
  <Lines>392</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2019-02-20T11:42:00Z</dcterms:created>
  <dcterms:modified xsi:type="dcterms:W3CDTF">2019-03-19T10:27:00Z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