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5C" w:rsidRDefault="00326AA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187ECDC-F61B-493B-A5D9-148DCDBA1222" style="width:450.75pt;height:362.25pt">
            <v:imagedata r:id="rId8" o:title=""/>
          </v:shape>
        </w:pict>
      </w:r>
    </w:p>
    <w:bookmarkEnd w:id="0"/>
    <w:p w:rsidR="004A635C" w:rsidRDefault="004A635C">
      <w:pPr>
        <w:rPr>
          <w:noProof/>
        </w:rPr>
        <w:sectPr w:rsidR="004A635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4A635C" w:rsidRDefault="004A635C">
      <w:pPr>
        <w:pStyle w:val="Pagedecouverture"/>
        <w:rPr>
          <w:noProof/>
        </w:rPr>
      </w:pPr>
    </w:p>
    <w:p w:rsidR="004A635C" w:rsidRDefault="00326AAB">
      <w:pPr>
        <w:pStyle w:val="Typedudocument"/>
        <w:rPr>
          <w:noProof/>
        </w:rPr>
      </w:pPr>
      <w:r>
        <w:rPr>
          <w:noProof/>
        </w:rPr>
        <w:t>ΕΚΘΕΣΗ ΤΗΣ ΕΠΙΤΡΟΠΗΣ ΠΡΟΣ ΤΟ ΕΥΡΩΠΑΪΚΟ ΚΟΙΝΟΒΟΥΛΙΟ ΚΑΙ ΤΟ ΣΥΜΒΟΥΛΙΟ</w:t>
      </w:r>
    </w:p>
    <w:p w:rsidR="004A635C" w:rsidRDefault="00326AAB">
      <w:pPr>
        <w:pStyle w:val="Titreobjet"/>
        <w:rPr>
          <w:noProof/>
        </w:rPr>
      </w:pPr>
      <w:r>
        <w:rPr>
          <w:noProof/>
        </w:rPr>
        <w:t xml:space="preserve">37η ετήσια έκθεση της Επιτροπής προς το Συμβούλιο και το Ευρωπαϊκό Κοινοβούλιο </w:t>
      </w:r>
      <w:r>
        <w:rPr>
          <w:noProof/>
        </w:rPr>
        <w:br/>
        <w:t>σχετικά με τις δραστηριότητες της ΕΕ στον τομέα του αντιντάμπινγκ, των αντεπιδοτήσεων και των μέτρων διασφάλισης και σχετικά με τη χρήση μέσων εμπορικής άμυνας από τρίτες χώρες κατά της ΕΕ το 2018</w:t>
      </w:r>
    </w:p>
    <w:p w:rsidR="004A635C" w:rsidRDefault="004A635C">
      <w:pPr>
        <w:pStyle w:val="Pagedecouverture"/>
        <w:rPr>
          <w:noProof/>
        </w:rPr>
      </w:pPr>
    </w:p>
    <w:p w:rsidR="004A635C" w:rsidRDefault="004A635C">
      <w:pPr>
        <w:pStyle w:val="Pagedecouverture"/>
        <w:rPr>
          <w:noProof/>
        </w:rPr>
      </w:pPr>
    </w:p>
    <w:p w:rsidR="004A635C" w:rsidRDefault="004A635C">
      <w:pPr>
        <w:pStyle w:val="Pagedecouverture"/>
        <w:rPr>
          <w:noProof/>
        </w:rPr>
      </w:pPr>
    </w:p>
    <w:p w:rsidR="004A635C" w:rsidRDefault="004A635C">
      <w:pPr>
        <w:pStyle w:val="Pagedecouverture"/>
        <w:rPr>
          <w:noProof/>
        </w:rPr>
      </w:pPr>
    </w:p>
    <w:p w:rsidR="004A635C" w:rsidRDefault="004A635C">
      <w:pPr>
        <w:pStyle w:val="Pagedecouverture"/>
        <w:rPr>
          <w:noProof/>
        </w:rPr>
      </w:pPr>
    </w:p>
    <w:p w:rsidR="004A635C" w:rsidRDefault="004A635C">
      <w:pPr>
        <w:pStyle w:val="ManualHeading1"/>
        <w:ind w:left="851" w:hanging="851"/>
        <w:jc w:val="left"/>
        <w:rPr>
          <w:noProof/>
        </w:rPr>
      </w:pPr>
    </w:p>
    <w:p w:rsidR="004A635C" w:rsidRDefault="00326AAB">
      <w:pPr>
        <w:pStyle w:val="ManualHeading1"/>
        <w:spacing w:before="120" w:after="360"/>
        <w:ind w:left="851" w:hanging="851"/>
        <w:jc w:val="left"/>
        <w:rPr>
          <w:noProof/>
        </w:rPr>
      </w:pPr>
      <w:r>
        <w:rPr>
          <w:noProof/>
        </w:rPr>
        <w:t>Συνοπτική παρουσίαση</w:t>
      </w:r>
    </w:p>
    <w:p w:rsidR="004A635C" w:rsidRDefault="00326AAB">
      <w:pPr>
        <w:pStyle w:val="Text1"/>
        <w:spacing w:before="0" w:after="240"/>
        <w:ind w:left="0"/>
        <w:rPr>
          <w:noProof/>
        </w:rPr>
      </w:pPr>
      <w:r>
        <w:rPr>
          <w:noProof/>
        </w:rPr>
        <w:t>Η παρούσα 37η έκθεση προβαίνει σε διπλό απολογισμό σχετικά με τη δραστηριότητα εμπορικής άμυνας της Ευρωπαϊκής Ένωσης (ΕΕ). Πρώτον,  η παρούσα έκθεση καταγράφει τις κυριότερες προκλήσεις, τις εξελίξεις καθώς και τα επιτεύγματα της Επιτροπής Juncker στον το</w:t>
      </w:r>
      <w:r>
        <w:rPr>
          <w:noProof/>
        </w:rPr>
        <w:t>μέα της εμπορικής άμυνας, υπερβαίνοντας κατ’ εξαίρεση τις νομικές υποχρεώσεις. Κατά τη διάρκεια των 60 ετών της ιστορίας των μέσων εμπορικής άμυνας της ΕΕ (MEA), ενδεχομένως να μην υπήρξε πιο δύσκολη περίοδος από την περίοδο μεταξύ 2014 και 2019. Η παγκόσμ</w:t>
      </w:r>
      <w:r>
        <w:rPr>
          <w:noProof/>
        </w:rPr>
        <w:t>ια πλεονάζουσα ικανότητα στον τομέα του χάλυβα αύξησε σημαντικά τα αιτήματα για μέτρα εμπορικής άμυνας. Η Επιτροπή, επιβάλλοντας 25 νέα μέτρα εμπορικής άμυνας στον χάλυβα κατά τη διάρκεια της συγκεκριμένης περιόδου, συνέβαλε σημαντικά, αν όχι ουσιαστικά, σ</w:t>
      </w:r>
      <w:r>
        <w:rPr>
          <w:noProof/>
        </w:rPr>
        <w:t>τη βιωσιμότητα και την παγκόσμια ανταγωνιστικότητα της ευρωπαϊκής βιομηχανίας χάλυβα. Επιπλέον, για πρώτη φορά από το 1994, το εγχειρίδιο κανόνων της ΕΕ για την εμπορική άμυνα επικαιροποιήθηκε μέσω δύο σημαντικών νομοθετικών αλλαγών. Οι εν λόγω τροποποιήσε</w:t>
      </w:r>
      <w:r>
        <w:rPr>
          <w:noProof/>
        </w:rPr>
        <w:t>ις βοήθησαν να διασφαλιστεί ότι τα μέσα εμπορικής άμυνας της ΕΕ θα μπορούν να αντιμετωπίσουν κατάλληλα τις ανεξέλεγκτες και ζημιογόνους πρακτικές ντάμπινγκ και επιδοτήσεων. Η Επιτροπή, για πρώτη φορά από το 2002, κίνησε έρευνα διασφάλισης για τα προϊόντα χ</w:t>
      </w:r>
      <w:r>
        <w:rPr>
          <w:noProof/>
        </w:rPr>
        <w:t>άλυβα και επέβαλε μέτρα αντίστοιχα. Όπως προκύπτει από την παρούσα έκθεση, η αποτελεσματική, σταθερή και ισορροπημένη προσέγγιση της Επιτροπής επέτρεψε την προστασία των θέσεων απασχόλησης στην ΕΕ. Επίσης, απάντησε σθεναρά στην ολοένα και περισσότερο προστ</w:t>
      </w:r>
      <w:r>
        <w:rPr>
          <w:noProof/>
        </w:rPr>
        <w:t xml:space="preserve">ατευτική στάση ορισμένων εμπορικών εταίρων, ενώ ταυτόχρονα αναμόρφωσε το δικό της σύστημα μέσων εμπορικής άμυνας για την αποτελεσματικότερη λειτουργία του στο μέλλον. </w:t>
      </w:r>
    </w:p>
    <w:p w:rsidR="004A635C" w:rsidRDefault="00326AAB">
      <w:pPr>
        <w:pStyle w:val="Text1"/>
        <w:spacing w:after="240"/>
        <w:ind w:left="0"/>
        <w:rPr>
          <w:noProof/>
        </w:rPr>
      </w:pPr>
      <w:r>
        <w:rPr>
          <w:noProof/>
        </w:rPr>
        <w:t>Δεύτερον, η παρούσα έκθεση περιγράφει τις δραστηριότητες αντιντάμπινγκ, αντεπιδοτήσεων κ</w:t>
      </w:r>
      <w:r>
        <w:rPr>
          <w:noProof/>
        </w:rPr>
        <w:t>αι των μέτρων διασφάλισης της ΕΕ, καθώς και τη δραστηριότητα εμπορικής άμυνας τρίτων χωρών κατά της ΕΕ το 2018. Αυτό το τμήμα της έκθεσης καταρτίστηκε σύμφωνα με τις επικαιροποιημένες διατάξεις του άρθρου 23 του βασικού κανονισμού αντιντάμπινγκ</w:t>
      </w:r>
      <w:r>
        <w:rPr>
          <w:rStyle w:val="FootnoteReference"/>
          <w:noProof/>
        </w:rPr>
        <w:footnoteReference w:id="2"/>
      </w:r>
      <w:r>
        <w:rPr>
          <w:noProof/>
        </w:rPr>
        <w:t xml:space="preserve"> και του άρ</w:t>
      </w:r>
      <w:r>
        <w:rPr>
          <w:noProof/>
        </w:rPr>
        <w:t>θρου 34 του βασικού κανονισμού κατά των επιδοτήσεων,</w:t>
      </w:r>
      <w:r>
        <w:rPr>
          <w:rStyle w:val="FootnoteReference"/>
          <w:noProof/>
        </w:rPr>
        <w:footnoteReference w:id="3"/>
      </w:r>
      <w:r>
        <w:rPr>
          <w:noProof/>
        </w:rPr>
        <w:t xml:space="preserve"> καθώς και του άρθρου 23 του βασικού κανονισμού για τα μέτρα διασφάλισης.</w:t>
      </w:r>
      <w:r>
        <w:rPr>
          <w:rStyle w:val="FootnoteReference"/>
          <w:noProof/>
        </w:rPr>
        <w:footnoteReference w:id="4"/>
      </w:r>
      <w:r>
        <w:rPr>
          <w:noProof/>
        </w:rPr>
        <w:t xml:space="preserve"> Η παρούσα έκθεση συνοδεύεται, όπως και τα προηγούμενα έτη, από έγγραφο εργασίας των υπηρεσιών της Επιτροπής, μαζί με παραρτήματα</w:t>
      </w:r>
      <w:r>
        <w:rPr>
          <w:noProof/>
        </w:rPr>
        <w:t xml:space="preserve">, τα οποία παρέχουν λεπτομερέστερες πληροφορίες και στατιστικές. </w:t>
      </w:r>
    </w:p>
    <w:p w:rsidR="004A635C" w:rsidRDefault="00326AAB">
      <w:pPr>
        <w:pStyle w:val="Text1"/>
        <w:spacing w:after="240"/>
        <w:ind w:left="0"/>
        <w:rPr>
          <w:noProof/>
        </w:rPr>
      </w:pPr>
      <w:r>
        <w:rPr>
          <w:noProof/>
        </w:rPr>
        <w:t xml:space="preserve">Το 2018, η εξέταση υποθέσεων παρέμεινε σημαντική με την επιβολή μέτρων σε έξι νέες υποθέσεις, τη μη επιβολή μέτρων σε οκτώ νέες υποθέσεις και με εξίσου έντονη δραστηριότητα στην επανεξέταση </w:t>
      </w:r>
      <w:r>
        <w:rPr>
          <w:noProof/>
        </w:rPr>
        <w:t xml:space="preserve">των υφιστάμενων μέτρων σε σύγκριση με το 2017. </w:t>
      </w:r>
    </w:p>
    <w:p w:rsidR="004A635C" w:rsidRDefault="00326AAB">
      <w:pPr>
        <w:pStyle w:val="Text1"/>
        <w:spacing w:after="240"/>
        <w:ind w:left="0"/>
        <w:rPr>
          <w:noProof/>
        </w:rPr>
      </w:pPr>
      <w:r>
        <w:rPr>
          <w:noProof/>
        </w:rPr>
        <w:t>Εξάλλου, το 2018 ήταν επίσης ένα εξαιρετικό έτος λόγω του γεγονότος ότι, ανάλογα με την ημερομηνία έναρξης της έρευνας, μπορούσε να εφαρμοστεί διαφορετικός κανόνας μέσων εμπορικής άμυνας, κάτι που σήμαινε την</w:t>
      </w:r>
      <w:r>
        <w:rPr>
          <w:noProof/>
        </w:rPr>
        <w:t xml:space="preserve"> παράλληλη εφαρμογή τριών συνόλων κανόνων.</w:t>
      </w:r>
      <w:r>
        <w:rPr>
          <w:rStyle w:val="FootnoteReference"/>
          <w:noProof/>
        </w:rPr>
        <w:footnoteReference w:id="5"/>
      </w:r>
      <w:r>
        <w:rPr>
          <w:noProof/>
        </w:rPr>
        <w:t xml:space="preserve"> </w:t>
      </w:r>
    </w:p>
    <w:p w:rsidR="004A635C" w:rsidRDefault="00326AAB">
      <w:pPr>
        <w:pStyle w:val="Text1"/>
        <w:spacing w:after="240"/>
        <w:ind w:left="0"/>
        <w:rPr>
          <w:noProof/>
        </w:rPr>
      </w:pPr>
      <w:r>
        <w:rPr>
          <w:noProof/>
        </w:rPr>
        <w:t xml:space="preserve">Η παρούσα έκθεση και το συνοδευτικό έγγραφο εργασίας των υπηρεσιών της Επιτροπής διατίθενται στο κοινό στη διεύθυνση: </w:t>
      </w:r>
      <w:hyperlink r:id="rId15">
        <w:r>
          <w:rPr>
            <w:noProof/>
            <w:u w:val="single"/>
          </w:rPr>
          <w:t>http://ec.europa.eu/trade/issues/respectrules/anti_dumping/legis/index_en.htm</w:t>
        </w:r>
      </w:hyperlink>
      <w:r>
        <w:rPr>
          <w:noProof/>
        </w:rPr>
        <w:t>.</w:t>
      </w:r>
    </w:p>
    <w:p w:rsidR="004A635C" w:rsidRDefault="00326AAB">
      <w:pPr>
        <w:pStyle w:val="Text1"/>
        <w:spacing w:after="240"/>
        <w:rPr>
          <w:rFonts w:ascii="Arial" w:hAnsi="Arial" w:cs="Arial"/>
          <w:noProof/>
          <w:sz w:val="20"/>
          <w:szCs w:val="20"/>
        </w:rPr>
      </w:pPr>
      <w:r>
        <w:rPr>
          <w:noProof/>
        </w:rPr>
        <w:br w:type="page"/>
      </w:r>
    </w:p>
    <w:p w:rsidR="004A635C" w:rsidRDefault="00326AAB">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Τα επιτεύγματα της Επιτροπής Juncker</w:t>
      </w:r>
    </w:p>
    <w:p w:rsidR="004A635C" w:rsidRDefault="00326AAB">
      <w:pPr>
        <w:pStyle w:val="Heading1"/>
        <w:numPr>
          <w:ilvl w:val="0"/>
          <w:numId w:val="0"/>
        </w:numPr>
        <w:spacing w:before="480"/>
        <w:ind w:left="851" w:hanging="851"/>
        <w:rPr>
          <w:noProof/>
        </w:rPr>
      </w:pPr>
      <w:r>
        <w:rPr>
          <w:noProof/>
        </w:rPr>
        <w:t>I.1</w:t>
      </w:r>
      <w:r>
        <w:rPr>
          <w:noProof/>
        </w:rPr>
        <w:tab/>
        <w:t xml:space="preserve">Ενα σύστημα μέσων εμπορικής άμυνας της ΕΕ που εφαρμόστηκε αποτελεσματικά - με αποφασιστικότητα και με μέτρο </w:t>
      </w:r>
    </w:p>
    <w:p w:rsidR="004A635C" w:rsidRDefault="00326AAB">
      <w:pPr>
        <w:pStyle w:val="Text2"/>
        <w:spacing w:after="240"/>
        <w:ind w:left="0"/>
        <w:rPr>
          <w:noProof/>
        </w:rPr>
      </w:pPr>
      <w:r>
        <w:rPr>
          <w:noProof/>
        </w:rPr>
        <w:t>Προκειμένου να είν</w:t>
      </w:r>
      <w:r>
        <w:rPr>
          <w:noProof/>
        </w:rPr>
        <w:t>αι ελεύθερο, το εμπόριο θα πρέπει να είναι δίκαιο. Η εμπορική άμυνα της ΕΕ αποτελεί τον ακρογωνιαίο λίθο της δράσης της ΕΕ για τη διατήρηση των συνθηκών θεμιτού εμπορίου. Ταυτόχρονα, τα σύγχρονα μέσα εμπορικής άμυνας (ΜΕΑ) θα πρέπει να προσαρμοστούν στην ο</w:t>
      </w:r>
      <w:r>
        <w:rPr>
          <w:noProof/>
        </w:rPr>
        <w:t>ικονομική πραγματικότητα και η χρήση τους να περιοριστεί στον απαραίτητο βαθμό για την εξουδετέρωση των ζηµιογόνων αποτελεσμάτων και των αθέμιτων εισαγωγών. Σ’ αυτό το πνεύμα, η ανακοίνωση της Επιτροπής «Εμπόριο για όλους»</w:t>
      </w:r>
      <w:r>
        <w:rPr>
          <w:rStyle w:val="FootnoteReference"/>
          <w:noProof/>
        </w:rPr>
        <w:footnoteReference w:id="6"/>
      </w:r>
      <w:r>
        <w:rPr>
          <w:noProof/>
        </w:rPr>
        <w:t xml:space="preserve"> προσδιόρισε ως στόχο προτεραιότη</w:t>
      </w:r>
      <w:r>
        <w:rPr>
          <w:noProof/>
        </w:rPr>
        <w:t xml:space="preserve">τας να καταστούν τα μέσα εμπορικής άμυνας πιο αποτελεσματικά και αποδοτικά. </w:t>
      </w:r>
    </w:p>
    <w:p w:rsidR="004A635C" w:rsidRDefault="00326AAB">
      <w:pPr>
        <w:pStyle w:val="Text2"/>
        <w:spacing w:after="240"/>
        <w:ind w:left="0"/>
        <w:rPr>
          <w:noProof/>
        </w:rPr>
      </w:pPr>
      <w:r>
        <w:rPr>
          <w:noProof/>
        </w:rPr>
        <w:t>Αυτό ήταν ακόμα πιο σημαντικό καθώς σε όλη τη διάρκεια της θητείας της, η Επιτροπή Juncker αντιμετώπισε έναν πολύ μεγάλο αριθμό υποθέσεων αθέμιτων εισαγωγών, πολλές από τις οποίες</w:t>
      </w:r>
      <w:r>
        <w:rPr>
          <w:noProof/>
        </w:rPr>
        <w:t xml:space="preserve"> ήταν καίριας σημασίας για την ευρωπαϊκή οικονομία. Από τον Νοέμβριο του 2014 έως τον Δεκέμβριο του 2018, κινήθηκαν 170 υποθέσεις μέσων εμπορικής άμυνας και εφαρμόστηκαν 95 μέτρα για την αποκατάσταση ισότιμων όρων ανταγωνισμού. Από τα τελευταία, 35 αποτελο</w:t>
      </w:r>
      <w:r>
        <w:rPr>
          <w:noProof/>
        </w:rPr>
        <w:t>ύν νέα μέτρα, ενώ τα υπόλοιπα αποτελούν ανανεώσεις ή επεκτάσεις υφιστάμενων μέτρων.</w:t>
      </w:r>
    </w:p>
    <w:p w:rsidR="004A635C" w:rsidRDefault="00326AAB">
      <w:pPr>
        <w:pStyle w:val="ListParagraph"/>
        <w:spacing w:after="240"/>
        <w:ind w:left="0"/>
        <w:jc w:val="both"/>
        <w:rPr>
          <w:noProof/>
        </w:rPr>
      </w:pPr>
      <w:r>
        <w:rPr>
          <w:noProof/>
        </w:rPr>
        <w:t xml:space="preserve">Το μέσα εμπορικής άμυνας της ΕΕ προστατεύουν τις θέσεις εργασίας και συνεπώς έχουν </w:t>
      </w:r>
      <w:r>
        <w:rPr>
          <w:b/>
          <w:noProof/>
        </w:rPr>
        <w:t>άμεσο θετικό αντίκτυπο</w:t>
      </w:r>
      <w:r>
        <w:rPr>
          <w:noProof/>
        </w:rPr>
        <w:t xml:space="preserve"> στον βιομηχανικό ιστό και στην οικονομία της ΕΕ: τα μέτρα εμπορικής άμυνας της ΕΕ που επιβλήθηκαν από την αρχή της εντολής της Επιτροπής συνέβαλαν αποτελεσματικά στη διατήρηση περισσότερων από 124 000 θέσεων εργασίας.</w:t>
      </w:r>
      <w:r>
        <w:rPr>
          <w:rStyle w:val="FootnoteReference"/>
          <w:noProof/>
        </w:rPr>
        <w:footnoteReference w:id="7"/>
      </w:r>
      <w:r>
        <w:rPr>
          <w:noProof/>
        </w:rPr>
        <w:t xml:space="preserve"> Ο τομέας της χαλυβουργίας επωφελήθηκ</w:t>
      </w:r>
      <w:r>
        <w:rPr>
          <w:noProof/>
        </w:rPr>
        <w:t xml:space="preserve">ε περισσότερο, με την προστασία περισσότερων από 86 000 θέσεων εργασίας. Συνολικά, τα μέτρα της ΕΕ που ίσχυαν στα τέλη του 2018 προστάτευσαν αποτελεσματικά 320 000 άμεσες βιομηχανικές θέσεις εργασίας από τον αθέμιτο ανταγωνισμό. </w:t>
      </w:r>
    </w:p>
    <w:p w:rsidR="004A635C" w:rsidRDefault="00326AAB">
      <w:pPr>
        <w:pStyle w:val="ListParagraph"/>
        <w:spacing w:after="240"/>
        <w:ind w:left="0"/>
        <w:jc w:val="both"/>
        <w:rPr>
          <w:noProof/>
        </w:rPr>
      </w:pPr>
      <w:r>
        <w:rPr>
          <w:noProof/>
        </w:rPr>
        <w:t>Τα μέσα εμπορικής άμυνας τ</w:t>
      </w:r>
      <w:r>
        <w:rPr>
          <w:noProof/>
        </w:rPr>
        <w:t xml:space="preserve">ης ΕΕ ανακουφίζουν τους ενωσιακούς κλάδους παραγωγής με το ελάχιστο οικονομικό κόστος. Πράγματι, τα </w:t>
      </w:r>
      <w:r>
        <w:rPr>
          <w:b/>
          <w:noProof/>
        </w:rPr>
        <w:t>επίπεδα δασμών που επιβλήθηκαν</w:t>
      </w:r>
      <w:r>
        <w:rPr>
          <w:noProof/>
        </w:rPr>
        <w:t xml:space="preserve"> από την ΕΕ ήταν χαμηλότερα σε σχέση με εκείνα που επέβαλαν άλλοι εμπορικοί εταίροι. Για παράδειγμα, οι δασμοί επί του χάλυβα </w:t>
      </w:r>
      <w:r>
        <w:rPr>
          <w:noProof/>
        </w:rPr>
        <w:t>κυμαίνονται σήμερα κατά μέσο όρο μεταξύ 29 % και 45 %, ενώ οι αντίστοιχοι μέσοι δασμοί που επιβάλλονται από τις Ηνωμένες Πολιτείες (ΗΠΑ) κυμαίνονται μεταξύ 54 % – 87 %.</w:t>
      </w:r>
      <w:r>
        <w:rPr>
          <w:rStyle w:val="FootnoteReference"/>
          <w:noProof/>
        </w:rPr>
        <w:footnoteReference w:id="8"/>
      </w:r>
      <w:r>
        <w:rPr>
          <w:noProof/>
        </w:rPr>
        <w:t xml:space="preserve"> Ένας από τους κύριους λόγους για τους συγκεκριμένους χαμηλότερους μέσους δασμούς στην </w:t>
      </w:r>
      <w:r>
        <w:rPr>
          <w:noProof/>
        </w:rPr>
        <w:t>ΕΕ είναι ο «κανόνας του χαμηλότερου δασμού», σύμφωνα με τον οποίο θα πρέπει να διορθώνεται η πηγή του αθέμιτου ανταγωνισμού (περιθώριο ντάμπινγκ) ή το αποτέλεσμά του (περιθώριο ζημίας), όποιο είναι μικρότερο</w:t>
      </w:r>
      <w:r>
        <w:rPr>
          <w:rStyle w:val="FootnoteReference"/>
          <w:noProof/>
        </w:rPr>
        <w:footnoteReference w:id="9"/>
      </w:r>
      <w:r>
        <w:rPr>
          <w:noProof/>
        </w:rPr>
        <w:t>. Επιπλέον, η Επιτροπή κινεί τις έρευνες μόνο ότ</w:t>
      </w:r>
      <w:r>
        <w:rPr>
          <w:noProof/>
        </w:rPr>
        <w:t>αν είναι αναγκαίο. Εκτιμά επίσης το κατά πόσον τα μέτρα εμπορικής άμυνας είναι αντίθετα προς το γενικό οικονομικό συμφέρον της Ένωσης προτού επιβάλει διορθωτικά μέτρα.</w:t>
      </w:r>
    </w:p>
    <w:p w:rsidR="004A635C" w:rsidRDefault="00326AAB">
      <w:pPr>
        <w:pStyle w:val="ListParagraph"/>
        <w:spacing w:after="240"/>
        <w:ind w:left="0"/>
        <w:jc w:val="both"/>
        <w:rPr>
          <w:noProof/>
        </w:rPr>
      </w:pPr>
      <w:r>
        <w:rPr>
          <w:noProof/>
        </w:rPr>
        <w:t xml:space="preserve">Τα μέτρα εμπορικής άμυνας της ΕΕ έχουν </w:t>
      </w:r>
      <w:r>
        <w:rPr>
          <w:b/>
          <w:noProof/>
        </w:rPr>
        <w:t>σημαντικό επανορθωτικό αντίκτυπο</w:t>
      </w:r>
      <w:r>
        <w:rPr>
          <w:noProof/>
        </w:rPr>
        <w:t>: στις περισσότερ</w:t>
      </w:r>
      <w:r>
        <w:rPr>
          <w:noProof/>
        </w:rPr>
        <w:t>ες υποθέσεις, ήδη κατά την έρευνα, αλλά οπωσδήποτε μετά την επιβολή μέτρων, οι εισαγωγές που αποτελούν αντικείμενο ντάμπινγκ ή επιδοτήσεων μειώνονται σημαντικά. Ο παρακάτω πίνακας περιέχει ένα δείγμα ισχυόντων μέτρων της ΕΕ που καταδεικνύει τον αντίκτυπό τ</w:t>
      </w:r>
      <w:r>
        <w:rPr>
          <w:noProof/>
        </w:rPr>
        <w:t xml:space="preserve">ους: </w:t>
      </w:r>
    </w:p>
    <w:tbl>
      <w:tblPr>
        <w:tblW w:w="8613" w:type="dxa"/>
        <w:jc w:val="center"/>
        <w:tblLook w:val="04A0" w:firstRow="1" w:lastRow="0" w:firstColumn="1" w:lastColumn="0" w:noHBand="0" w:noVBand="1"/>
      </w:tblPr>
      <w:tblGrid>
        <w:gridCol w:w="3599"/>
        <w:gridCol w:w="1788"/>
        <w:gridCol w:w="3226"/>
      </w:tblGrid>
      <w:tr w:rsidR="004A635C">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4A635C" w:rsidRDefault="00326AAB">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Προϊόν που υπόκειται σε μέτρα</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4A635C" w:rsidRDefault="00326AAB">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Καταγωγή</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4A635C" w:rsidRDefault="00326AAB">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 xml:space="preserve">Μείωση των εισαγωγών που αποτελούν αντικείμενο ντάμπινγκ ή επιδοτήσεων της συγκεκριμένης προέλευσης μετά την επιβολή μέτρων </w:t>
            </w:r>
          </w:p>
          <w:p w:rsidR="004A635C" w:rsidRDefault="00326AAB">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 xml:space="preserve">(τα πιο πρόσφατα στοιχεία για τις εισαγωγές σε σύγκριση με τις εισαγωγές κατά την </w:t>
            </w:r>
            <w:r>
              <w:rPr>
                <w:rFonts w:asciiTheme="minorHAnsi" w:hAnsiTheme="minorHAnsi" w:cstheme="minorHAnsi"/>
                <w:noProof/>
                <w:color w:val="FFFFFF"/>
                <w:sz w:val="20"/>
              </w:rPr>
              <w:t>αρχική περίοδο έρευνας)</w:t>
            </w:r>
            <w:r>
              <w:rPr>
                <w:rFonts w:asciiTheme="minorHAnsi" w:hAnsiTheme="minorHAnsi" w:cstheme="minorHAnsi"/>
                <w:noProof/>
                <w:color w:val="FFFFFF"/>
                <w:sz w:val="20"/>
                <w:vertAlign w:val="superscript"/>
              </w:rPr>
              <w:footnoteReference w:id="10"/>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Θερμαντικά σώματα αλουμινίου</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Λαϊκή Δημοκρατία της Κίνας</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-98 %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Τροχοί από αλουμίνιο για οδικά οχήματα</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Λαϊκή Δημοκρατία της Κίνας</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-38 %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Επιτραπέζια σκεύη από κεραμευτική ύλη</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Λαϊκή Δημοκρατία της Κίνας</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-28 %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Κεραμικά πλακίδια</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Λαϊκή Δημοκρατία της Κίνας</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-84 %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Επιχρισμένο χαρτί εκλεκτής ποιότητας</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Λαϊκή Δημοκρατία της Κίνας</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-99 %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Νέα και αναγομωμένα ελαστικά επισώτρων για λεωφορεία ή φορτηγά</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Λαϊκή Δημοκρατία της Κίνας</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-81 %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4A635C" w:rsidRDefault="00326AAB">
            <w:pPr>
              <w:rPr>
                <w:rFonts w:asciiTheme="minorHAnsi" w:hAnsiTheme="minorHAnsi" w:cstheme="minorHAnsi"/>
                <w:noProof/>
                <w:sz w:val="22"/>
                <w:szCs w:val="22"/>
              </w:rPr>
            </w:pPr>
            <w:r>
              <w:rPr>
                <w:rFonts w:asciiTheme="minorHAnsi" w:hAnsiTheme="minorHAnsi" w:cstheme="minorHAnsi"/>
                <w:noProof/>
                <w:sz w:val="22"/>
              </w:rPr>
              <w:t>Προϊόντα χάλυβα (όλα τα μέτρα)</w:t>
            </w:r>
          </w:p>
        </w:tc>
        <w:tc>
          <w:tcPr>
            <w:tcW w:w="1788" w:type="dxa"/>
            <w:tcBorders>
              <w:top w:val="nil"/>
              <w:left w:val="nil"/>
              <w:bottom w:val="single" w:sz="4" w:space="0" w:color="auto"/>
              <w:right w:val="single" w:sz="4" w:space="0" w:color="auto"/>
            </w:tcBorders>
            <w:shd w:val="clear" w:color="auto" w:fill="auto"/>
            <w:noWrap/>
            <w:vAlign w:val="center"/>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Διάφορες χώρες</w:t>
            </w:r>
          </w:p>
        </w:tc>
        <w:tc>
          <w:tcPr>
            <w:tcW w:w="3226" w:type="dxa"/>
            <w:tcBorders>
              <w:top w:val="nil"/>
              <w:left w:val="nil"/>
              <w:bottom w:val="single" w:sz="4" w:space="0" w:color="auto"/>
              <w:right w:val="single" w:sz="4" w:space="0" w:color="auto"/>
            </w:tcBorders>
            <w:shd w:val="clear" w:color="auto" w:fill="auto"/>
            <w:noWrap/>
            <w:vAlign w:val="center"/>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 xml:space="preserve">-70 %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4A635C" w:rsidRDefault="00326AAB">
            <w:pPr>
              <w:rPr>
                <w:rFonts w:asciiTheme="minorHAnsi" w:hAnsiTheme="minorHAnsi" w:cstheme="minorHAnsi"/>
                <w:noProof/>
                <w:sz w:val="22"/>
                <w:szCs w:val="22"/>
              </w:rPr>
            </w:pPr>
            <w:r>
              <w:rPr>
                <w:rFonts w:asciiTheme="minorHAnsi" w:hAnsiTheme="minorHAnsi" w:cstheme="minorHAnsi"/>
                <w:noProof/>
                <w:sz w:val="22"/>
              </w:rPr>
              <w:t>Προϊόντα χάλυβα (υποθέσεις που κινήθηκαν από την Επιτροπή Juncker)</w:t>
            </w:r>
          </w:p>
        </w:tc>
        <w:tc>
          <w:tcPr>
            <w:tcW w:w="1788" w:type="dxa"/>
            <w:tcBorders>
              <w:top w:val="nil"/>
              <w:left w:val="nil"/>
              <w:bottom w:val="single" w:sz="4" w:space="0" w:color="auto"/>
              <w:right w:val="single" w:sz="4" w:space="0" w:color="auto"/>
            </w:tcBorders>
            <w:shd w:val="clear" w:color="auto" w:fill="auto"/>
            <w:noWrap/>
            <w:vAlign w:val="center"/>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Διάφορες χώρες</w:t>
            </w:r>
          </w:p>
        </w:tc>
        <w:tc>
          <w:tcPr>
            <w:tcW w:w="3226" w:type="dxa"/>
            <w:tcBorders>
              <w:top w:val="nil"/>
              <w:left w:val="nil"/>
              <w:bottom w:val="single" w:sz="4" w:space="0" w:color="auto"/>
              <w:right w:val="single" w:sz="4" w:space="0" w:color="auto"/>
            </w:tcBorders>
            <w:shd w:val="clear" w:color="auto" w:fill="auto"/>
            <w:noWrap/>
            <w:vAlign w:val="center"/>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-89 %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Γλυκό καλαμπόκι σε κόκκους</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Ταϊλάνδη</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-62 %</w:t>
            </w:r>
          </w:p>
        </w:tc>
      </w:tr>
      <w:tr w:rsidR="004A635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A635C" w:rsidRDefault="00326AAB">
            <w:pPr>
              <w:rPr>
                <w:rFonts w:asciiTheme="minorHAnsi" w:hAnsiTheme="minorHAnsi" w:cstheme="minorHAnsi"/>
                <w:noProof/>
                <w:sz w:val="22"/>
                <w:szCs w:val="22"/>
              </w:rPr>
            </w:pPr>
            <w:r>
              <w:rPr>
                <w:rFonts w:asciiTheme="minorHAnsi" w:hAnsiTheme="minorHAnsi" w:cstheme="minorHAnsi"/>
                <w:noProof/>
                <w:sz w:val="22"/>
              </w:rPr>
              <w:t>Θερμικό χαρτί</w:t>
            </w:r>
          </w:p>
        </w:tc>
        <w:tc>
          <w:tcPr>
            <w:tcW w:w="1788"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Δημοκρατία της Κορέας</w:t>
            </w:r>
          </w:p>
        </w:tc>
        <w:tc>
          <w:tcPr>
            <w:tcW w:w="3226" w:type="dxa"/>
            <w:tcBorders>
              <w:top w:val="nil"/>
              <w:left w:val="nil"/>
              <w:bottom w:val="single" w:sz="4" w:space="0" w:color="auto"/>
              <w:right w:val="single" w:sz="4" w:space="0" w:color="auto"/>
            </w:tcBorders>
            <w:shd w:val="clear" w:color="auto" w:fill="auto"/>
            <w:noWrap/>
            <w:vAlign w:val="center"/>
            <w:hideMark/>
          </w:tcPr>
          <w:p w:rsidR="004A635C" w:rsidRDefault="00326AAB">
            <w:pPr>
              <w:jc w:val="center"/>
              <w:rPr>
                <w:rFonts w:asciiTheme="minorHAnsi" w:hAnsiTheme="minorHAnsi" w:cstheme="minorHAnsi"/>
                <w:noProof/>
                <w:sz w:val="22"/>
                <w:szCs w:val="22"/>
              </w:rPr>
            </w:pPr>
            <w:r>
              <w:rPr>
                <w:rFonts w:asciiTheme="minorHAnsi" w:hAnsiTheme="minorHAnsi" w:cstheme="minorHAnsi"/>
                <w:noProof/>
                <w:sz w:val="22"/>
              </w:rPr>
              <w:t>-91 %</w:t>
            </w:r>
          </w:p>
        </w:tc>
      </w:tr>
    </w:tbl>
    <w:p w:rsidR="004A635C" w:rsidRDefault="00326AAB">
      <w:pPr>
        <w:pStyle w:val="ListParagraph"/>
        <w:spacing w:after="120"/>
        <w:ind w:left="0"/>
        <w:jc w:val="both"/>
        <w:rPr>
          <w:noProof/>
          <w:sz w:val="20"/>
          <w:szCs w:val="20"/>
        </w:rPr>
      </w:pPr>
      <w:r>
        <w:rPr>
          <w:noProof/>
        </w:rPr>
        <w:t xml:space="preserve">     </w:t>
      </w:r>
      <w:r>
        <w:rPr>
          <w:noProof/>
          <w:sz w:val="20"/>
        </w:rPr>
        <w:t>Πηγή: Comext, κανονισμοί της ΕΕ</w:t>
      </w:r>
    </w:p>
    <w:p w:rsidR="004A635C" w:rsidRDefault="00326AAB">
      <w:pPr>
        <w:pStyle w:val="ListParagraph"/>
        <w:spacing w:before="240" w:after="240"/>
        <w:ind w:left="0"/>
        <w:jc w:val="both"/>
        <w:rPr>
          <w:noProof/>
        </w:rPr>
      </w:pPr>
      <w:r>
        <w:rPr>
          <w:noProof/>
        </w:rPr>
        <w:t xml:space="preserve">Ένα άλλο παράδειγμα της αποτελεσματικότητας των μέτρων εμπορικής άμυνας της ΕΕ αποτελεί η απάντηση της Ένωσης στην κρίση του χάλυβα, όπως αναλύεται στο τμήμα Ι.3 κατωτέρω. </w:t>
      </w:r>
    </w:p>
    <w:p w:rsidR="004A635C" w:rsidRDefault="00326AAB">
      <w:pPr>
        <w:pStyle w:val="ListParagraph"/>
        <w:spacing w:after="240"/>
        <w:ind w:left="0"/>
        <w:jc w:val="both"/>
        <w:rPr>
          <w:noProof/>
        </w:rPr>
      </w:pPr>
      <w:r>
        <w:rPr>
          <w:noProof/>
        </w:rPr>
        <w:t xml:space="preserve">Την περίοδο από τον Νοέμβριο του 2014 έως τον Νοέμβριο του 2018, η ΕΕ συγκέντρωσε, </w:t>
      </w:r>
      <w:r>
        <w:rPr>
          <w:noProof/>
        </w:rPr>
        <w:t>ως αποτέλεσμα της επιβολής μέτρων, πάνω από 1,5 δισ. EUR σε δασμούς αντιντάμπινγκ ή αντισταθμιστικούς δασμούς, τα οποία µεταβιβάστηκαν στον προϋπολογισμό της ΕΕ.</w:t>
      </w:r>
    </w:p>
    <w:p w:rsidR="004A635C" w:rsidRDefault="00326AAB">
      <w:pPr>
        <w:pStyle w:val="ListParagraph"/>
        <w:spacing w:after="160"/>
        <w:ind w:left="0"/>
        <w:jc w:val="both"/>
        <w:rPr>
          <w:noProof/>
        </w:rPr>
      </w:pPr>
      <w:r>
        <w:rPr>
          <w:noProof/>
        </w:rPr>
        <w:t>Τα μέτρα αντιντάμπινγκ και αντεπιδοτήσεων θα πρέπει να αναθεωρούνται πέντε έτη μετά την εφαρμο</w:t>
      </w:r>
      <w:r>
        <w:rPr>
          <w:noProof/>
        </w:rPr>
        <w:t xml:space="preserve">γή τους, εάν ο ενωσιακός κλάδος παραγωγής επιθυμεί να διατηρήσει τα συγκεκριμένα μέτρα πέραν της εν λόγω περιόδου. Από τον Νοέμβριο του 2014 έως τον Δεκέμβριο του 2018, η Επιτροπή κίνησε 52 </w:t>
      </w:r>
      <w:r>
        <w:rPr>
          <w:b/>
          <w:noProof/>
        </w:rPr>
        <w:t>επανεξετάσεις ενόψει της λήξης ισχύος</w:t>
      </w:r>
      <w:r>
        <w:rPr>
          <w:noProof/>
        </w:rPr>
        <w:t xml:space="preserve"> των μέτρων της ΕΕ. Οι εν λόγ</w:t>
      </w:r>
      <w:r>
        <w:rPr>
          <w:noProof/>
        </w:rPr>
        <w:t>ω επανεξετάσεις ενόψει της λήξης ισχύος των μέτρων επιτρέπουν τη σύγκριση της κατάστασης του ενωσιακού κλάδου παραγωγής κατά την περίοδο της επιβολής των μέτρων με την κατάσταση ύστερα από πέντε έτη.  Η Επιτροπή μπορεί να διατηρήσει τα μέτρα εάν διαπιστώσε</w:t>
      </w:r>
      <w:r>
        <w:rPr>
          <w:noProof/>
        </w:rPr>
        <w:t>ι κατά την επανεξέταση ενόψει της λήξης ισχύος των μέτρων ότι υπάρχει πιθανότητα συνέχισης ή επανάληψης της πρακτικής ντάμπινγκ/επιδοτήσεων και της ζημίας σε περίπτωση κατάργησής τους. Οι ενωσιακοί κλάδοι παραγωγής ζητούν την επανεξέταση ενόψει της λήξης ι</w:t>
      </w:r>
      <w:r>
        <w:rPr>
          <w:noProof/>
        </w:rPr>
        <w:t>σχύος των μέτρων για το 75 % των υποθέσεων.</w:t>
      </w:r>
      <w:r>
        <w:rPr>
          <w:rStyle w:val="FootnoteReference"/>
          <w:noProof/>
        </w:rPr>
        <w:footnoteReference w:id="11"/>
      </w:r>
      <w:r>
        <w:rPr>
          <w:noProof/>
        </w:rPr>
        <w:t xml:space="preserve"> </w:t>
      </w:r>
    </w:p>
    <w:p w:rsidR="004A635C" w:rsidRDefault="00326AAB">
      <w:pPr>
        <w:pStyle w:val="ListParagraph"/>
        <w:spacing w:after="60"/>
        <w:ind w:left="0"/>
        <w:jc w:val="both"/>
        <w:rPr>
          <w:noProof/>
        </w:rPr>
      </w:pPr>
      <w:r>
        <w:rPr>
          <w:noProof/>
        </w:rPr>
        <w:t xml:space="preserve">    </w:t>
      </w:r>
    </w:p>
    <w:p w:rsidR="004A635C" w:rsidRDefault="00326AAB">
      <w:pPr>
        <w:pStyle w:val="ListParagraph"/>
        <w:spacing w:after="60"/>
        <w:ind w:left="0" w:firstLine="284"/>
        <w:jc w:val="both"/>
        <w:rPr>
          <w:b/>
          <w:noProof/>
          <w:sz w:val="21"/>
          <w:szCs w:val="21"/>
        </w:rPr>
      </w:pPr>
      <w:r>
        <w:rPr>
          <w:b/>
          <w:noProof/>
          <w:sz w:val="21"/>
        </w:rPr>
        <w:t>Επιλεγμένα παραδείγματα επανεξέτασης ενόψει της λήξης ισχύος των μέτρων ως μέτρο της αποτελεσματικότητας του μέσου εμπορικής άμυνας</w:t>
      </w:r>
    </w:p>
    <w:p w:rsidR="004A635C" w:rsidRDefault="00326AAB">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Η επανεξέταση ενόψει της λήξης των μέτρων σχετικά με τα </w:t>
      </w:r>
      <w:r>
        <w:rPr>
          <w:b/>
          <w:i/>
          <w:noProof/>
          <w:sz w:val="21"/>
        </w:rPr>
        <w:t>κεραμικά πλακίδια</w:t>
      </w:r>
      <w:r>
        <w:rPr>
          <w:rStyle w:val="FootnoteReference"/>
          <w:noProof/>
          <w:sz w:val="21"/>
        </w:rPr>
        <w:footnoteReference w:id="12"/>
      </w:r>
      <w:r>
        <w:rPr>
          <w:noProof/>
          <w:sz w:val="21"/>
        </w:rPr>
        <w:t xml:space="preserve"> αποτελεί μία από τις πολλές περιπτώσεις που απεικονίζουν τον τρόπο με τον οποίο τα μέτρα της ΕΕ αποδείχθηκαν αποτελεσματικά για την εξασφάλιση της μακροπρόθεσμης βιωσιμότητας του ενωσιακού κλάδου παραγωγής. Πριν από την επιβολή μέτρων για τον τερματισμό </w:t>
      </w:r>
      <w:r>
        <w:rPr>
          <w:noProof/>
          <w:sz w:val="21"/>
        </w:rPr>
        <w:t>των κινεζικών πρακτικών ντάμπινγκ, οι εισαγωγές από την Κίνα απείλησαν την ίδια την επιβίωση του κλάδου παραγωγής κεραμικών στην ΕΕ: τα κέρδη μειώθηκαν στο χαμηλότερο σημείο απόδοσης, ενώ οι επενδύσεις και η απασχόληση μειώθηκαν εξίσου σημαντικά. Η επιβολή</w:t>
      </w:r>
      <w:r>
        <w:rPr>
          <w:noProof/>
          <w:sz w:val="21"/>
        </w:rPr>
        <w:t xml:space="preserve"> μέτρων βελτίωσε την κατάσταση: ο ενωσιακός κλάδος παραγωγής επέστρεψε στην κερδοφορία· η παραγωγικότητα και οι επενδύσεις αυξήθηκαν σημαντικά. Σε έναν κλάδο που αποτελείται κατά κύριο λόγο από ΜΜΕ, μια τέτοια εξέλιξη των επενδύσεων είναι καθοριστικής σημα</w:t>
      </w:r>
      <w:r>
        <w:rPr>
          <w:noProof/>
          <w:sz w:val="21"/>
        </w:rPr>
        <w:t>σίας προκειμένου οι επιχειρήσεις της ΕΕ να καταφέρουν να ευδοκιμήσουν, καθώς υπάρχει συνεχής ανάγκη εκσυγχρονισμού του εξοπλισμού τους, προκειμένου να ακολουθήσουν τις τάσεις της αγοράς. Χάρη στα μέτρα, η απασχόληση σταθεροποιήθηκε επίσης στον σημαντικό αρ</w:t>
      </w:r>
      <w:r>
        <w:rPr>
          <w:noProof/>
          <w:sz w:val="21"/>
        </w:rPr>
        <w:t>ιθμό περίπου 60 000 εργαζομένων (ακόμη και αν αυτός ήταν χαμηλότερος σε σχέση με την κατάσταση πριν ξεκινήσει το ντάμπινγκ). Ωστόσο, παρά τις εν λόγω θετικές εξελίξεις, τα μέτρα έπρεπε να διατηρηθούν λόγω της μαζικής πλεονάζουσας παραγωγικής ικανότητας και</w:t>
      </w:r>
      <w:r>
        <w:rPr>
          <w:noProof/>
          <w:sz w:val="21"/>
        </w:rPr>
        <w:t xml:space="preserve"> της επιθετικής τιμολόγησης των Κινέζων εξαγωγέων. Από την επανεξέταση διαπιστώθηκε ότι, χωρίς τα μέτρα, θα υπήρχε σημαντικός κίνδυνος να επαναληφθούν οι αθέμιτες εξαγωγικές πρακτικές της Κίνας με τον επακόλουθο αρνητικό αντίκτυπο στον ενωσιακό κλάδο παραγ</w:t>
      </w:r>
      <w:r>
        <w:rPr>
          <w:noProof/>
          <w:sz w:val="21"/>
        </w:rPr>
        <w:t xml:space="preserve">ωγής. </w:t>
      </w:r>
    </w:p>
    <w:p w:rsidR="004A635C" w:rsidRDefault="00326AAB">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Τα μέτρα για τα </w:t>
      </w:r>
      <w:r>
        <w:rPr>
          <w:b/>
          <w:i/>
          <w:noProof/>
          <w:sz w:val="21"/>
        </w:rPr>
        <w:t>ποδήλατα</w:t>
      </w:r>
      <w:r>
        <w:rPr>
          <w:b/>
          <w:noProof/>
          <w:sz w:val="21"/>
        </w:rPr>
        <w:t xml:space="preserve"> </w:t>
      </w:r>
      <w:r>
        <w:rPr>
          <w:noProof/>
          <w:sz w:val="21"/>
        </w:rPr>
        <w:t>από την Κίνα αποτελούν ένα ακόμη αξιοσημείωτο παράδειγμα της αποτελεσματικότητας των μέσων εμπορικής άμυνας. Τα μέτρα επιβλήθηκαν για πρώτη φορά το 1993 και μετά από σειρά μεταγενέστερων επανεξετάσεων εν όψει της λήξης ισχύο</w:t>
      </w:r>
      <w:r>
        <w:rPr>
          <w:noProof/>
          <w:sz w:val="21"/>
        </w:rPr>
        <w:t xml:space="preserve">ς των μέτρων και των ενδιάμεσων επανεξετάσεων διαπιστωνόταν κάθε φορά ότι τα συγκεκριμένα μέτρα εξακολουθούσαν να είναι απαραίτητα προκειμένου να αποφευχθεί το ζημιογόνο ντάμπινγκ. Μπορεί ευλόγως να υποστηριχθεί ότι σήμερα ο κλάδος παραγωγής ποδηλάτων της </w:t>
      </w:r>
      <w:r>
        <w:rPr>
          <w:noProof/>
          <w:sz w:val="21"/>
        </w:rPr>
        <w:t>ΕΕ δεν θα υπήρχε απουσία των μέτρων αντιντάμπινγκ. Σε άλλες χώρες, όπου τα μέτρα δεν επιβλήθηκαν ή έπαψαν να ισχύουν, οι Κινέζοι εξαγωγείς κατέλαβαν σχεδόν το σύνολο της εγχώριας αγοράς. Οι έρευνες έχουν επανειλημμένα διαπιστώσει ότι η πλεονάζουσα παραγωγι</w:t>
      </w:r>
      <w:r>
        <w:rPr>
          <w:noProof/>
          <w:sz w:val="21"/>
        </w:rPr>
        <w:t>κή ικανότητα της Κίνας είναι πολύ σημαντική - η τελευταία έρευνα έδειξε πλεονάζουσα παραγωγική ικανότητα υψηλότερη κατά 25 % από τη συνολική κατανάλωση στην ΕΕ, και, κατά τα φαινόμενα, η Κίνα προσπάθησε να αξιοποιήσει πλήρως τη συγκεκριμένη ικανότητα. Ως α</w:t>
      </w:r>
      <w:r>
        <w:rPr>
          <w:noProof/>
          <w:sz w:val="21"/>
        </w:rPr>
        <w:t>ποτέλεσμα, η ΕΕ αναγκάστηκε να σταματήσει το 2013 μια μεγάλης κλίμακας στρατηγική καταστρατήγησης των δασμών αντιντάμπινγκ που είχαν επιβληθεί στις κινεζικές εισαγωγές ποδηλάτων μέσω της Ινδονησίας, της Μαλαισίας, της Σρι Λάνκα και της Τυνησίας. Αυτό επέτρ</w:t>
      </w:r>
      <w:r>
        <w:rPr>
          <w:noProof/>
          <w:sz w:val="21"/>
        </w:rPr>
        <w:t xml:space="preserve">εψε στον ενωσιακό κλάδο παραγωγής να επιστρέψει σε μέτρια αλλά σταθερά κέρδη, όπως φαίνεται στην αίτηση για επανεξέταση ενόψει της λήξης ισχύος των μέτρων, η οποία βρίσκεται σε εξέλιξη. </w:t>
      </w:r>
    </w:p>
    <w:p w:rsidR="004A635C" w:rsidRDefault="00326AAB">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Η διαρκής παρουσία του κλάδου παραγωγής ποδηλάτων της ΕΕ έχει διαρθρω</w:t>
      </w:r>
      <w:r>
        <w:rPr>
          <w:noProof/>
          <w:sz w:val="21"/>
        </w:rPr>
        <w:t>τικές συνέπειες στην οικονομία της ΕΕ. Χωρίς τη λειτουργία του ενωσιακού κλάδου παραγωγής ποδηλάτων, ο ενωσιακός κλάδος εξαρτημάτων ποδηλάτων δεν θα υπήρχε. Ούτε θα μπορούσε η Ευρώπη να αναπτύξει μια σημαντική νέα αγορά, δηλαδή τον κλάδο ηλεκτρικών ποδηλάτ</w:t>
      </w:r>
      <w:r>
        <w:rPr>
          <w:noProof/>
          <w:sz w:val="21"/>
        </w:rPr>
        <w:t>ων που εξακολουθεί να έχει σημαντικό αναπτυξιακό δυναμικό. Στην ΕΕ, 11 000 θέσεις εργασίας συνδέονται άμεσα με την παραγωγή ποδηλάτων, 16 000 θέσεις εργασίας με την παραγωγή εξαρτημάτων ποδηλάτων και 3 600 θέσεις εργασίας με τα ηλεκτρικά ποδήλατα. Τον Ιανο</w:t>
      </w:r>
      <w:r>
        <w:rPr>
          <w:noProof/>
          <w:sz w:val="21"/>
        </w:rPr>
        <w:t>υάριο του 2019 η Επιτροπή επέβαλε οριστικά μέτρα αντιντάμπινγκ και αντεπιδοτήσεων κατά των εισαγωγών ηλεκτρικών ποδηλάτων από την Κίνα. Διαπιστώθηκε ότι οι Κινέζοι εξαγωγείς ηλεκτρικών ποδηλάτων επωφελήθηκαν από μαζικές επιδοτήσεις.</w:t>
      </w:r>
    </w:p>
    <w:p w:rsidR="004A635C" w:rsidRDefault="00326AAB">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Πριν από τα μέτρα εμπορ</w:t>
      </w:r>
      <w:r>
        <w:rPr>
          <w:noProof/>
          <w:sz w:val="21"/>
        </w:rPr>
        <w:t xml:space="preserve">ικής άμυνας όσον αφορά τους </w:t>
      </w:r>
      <w:r>
        <w:rPr>
          <w:b/>
          <w:i/>
          <w:noProof/>
          <w:sz w:val="21"/>
        </w:rPr>
        <w:t>τροχούς από αλουμίνιο για οδικά οχήματα</w:t>
      </w:r>
      <w:r>
        <w:rPr>
          <w:noProof/>
          <w:sz w:val="21"/>
        </w:rPr>
        <w:t xml:space="preserve"> από την Κίνα,</w:t>
      </w:r>
      <w:r>
        <w:rPr>
          <w:rStyle w:val="FootnoteReference"/>
          <w:noProof/>
          <w:sz w:val="21"/>
        </w:rPr>
        <w:footnoteReference w:id="13"/>
      </w:r>
      <w:r>
        <w:rPr>
          <w:noProof/>
          <w:sz w:val="21"/>
        </w:rPr>
        <w:t xml:space="preserve"> η κατάσταση του ενωσιακού κλάδου παραγωγής είχε επιδεινωθεί εξαιτίας των κινεζικών εισαγωγών που αποτελούσαν αντικείμενο ντάμπινγκ, όπως αποδεικνύεται, για παράδειγμα, από τ</w:t>
      </w:r>
      <w:r>
        <w:rPr>
          <w:noProof/>
          <w:sz w:val="21"/>
        </w:rPr>
        <w:t>η μείωση της παραγωγής και των όγκων των πωλήσεων, καθώς και την ιδιαιτέρως ζημιογόνο κατάσταση. Πέντε έτη μετά την επιβολή των δασμών αντιντάμπινγκ, η κατάσταση βελτιώθηκε σημαντικά. Ο ενωσιακός κλάδος παραγωγής της ΕΕ ήταν σε θέση να ανακάμψει και να επι</w:t>
      </w:r>
      <w:r>
        <w:rPr>
          <w:noProof/>
          <w:sz w:val="21"/>
        </w:rPr>
        <w:t xml:space="preserve">δείξει ικανοποιητικά κέρδη, αυξανόμενα σύμφωνα με την αγορά. Οι κινεζικές εισαγωγές μειώθηκαν και το μερίδιο αγοράς των κινεζικών εισαγωγών μειώθηκε σχεδόν κατά 75 %. Τα μέτρα διατήρησαν έναν υγιή ανταγωνισμό στην αγορά της ΕΕ, καθώς το μερίδιο αγοράς των </w:t>
      </w:r>
      <w:r>
        <w:rPr>
          <w:noProof/>
          <w:sz w:val="21"/>
        </w:rPr>
        <w:t>προμηθευτών τρίτων χωρών ανέκαμψε, επιτρέποντας έτσι μια ευρύτερη προσφορά προϊόντων, χωρίς αθέμιτα χαμηλές τιμές. Ο ενωσιακός κλάδος παραγωγής αύξησε τις πωλήσεις και την παραγωγή του κατά 28 % και 25 % αντίστοιχα και δημιούργησε 1 200 νέες θέσεις εργασία</w:t>
      </w:r>
      <w:r>
        <w:rPr>
          <w:noProof/>
          <w:sz w:val="21"/>
        </w:rPr>
        <w:t xml:space="preserve">ς (αύξηση κατά 10 %). Αύξησε την παραγωγική του ικανότητα για να καλύψει την αυξανόμενη ζήτηση και να αναβαθμίσει το φάσμα των προϊόντων του. Ωστόσο, εξακολουθούσε να είναι απαραίτητη η διατήρηση των μέτρων, διότι διαφορετικά οι Κινέζοι εξαγωγείς θα είχαν </w:t>
      </w:r>
      <w:r>
        <w:rPr>
          <w:noProof/>
          <w:sz w:val="21"/>
        </w:rPr>
        <w:t>επιστρέψει στην αγορά της Ένωσης με μεγάλες ποσότητες σε χαμηλές τιμές ντάμπινγκ: ο πτωτικός κύκλος θα ξεκινούσε και πάλι για τον ενωσιακό κλάδο παραγωγής.</w:t>
      </w:r>
    </w:p>
    <w:p w:rsidR="004A635C" w:rsidRDefault="004A635C">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4A635C" w:rsidRDefault="004A635C">
      <w:pPr>
        <w:rPr>
          <w:noProof/>
        </w:rPr>
      </w:pPr>
    </w:p>
    <w:p w:rsidR="004A635C" w:rsidRDefault="00326AAB">
      <w:pPr>
        <w:pStyle w:val="ListParagraph"/>
        <w:spacing w:after="240"/>
        <w:ind w:left="0"/>
        <w:jc w:val="both"/>
        <w:rPr>
          <w:noProof/>
        </w:rPr>
      </w:pPr>
      <w:r>
        <w:rPr>
          <w:noProof/>
        </w:rPr>
        <w:t xml:space="preserve">Η παγκοσμιοποίηση του εμπορίου έχει οδηγήσει σε μεγαλύτερες δυνατότητες </w:t>
      </w:r>
      <w:r>
        <w:rPr>
          <w:b/>
          <w:noProof/>
        </w:rPr>
        <w:t>καταστρατήγησης</w:t>
      </w:r>
      <w:r>
        <w:rPr>
          <w:noProof/>
        </w:rPr>
        <w:t xml:space="preserve"> ή μείωσης </w:t>
      </w:r>
      <w:r>
        <w:rPr>
          <w:noProof/>
        </w:rPr>
        <w:t>με άλλο τρόπο της αποτελεσματικότητας των μέτρων εμπορικής άμυνας. Για τον λόγο αυτό, η Επιτροπή παρακολουθεί συνεχώς τις στατιστικές εισαγωγών προκειμένου να εντοπίσει πιθανή καταστρατήγηση των μέτρων</w:t>
      </w:r>
      <w:r>
        <w:rPr>
          <w:rStyle w:val="FootnoteReference"/>
          <w:noProof/>
        </w:rPr>
        <w:footnoteReference w:id="14"/>
      </w:r>
      <w:r>
        <w:rPr>
          <w:noProof/>
        </w:rPr>
        <w:t xml:space="preserve"> ή απορρόφηση των δασμών.</w:t>
      </w:r>
      <w:r>
        <w:rPr>
          <w:rStyle w:val="FootnoteReference"/>
          <w:noProof/>
        </w:rPr>
        <w:footnoteReference w:id="15"/>
      </w:r>
      <w:r>
        <w:rPr>
          <w:noProof/>
        </w:rPr>
        <w:t xml:space="preserve"> Για την αντιμετώπιση καταστ</w:t>
      </w:r>
      <w:r>
        <w:rPr>
          <w:noProof/>
        </w:rPr>
        <w:t>άσεων αυτού του είδους, μεταξύ Νοεμβρίου 2014 και Δεκεμβρίου 2018, η Επιτροπή κίνησε 14 έρευνες κατά της καταστρατήγησης ή κατά της απορρόφησης και, συνεπώς, επέκτεινε τα ισχύοντα μέτρα σε 14 υποθέσεις σε άλλες χώρες ή προϊόντα για να διατηρήσει το επιθυμη</w:t>
      </w:r>
      <w:r>
        <w:rPr>
          <w:noProof/>
        </w:rPr>
        <w:t>τό αποτέλεσμα των μέτρων.</w:t>
      </w:r>
    </w:p>
    <w:p w:rsidR="004A635C" w:rsidRDefault="00326AAB">
      <w:pPr>
        <w:adjustRightInd w:val="0"/>
        <w:jc w:val="both"/>
        <w:rPr>
          <w:noProof/>
        </w:rPr>
      </w:pPr>
      <w:r>
        <w:rPr>
          <w:noProof/>
        </w:rPr>
        <w:t xml:space="preserve">Τέλος, αξίζει να σημειωθεί ότι, η Επιτροπή, προκειμένου να κρίνει κατά πόσον τα μέτρα εμπορικής άμυνας πέτυχαν τους στόχους τους, παρέμεινε σε συνεχή επαφή με </w:t>
      </w:r>
      <w:r>
        <w:rPr>
          <w:b/>
          <w:noProof/>
        </w:rPr>
        <w:t>όλες τις βασικές οργανώσεις</w:t>
      </w:r>
      <w:r>
        <w:rPr>
          <w:noProof/>
        </w:rPr>
        <w:t xml:space="preserve"> </w:t>
      </w:r>
      <w:r>
        <w:rPr>
          <w:b/>
          <w:noProof/>
        </w:rPr>
        <w:t>ενδιαφερόμενων φορέων</w:t>
      </w:r>
      <w:r>
        <w:rPr>
          <w:noProof/>
        </w:rPr>
        <w:t xml:space="preserve"> που επηρεάζονται από </w:t>
      </w:r>
      <w:r>
        <w:rPr>
          <w:noProof/>
        </w:rPr>
        <w:t xml:space="preserve">τα μέτρα εμπορικής άμυνας, προκειμένου να εκτιμήσει το αποτέλεσμά τους. Διεξήχθησαν τακτικές συναντήσεις με εκπροσώπους των επιχειρήσεων και με άλλους ενδιαφερομένους, μεταξύ άλλων για την ενημέρωσή τους και για να συζητηθούν οι νομοθετικές μεταρρυθμίσεις </w:t>
      </w:r>
      <w:r>
        <w:rPr>
          <w:noProof/>
        </w:rPr>
        <w:t>των μέσων εμπορικής άμυνας, ενώ ελήφθησαν υπόψη όσο το δυνατόν περισσότερο οι ανησυχίες των διαφόρων ενδιαφερόμενων φορέων.</w:t>
      </w:r>
    </w:p>
    <w:p w:rsidR="004A635C" w:rsidRDefault="00326AAB">
      <w:pPr>
        <w:pStyle w:val="Heading1"/>
        <w:numPr>
          <w:ilvl w:val="0"/>
          <w:numId w:val="0"/>
        </w:numPr>
        <w:spacing w:before="480"/>
        <w:ind w:left="851" w:hanging="851"/>
        <w:rPr>
          <w:noProof/>
        </w:rPr>
      </w:pPr>
      <w:r>
        <w:rPr>
          <w:noProof/>
        </w:rPr>
        <w:t>I.2</w:t>
      </w:r>
      <w:r>
        <w:rPr>
          <w:noProof/>
        </w:rPr>
        <w:tab/>
        <w:t>Ενα αναμορφωμένο σύστημα για ακόμα μεγαλύτερη αποτελεσματικότητα και ασφάλεια</w:t>
      </w:r>
    </w:p>
    <w:p w:rsidR="004A635C" w:rsidRDefault="00326AAB">
      <w:pPr>
        <w:autoSpaceDE w:val="0"/>
        <w:autoSpaceDN w:val="0"/>
        <w:adjustRightInd w:val="0"/>
        <w:spacing w:before="120" w:after="240"/>
        <w:jc w:val="both"/>
        <w:rPr>
          <w:b/>
          <w:bCs/>
          <w:i/>
          <w:noProof/>
          <w:szCs w:val="22"/>
        </w:rPr>
      </w:pPr>
      <w:r>
        <w:rPr>
          <w:b/>
          <w:i/>
          <w:noProof/>
        </w:rPr>
        <w:t>Εκσυγχρονισμός</w:t>
      </w:r>
    </w:p>
    <w:p w:rsidR="004A635C" w:rsidRDefault="00326AAB">
      <w:pPr>
        <w:autoSpaceDE w:val="0"/>
        <w:autoSpaceDN w:val="0"/>
        <w:adjustRightInd w:val="0"/>
        <w:spacing w:before="120" w:after="240"/>
        <w:jc w:val="both"/>
        <w:rPr>
          <w:noProof/>
        </w:rPr>
      </w:pPr>
      <w:r>
        <w:rPr>
          <w:noProof/>
        </w:rPr>
        <w:t>Ο πυρήνας του εγχειριδίου κανόνων της ΕΕ για τα μέσα εμπορικής άμυνας, χρονολογείται από τα τέλη του γύρου διαπραγματεύσεων της Ουρουγουάης. Οι προσπάθειες εκσυγχρονισμού των βασικών κανονισμών ξεκίνησαν ήδη από το 2008. Ωστόσο, οι απαραίτητες αλλαγές στον</w:t>
      </w:r>
      <w:r>
        <w:rPr>
          <w:noProof/>
        </w:rPr>
        <w:t xml:space="preserve"> εκσυγχρονισμό ολοκληρώθηκαν εν τέλει επιτυχώς με την τρέχουσα Επιτροπή. Και αυτό είναι ακόμη πιο σημαντικό γιατί η νέα πραγματικότητα της παγκόσμιας αγοράς και το αυξανόμενο κύμα αθέμιτων εμπορικών πρακτικών κατέδειξαν σαφώς την επιτακτική ανάγκη για μεγα</w:t>
      </w:r>
      <w:r>
        <w:rPr>
          <w:noProof/>
        </w:rPr>
        <w:t>λύτερη αποτελεσματικότητα και ασφάλεια. Μετά την επίτευξη συμφωνίας μεταξύ του Συμβουλίου και του Ευρωπαϊκού Κοινοβουλίου σχετικά με την πρόταση της Επιτροπής στις 5 Δεκεμβρίου 2017, οι εκσυγχρονισμένοι κανόνες τέθηκαν σε ισχύ στις 8 Ιουνίου 2018. Το σημαν</w:t>
      </w:r>
      <w:r>
        <w:rPr>
          <w:noProof/>
        </w:rPr>
        <w:t>τικό αυτό βήμα κατέστησε τα μέσα εμπορικής άμυνας πιο αποτελεσματικά, πιο διαφανή και πιο κατάλληλα για την αντιμετώπιση των προκλήσεων της παγκόσμιας οικονομίας, ενώ παράλληλα ανταποκρίθηκε στις ανάγκες του συνόλου των ενδιαφερόμενων φορέων, και πιο συγκε</w:t>
      </w:r>
      <w:r>
        <w:rPr>
          <w:noProof/>
        </w:rPr>
        <w:t xml:space="preserve">κριμένα στα συμφέροντα των παραγωγών της ΕΕ, των εισαγωγέων και των μεταγενέστερων χρηστών. </w:t>
      </w:r>
    </w:p>
    <w:p w:rsidR="004A635C" w:rsidRDefault="00326AAB">
      <w:pPr>
        <w:tabs>
          <w:tab w:val="num" w:pos="426"/>
        </w:tabs>
        <w:spacing w:before="120" w:after="240"/>
        <w:jc w:val="both"/>
        <w:rPr>
          <w:noProof/>
          <w:szCs w:val="20"/>
        </w:rPr>
      </w:pPr>
      <w:r>
        <w:rPr>
          <w:noProof/>
        </w:rPr>
        <w:t>Η εκσυγχρονισμένη νομοθεσία της ΕΕ προβλέπει πολλές αλλαγές. Εισήγαγε έναν βελτιωμένο υπολογισμό περιθωρίου ζημίας, που είναι καίριας σημασίας για την εφαρμογή του</w:t>
      </w:r>
      <w:r>
        <w:rPr>
          <w:noProof/>
        </w:rPr>
        <w:t xml:space="preserve"> κανόνα του χαμηλότερου δασμού, ενός εκ των βασικών χαρακτηριστικών των μέσων εμπορικής άμυνας της Ένωσης. Ο υπολογισμός της μη ζημιογόνου τιμής επικαιροποιήθηκε προκειμένου να αντικατοπτρίζει καλύτερα την τρέχουσα οικονομική πραγματικότητα. Τούτο περιλαμβ</w:t>
      </w:r>
      <w:r>
        <w:rPr>
          <w:noProof/>
        </w:rPr>
        <w:t>άνει ένα ελάχιστο κέρδος 6 %, καθώς και τη δυνατότητα αποτύπωσης των επενδυτικών αναγκών καθώς και των αναγκών έρευνας και ανάπτυξης τών ενωσιακών κλάδων παραγωγής κατά τον υπολογισμό του περιθωρίου ζημίας. Επιπλέον, οι νέοι κανόνες μπορούν να λάβουν υπόψη</w:t>
      </w:r>
      <w:r>
        <w:rPr>
          <w:noProof/>
        </w:rPr>
        <w:t xml:space="preserve"> την ύπαρξη στρεβλώσεων των πρώτων υλών, οι οποίες πλήττουν ολοένα και περισσότερο τις σημερινές εμπορικές ανταλλαγές. </w:t>
      </w:r>
    </w:p>
    <w:p w:rsidR="004A635C" w:rsidRDefault="00326AAB">
      <w:pPr>
        <w:tabs>
          <w:tab w:val="num" w:pos="426"/>
        </w:tabs>
        <w:spacing w:before="120" w:after="240"/>
        <w:jc w:val="both"/>
        <w:rPr>
          <w:noProof/>
        </w:rPr>
      </w:pPr>
      <w:r>
        <w:rPr>
          <w:noProof/>
        </w:rPr>
        <w:t>Για λόγους μεγαλύτερης αποτελεσματικότητας, εγκρίθηκε βραχύτερο χρονοδιάγραμμα για την επιβολή προσωρινών μέτρων – τα συγκεκριμένα μέτρα</w:t>
      </w:r>
      <w:r>
        <w:rPr>
          <w:noProof/>
        </w:rPr>
        <w:t xml:space="preserve"> θα πρέπει πλέον να εγκρίνονται κανονικά εντός επτά μηνών, αλλά όχι αργότερα από οκτώ μήνες, ενώ στο παρελθόν το προβλεπόμενο διάστημα ήταν εννέα μήνες. Συνεπώς, οι ενωσιακοί κλάδοι παραγωγής θα ανακουφίζονται ταχύτερα από τον αθέμιτο ανταγωνισμό. Επίσης, </w:t>
      </w:r>
      <w:r>
        <w:rPr>
          <w:noProof/>
        </w:rPr>
        <w:t>προκειμένου να προχωρήσει περαιτέρω στην εξασφάλιση της διαφάνειας στις διαδικασίες και να επιτρέψει στους οικονομικούς φορείς να προσαρμοστούν νωρίτερα στα μέτρα, η ΕΕ θέσπισε έναν μηχανισμό προειδοποίησης για την επιβολή προσωρινών μέτρων αντιντάμπινγκ κ</w:t>
      </w:r>
      <w:r>
        <w:rPr>
          <w:noProof/>
        </w:rPr>
        <w:t xml:space="preserve">αι αντεπιδοτήσεων. Καμία άλλη δικαιοδοσία μέσων εμπορικής άμυνας δεν χρησιμοποιεί κάποιο ανάλογο σύστημα. </w:t>
      </w:r>
    </w:p>
    <w:p w:rsidR="004A635C" w:rsidRDefault="00326AAB">
      <w:pPr>
        <w:tabs>
          <w:tab w:val="num" w:pos="426"/>
        </w:tabs>
        <w:spacing w:before="120" w:after="240"/>
        <w:jc w:val="both"/>
        <w:rPr>
          <w:noProof/>
        </w:rPr>
      </w:pPr>
      <w:r>
        <w:rPr>
          <w:noProof/>
        </w:rPr>
        <w:t>Ένα άλλο βασικό στοιχείο που επιδίωξε να επιτύχει η Επιτροπή ήταν να προσαρμόσει τα μέσα εμπορικής άμυνας στις ανάγκες των μικρότερων εταιρειών: σ’ α</w:t>
      </w:r>
      <w:r>
        <w:rPr>
          <w:noProof/>
        </w:rPr>
        <w:t xml:space="preserve">υτό το πλαίσιο, οι ΜΜΕ της ΕΕ λαμβάνουν πρόσθετη στήριξη όταν σκοπεύουν να ζητήσουν την επιβολή μέτρων εμπορικής άμυνας ή όταν πλήττονται από τα μέτρα αυτά. </w:t>
      </w:r>
    </w:p>
    <w:p w:rsidR="004A635C" w:rsidRDefault="00326AAB">
      <w:pPr>
        <w:tabs>
          <w:tab w:val="num" w:pos="426"/>
        </w:tabs>
        <w:spacing w:before="120" w:after="240"/>
        <w:jc w:val="both"/>
        <w:rPr>
          <w:noProof/>
        </w:rPr>
      </w:pPr>
      <w:r>
        <w:rPr>
          <w:noProof/>
        </w:rPr>
        <w:t>Τέλος, για πρώτη φορά και σε ορισμένες σαφώς καθορισμένες περιστάσεις, η νομοθεσία εμπορικής άμυνα</w:t>
      </w:r>
      <w:r>
        <w:rPr>
          <w:noProof/>
        </w:rPr>
        <w:t xml:space="preserve">ς επιτρέπει στην Επιτροπή να λαμβάνει υπόψη τις κοινωνικές και περιβαλλοντικές πτυχές στις χώρες που τελούν υπό έλεγχο. Αυτό ισχύει ιδίως όσον αφορά τον κανόνα του χαμηλότερου δασμού, κατά τον καθορισμό του περιθωρίου ζημίας. Η συγκεκριμένη νέα προσέγγιση </w:t>
      </w:r>
      <w:r>
        <w:rPr>
          <w:noProof/>
        </w:rPr>
        <w:t>ανταποκρίνεται σε μια ευρέως διαδεδομένη ανησυχία πολλών θεσμικών φορέων και μεγάλου μέρους του κοινού ότι μια ανοικτή εμπορική πολιτική μπορεί να βασιστεί μόνο στο βιώσιμο εμπόριο που σέβεται έναν ελάχιστο αριθμό κοινών αξιών.</w:t>
      </w:r>
    </w:p>
    <w:p w:rsidR="004A635C" w:rsidRDefault="00326AAB">
      <w:pPr>
        <w:pStyle w:val="ListParagraph"/>
        <w:spacing w:before="240" w:after="240"/>
        <w:ind w:left="0"/>
        <w:jc w:val="both"/>
        <w:rPr>
          <w:b/>
          <w:i/>
          <w:noProof/>
        </w:rPr>
      </w:pPr>
      <w:r>
        <w:rPr>
          <w:b/>
          <w:i/>
          <w:noProof/>
        </w:rPr>
        <w:t xml:space="preserve">Νέα μεθοδολογία υπολογισμού </w:t>
      </w:r>
      <w:r>
        <w:rPr>
          <w:b/>
          <w:i/>
          <w:noProof/>
        </w:rPr>
        <w:t>του ντάμπινγκ και ενισχυμένο μέσο κατά των επιδοτήσεων</w:t>
      </w:r>
    </w:p>
    <w:p w:rsidR="004A635C" w:rsidRDefault="00326AAB">
      <w:pPr>
        <w:autoSpaceDE w:val="0"/>
        <w:autoSpaceDN w:val="0"/>
        <w:adjustRightInd w:val="0"/>
        <w:spacing w:before="120" w:after="240"/>
        <w:jc w:val="both"/>
        <w:rPr>
          <w:bCs/>
          <w:noProof/>
        </w:rPr>
      </w:pPr>
      <w:r>
        <w:rPr>
          <w:noProof/>
        </w:rPr>
        <w:t>Στις 20 Δεκεμβρίου 2017 οι βασικοί κανονισμοί της ΕΕ τροποποιήθηκαν, κατόπιν πρότασης της Επιτροπής, ώστε να αντιμετωπίσουν καλύτερα τη νέα οικονομική πραγματικότητα. Η εν λόγω νομοθετική αλλαγή αποτελ</w:t>
      </w:r>
      <w:r>
        <w:rPr>
          <w:noProof/>
        </w:rPr>
        <w:t>εί μείζονα αναμόρφωση των μέσων εμπορικής άμυνας της ΕΕ. Πρώτον, η τροποποίηση καθιέρωσε μια νέα μεθοδολογία για τον υπολογισμό της κανονικής αξίας των εμπορευμάτων που αποτελούν αντικείμενο της έρευνας, σε περίπτωση σημαντικών στρεβλώσεων που προκαλούνται</w:t>
      </w:r>
      <w:r>
        <w:rPr>
          <w:noProof/>
        </w:rPr>
        <w:t xml:space="preserve"> από τις αρχές της χώρας εξαγωγής. Οι εν λόγω στρεβλώσεις μπορούν να επικρατούν στο σύνολο μιας χώρας ή σε έναν συγκεκριμένο τομέα της οικονομίας της: οι νέοι κανόνες δεν θίγουν τη μεταχείριση οποιασδήποτε χώρας ως χώρας με ή χωρίς οικονομία αγοράς. Προκει</w:t>
      </w:r>
      <w:r>
        <w:rPr>
          <w:noProof/>
        </w:rPr>
        <w:t>μένου οι ενδιαφερόμενοι να υπερασπιστούν την υπόθεσή τους σχετικά με χώρες στις οποίες υφίσταται στρέβλωση, η Επιτροπή μπορεί να δημοσιεύει εκθέσεις σχετικά με τις στρεβλώσεις που εντοπίζονται σε μια χώρα ή έναν τομέα. Η πρώτη έκθεση αυτού του είδους αφορο</w:t>
      </w:r>
      <w:r>
        <w:rPr>
          <w:noProof/>
        </w:rPr>
        <w:t>ύσε την Κίνα,</w:t>
      </w:r>
      <w:r>
        <w:rPr>
          <w:rStyle w:val="FootnoteReference"/>
          <w:noProof/>
        </w:rPr>
        <w:footnoteReference w:id="16"/>
      </w:r>
      <w:r>
        <w:rPr>
          <w:noProof/>
        </w:rPr>
        <w:t xml:space="preserve"> δεδομένου ότι μέχρι σήμερα ήταν η χώρα που υπόκειται περισσότερο στην εμπορική άμυνα της ΕΕ. Η Επιτροπή ανακοίνωσε επίσης ότι η επόμενη έκθεση χώρας θα αφορά τη Ρωσία.</w:t>
      </w:r>
      <w:r>
        <w:rPr>
          <w:rStyle w:val="FootnoteReference"/>
          <w:noProof/>
        </w:rPr>
        <w:footnoteReference w:id="17"/>
      </w:r>
    </w:p>
    <w:p w:rsidR="004A635C" w:rsidRDefault="00326AAB">
      <w:pPr>
        <w:autoSpaceDE w:val="0"/>
        <w:autoSpaceDN w:val="0"/>
        <w:adjustRightInd w:val="0"/>
        <w:spacing w:before="120" w:after="240"/>
        <w:jc w:val="both"/>
        <w:rPr>
          <w:noProof/>
          <w:szCs w:val="20"/>
        </w:rPr>
      </w:pPr>
      <w:r>
        <w:rPr>
          <w:noProof/>
        </w:rPr>
        <w:t xml:space="preserve">Δεύτερον, το μέσο κατά των επιδοτήσεων έχει ενισχυθεί από νέες </w:t>
      </w:r>
      <w:r>
        <w:rPr>
          <w:noProof/>
        </w:rPr>
        <w:t>τροποποιήσεις. Αυτό επιτρέπει στην Επιτροπή να καταγράφει καλύτερα το πλήρες μέγεθος των επιδοτήσεων, καθιστώντας επίσης δυνατή την αντιμετώπιση επιδοτήσεων που εντοπίστηκαν μόνο κατά τη διάρκεια μιας έρευνας. Η συγκεκριμένη αλλαγή είναι σημαντική επειδή ο</w:t>
      </w:r>
      <w:r>
        <w:rPr>
          <w:noProof/>
        </w:rPr>
        <w:t>ι ξένες κυβερνήσεις παρέχουν ολοένα και περισσότερες επιδοτήσεις με μη διαφανή τρόπο, παραβιάζοντας τους κανόνες του Παγκόσμιου Οργανισμού Εμπορίου (ΠΟΕ) σχετικά με την κοινοποίηση των επιδοτήσεων.</w:t>
      </w:r>
    </w:p>
    <w:p w:rsidR="004A635C" w:rsidRDefault="00326AAB">
      <w:pPr>
        <w:pStyle w:val="Heading1"/>
        <w:numPr>
          <w:ilvl w:val="0"/>
          <w:numId w:val="0"/>
        </w:numPr>
        <w:spacing w:before="480"/>
        <w:ind w:left="851" w:hanging="851"/>
        <w:rPr>
          <w:noProof/>
        </w:rPr>
      </w:pPr>
      <w:r>
        <w:rPr>
          <w:noProof/>
        </w:rPr>
        <w:t>I.3</w:t>
      </w:r>
      <w:r>
        <w:rPr>
          <w:noProof/>
        </w:rPr>
        <w:tab/>
        <w:t>Ενα σύστημα που αντιμετωπίζει αποτελεσματικά τις αναδυ</w:t>
      </w:r>
      <w:r>
        <w:rPr>
          <w:noProof/>
        </w:rPr>
        <w:t>όμενες παγκόσμιες προκλήσεις</w:t>
      </w:r>
    </w:p>
    <w:p w:rsidR="004A635C" w:rsidRDefault="00326AAB">
      <w:pPr>
        <w:pStyle w:val="ListParagraph"/>
        <w:spacing w:after="240"/>
        <w:ind w:left="0"/>
        <w:jc w:val="both"/>
        <w:rPr>
          <w:noProof/>
        </w:rPr>
      </w:pPr>
      <w:r>
        <w:rPr>
          <w:noProof/>
        </w:rPr>
        <w:t>Τα τελευταία έτη, η σημασία των μέσων εμπορικής άμυνας καθίσταται ολοένα και μεγαλύτερη, καθώς τα συγκεκριμένα μέσα αποδείχθηκαν απαραίτητα για την αντιμετώπιση των προκλήσεων του παγκόσμιου εμπορίου.</w:t>
      </w:r>
    </w:p>
    <w:p w:rsidR="004A635C" w:rsidRDefault="00326AAB">
      <w:pPr>
        <w:pStyle w:val="ListParagraph"/>
        <w:spacing w:after="240"/>
        <w:ind w:left="0"/>
        <w:jc w:val="both"/>
        <w:rPr>
          <w:noProof/>
        </w:rPr>
      </w:pPr>
      <w:r>
        <w:rPr>
          <w:noProof/>
        </w:rPr>
        <w:t>Ως επακόλουθο της πλεονάζο</w:t>
      </w:r>
      <w:r>
        <w:rPr>
          <w:noProof/>
        </w:rPr>
        <w:t xml:space="preserve">υσας παραγωγικής ικανότητας της Κίνας, η </w:t>
      </w:r>
      <w:r>
        <w:rPr>
          <w:b/>
          <w:noProof/>
        </w:rPr>
        <w:t>ευρωπαϊκή βιομηχανία χάλυβα</w:t>
      </w:r>
      <w:r>
        <w:rPr>
          <w:noProof/>
        </w:rPr>
        <w:t xml:space="preserve"> υπέστη σοβαρές ζημίες κατά την περίοδο 2013-2016. Η πολιτική απάντηση ήταν άμεση και ολοκληρωμένη, με μια ανακοίνωση που εκδόθηκε τον Μάρτιο του 2016</w:t>
      </w:r>
      <w:r>
        <w:rPr>
          <w:rStyle w:val="FootnoteReference"/>
          <w:noProof/>
        </w:rPr>
        <w:footnoteReference w:id="18"/>
      </w:r>
      <w:r>
        <w:rPr>
          <w:noProof/>
        </w:rPr>
        <w:t xml:space="preserve">, η οποία περιλάμβανε ένα ευρύ φάσμα </w:t>
      </w:r>
      <w:r>
        <w:rPr>
          <w:noProof/>
        </w:rPr>
        <w:t xml:space="preserve">μέτρων που αφορούσαν —σε καθοριστικό βαθμό— την εμπορική πολιτική. </w:t>
      </w:r>
    </w:p>
    <w:p w:rsidR="004A635C" w:rsidRDefault="00326AAB">
      <w:pPr>
        <w:pStyle w:val="ListParagraph"/>
        <w:spacing w:after="240"/>
        <w:ind w:left="0"/>
        <w:jc w:val="both"/>
        <w:rPr>
          <w:noProof/>
        </w:rPr>
      </w:pPr>
      <w:r>
        <w:rPr>
          <w:noProof/>
        </w:rPr>
        <w:t>Όσον αφορά τα μέσα εμπορικής άμυνας, η απάντηση ήταν διττή. Κατά τα έτη 2014-2018, η ΕΕ επέβαλε 25 νέα μέτρα για τα προϊόντα χάλυβα (από τα 35 συνολικά νέα μέτρα εμπορικής άμυνας) με στόχο</w:t>
      </w:r>
      <w:r>
        <w:rPr>
          <w:noProof/>
        </w:rPr>
        <w:t xml:space="preserve"> να εξαλείψει τις ζημιογόνους επιπτώσεις των εισαγωγών που αποτελούν αντικείμενο ντάμπινγκ και των επιδοτούμενων εισαγωγών και να αποκαταστήσει τις συνθήκες θεμιτού εμπορίου, συμβάλλοντας κατ’ αυτόν τον τρόπο στην ανάκαμψη του τομέα. Επιπλέον, η ΕΕ έλαβε ο</w:t>
      </w:r>
      <w:r>
        <w:rPr>
          <w:noProof/>
        </w:rPr>
        <w:t>ρισμένα μέτρα για την καλύτερη προστασία της βιομηχανίας χάλυβα στον τομέα της εμπορικής άμυνας μέσω της εποπτείας των εισαγωγών, της επιτάχυνσης των ερευνών, της διεξαγωγής ερευνών με βάση την απειλή ζημίας (όπου δικαιολογείται) ή της αναδρομικής εφαρμογή</w:t>
      </w:r>
      <w:r>
        <w:rPr>
          <w:noProof/>
        </w:rPr>
        <w:t xml:space="preserve">ς των οριστικών δασμών, όπου δικαιολογείται. </w:t>
      </w:r>
    </w:p>
    <w:p w:rsidR="004A635C" w:rsidRDefault="00326AAB">
      <w:pPr>
        <w:pStyle w:val="ListParagraph"/>
        <w:spacing w:after="240"/>
        <w:ind w:left="0"/>
        <w:jc w:val="both"/>
        <w:rPr>
          <w:rFonts w:ascii="Arial" w:hAnsi="Arial" w:cs="Arial"/>
          <w:noProof/>
          <w:sz w:val="22"/>
          <w:szCs w:val="22"/>
        </w:rPr>
      </w:pPr>
      <w:r>
        <w:rPr>
          <w:noProof/>
        </w:rPr>
        <w:t>Τα συγκεκριμένα βήματα είχαν σημαντικό αντίκτυπο: οι εισαγωγές προϊόντων χάλυβα που καλύπτονται από μέτρα που εγκρίθηκαν κατά τα έτη 2014-2017 μειώθηκαν κατά μέσο όρο πάνω από 95 % σε σχέση με τον όγκο των εισα</w:t>
      </w:r>
      <w:r>
        <w:rPr>
          <w:noProof/>
        </w:rPr>
        <w:t>γωγών πριν από την επιβολή των μέτρων. Μετά την εξουδετέρωση του αθέμιτου χαρακτήρα των εν λόγω εισαγωγών από τα μέτρα εμπορικής άμυνας, δηλαδή των τιμών που αποτελούν αντικείμενο ντάμπινγκ ή επιδοτήσεων, οι εισαγωγές δεν ήταν πλέον ανταγωνιστικές. Στα κρί</w:t>
      </w:r>
      <w:r>
        <w:rPr>
          <w:noProof/>
        </w:rPr>
        <w:t>σιμα προϊόντα χάλυβα, όπου ο κλάδος των χρηστών της ΕΕ εξαρτάται από τις εισαγωγές, όπως οι ρόλοι θερμής έλασης, οι εισαγωγές που αποτέλεσαν αντικείμενο ντάμπινγκ ή επιδοτήσεων αντικαταστάθηκαν από εισαγωγές από άλλες πηγές, για τις οποίες δεν υπήρχαν ενδε</w:t>
      </w:r>
      <w:r>
        <w:rPr>
          <w:noProof/>
        </w:rPr>
        <w:t>ίξεις αθέμιτης τιμολόγησης τη δεδομένη εποχή. Με την εξουδετέρωση των εισαγωγών που αποτελούσαν αντικείμενο ντάμπινγκ ή επιδοτήσεων, τα μέτρα εμπορικής άμυνας αποκατέστησαν ίσους όρους ανταγωνισμού, όχι μόνο για τον ενωσιακό κλάδο παραγωγής αλλά και για άλ</w:t>
      </w:r>
      <w:r>
        <w:rPr>
          <w:noProof/>
        </w:rPr>
        <w:t>λους προμηθευτές τρίτων χωρών, επιτρέποντας έτσι στους χρήστες της ΕΕ να συνεχίσουν να ωφελούνται από διαφοροποιημένες πηγές εφοδιασμού.</w:t>
      </w:r>
    </w:p>
    <w:p w:rsidR="004A635C" w:rsidRDefault="00326AAB">
      <w:pPr>
        <w:pStyle w:val="ListParagraph"/>
        <w:spacing w:after="240"/>
        <w:ind w:left="0"/>
        <w:jc w:val="both"/>
        <w:rPr>
          <w:noProof/>
        </w:rPr>
      </w:pPr>
      <w:r>
        <w:rPr>
          <w:noProof/>
        </w:rPr>
        <w:t>Το 2017 έφερε τα πρώτα απτά σημάδια ανάκαμψης για τον τομέα του χάλυβα, γεγονός που οφείλεται εν μέρει στην επιβολή μέτ</w:t>
      </w:r>
      <w:r>
        <w:rPr>
          <w:noProof/>
        </w:rPr>
        <w:t>ρων εμπορικής άμυνας από την Επιτροπή. Ωστόσο, η βιομηχανία χάλυβα της ΕΕ συνέχισε να είναι ευάλωτη και να πλήττεται από εισαγωγές που αποτελούν αντικείμενο ντάμπινγκ και/ή επιδοτήσεων. Τούτο οφείλεται κυρίως στην παγκόσμια πλεονάζουσα παραγωγική ικανότητα</w:t>
      </w:r>
      <w:r>
        <w:rPr>
          <w:noProof/>
        </w:rPr>
        <w:t xml:space="preserve"> στον τομέα του χάλυβα.  </w:t>
      </w:r>
    </w:p>
    <w:p w:rsidR="004A635C" w:rsidRDefault="00326AAB">
      <w:pPr>
        <w:spacing w:after="240"/>
        <w:jc w:val="both"/>
        <w:rPr>
          <w:noProof/>
        </w:rPr>
      </w:pPr>
      <w:r>
        <w:rPr>
          <w:noProof/>
        </w:rPr>
        <w:t xml:space="preserve">Σ’ αυτό το πλαίσιο, το έτος 2018 έθεσε </w:t>
      </w:r>
      <w:r>
        <w:rPr>
          <w:b/>
          <w:noProof/>
        </w:rPr>
        <w:t xml:space="preserve">νέες προκλήσεις στον τομέα του εμπορίου, </w:t>
      </w:r>
      <w:r>
        <w:rPr>
          <w:noProof/>
        </w:rPr>
        <w:t xml:space="preserve">οι οποίες απαιτούσαν ταχεία αλλά μετρημένη απάντηση από την Επιτροπή. Στις 23 Μαρτίου 2018 οι ΗΠΑ επέβαλαν δασμό ύψους 25 % στα προϊόντα χάλυβα. Η ΕΕ </w:t>
      </w:r>
      <w:r>
        <w:rPr>
          <w:noProof/>
        </w:rPr>
        <w:t>θεώρησε ότι δεν υπάρχουν νομικές εγγυήσεις για τα συγκεκριμένα μέτρα και απάντησε αποφασιστικά σ’ αυτές τις κινήσεις που στρεβλώνουν το εμπόριο. Σε μια δράση με τρεις άξονες —πέραν της προσφυγής κατά των μέτρων των ΗΠΑ στο πλαίσιο του συστήματος επίλυσης δ</w:t>
      </w:r>
      <w:r>
        <w:rPr>
          <w:noProof/>
        </w:rPr>
        <w:t xml:space="preserve">ιαφορών του ΠΟΕ και της επιβολής μέτρων επανεξισορρόπησης— η Επιτροπή έλαβε μέτρα εμπορικής άμυνας κινώντας έρευνα διασφάλισης, την πρώτη από το 2002. Πράγματι, ως αποτέλεσμα των δασμών των ΗΠΑ, οι παγκόσμιοι προμηθευτές άρχισαν να εκτρέπουν ορισμένες από </w:t>
      </w:r>
      <w:r>
        <w:rPr>
          <w:noProof/>
        </w:rPr>
        <w:t xml:space="preserve">τις εξαγωγές τους από τις ΗΠΑ προς την ΕΕ. Προκειμένου να αποφευχθεί μια περαιτέρω απότομη αύξηση των εισαγωγών που απειλούσαν να επιδεινώσουν την ήδη εύθραυστη οικονομική κατάσταση των παραγωγών χάλυβα της ΕΕ (λόγω της πλεονάζουσας παγκόσμιας παραγωγικής </w:t>
      </w:r>
      <w:r>
        <w:rPr>
          <w:noProof/>
        </w:rPr>
        <w:t xml:space="preserve">ικανότητας), η Επιτροπή θέσπισε οριστικά μέτρα διασφάλισης </w:t>
      </w:r>
      <w:r>
        <w:rPr>
          <w:i/>
          <w:noProof/>
        </w:rPr>
        <w:t>erga omnes</w:t>
      </w:r>
      <w:r>
        <w:rPr>
          <w:noProof/>
        </w:rPr>
        <w:t>.</w:t>
      </w:r>
      <w:r>
        <w:rPr>
          <w:rStyle w:val="FootnoteReference"/>
          <w:noProof/>
        </w:rPr>
        <w:footnoteReference w:id="19"/>
      </w:r>
      <w:r>
        <w:rPr>
          <w:noProof/>
        </w:rPr>
        <w:t xml:space="preserve"> Τα μέτρα, με τη μορφή δασμολογικών ποσοστώσεων, θα διατηρήσουν τις παραδοσιακές εμπορικές ροές και την ποικιλομορφία των πηγών εφοδιασμού που χρειάζεται ο κλάδος των χρηστών της ΕΕ, πρ</w:t>
      </w:r>
      <w:r>
        <w:rPr>
          <w:noProof/>
        </w:rPr>
        <w:t>οστατεύοντας ταυτόχρονα τον ενωσιακό κλάδο παραγωγής της ΕΕ από την εκτροπή των εµπορικών ροών.</w:t>
      </w:r>
    </w:p>
    <w:p w:rsidR="004A635C" w:rsidRDefault="00326AAB">
      <w:pPr>
        <w:jc w:val="both"/>
        <w:rPr>
          <w:noProof/>
        </w:rPr>
      </w:pPr>
      <w:r>
        <w:rPr>
          <w:noProof/>
        </w:rPr>
        <w:t xml:space="preserve">Η Επιτροπή ενέτεινε επίσης τη δράση της για την καταπολέμηση των </w:t>
      </w:r>
      <w:r>
        <w:rPr>
          <w:b/>
          <w:noProof/>
        </w:rPr>
        <w:t>επιδοτήσεων</w:t>
      </w:r>
      <w:r>
        <w:rPr>
          <w:noProof/>
        </w:rPr>
        <w:t xml:space="preserve"> </w:t>
      </w:r>
      <w:r>
        <w:rPr>
          <w:b/>
          <w:noProof/>
        </w:rPr>
        <w:t>που στρεβλώνουν το εμπόριο</w:t>
      </w:r>
      <w:r>
        <w:rPr>
          <w:noProof/>
        </w:rPr>
        <w:t xml:space="preserve"> από τρίτες χώρες. Συγκεκριμένα, οι επιδοτήσεις που συμβά</w:t>
      </w:r>
      <w:r>
        <w:rPr>
          <w:noProof/>
        </w:rPr>
        <w:t>λλουν στην πλεονάζουσα παραγωγική ικανότητα μπορούν να αποδειχθούν εξαιρετικά στρεβλωτικές και συχνά έχουν ως επακόλουθο την πλεονάζουσα παραγωγή στις εξαγωγικές αγορές. Στην πράξη, αυτού του είδους οι επιδοτήσεις συχνά έχουν αποτελέσματα παρόμοια με τις ε</w:t>
      </w:r>
      <w:r>
        <w:rPr>
          <w:noProof/>
        </w:rPr>
        <w:t>ξαγωγικές επιδοτήσεις, οι οποίες απαγορεύονται βάσει των κανόνων του ΠΟΕ. Μεταξύ Νοεμβρίου 2014 και Δεκεμβρίου 2018, η Επιτροπή κίνησε 25 έρευνες κατά των επιδοτήσεων και επέβαλε νέα, διευρυμένα ή παρατεταμένα 12 μέτρα κατά των επιδοτήσεων. Σε πολλές περιπ</w:t>
      </w:r>
      <w:r>
        <w:rPr>
          <w:noProof/>
        </w:rPr>
        <w:t>τώσεις, τα πορίσματα της έρευνας έδειξαν σχετικά υψηλά επίπεδα επιδοτήσεων, τα οποία ήταν σπανιότερα σε προηγούμενες περιόδους. Ενδεικτικά, επιβλήθηκαν αντισταθμιστικοί δασμοί (CVD) για τα πλατέα προϊόντα θερμής έλασης από χάλυβα από την Κίνα (CVD έως 35,9</w:t>
      </w:r>
      <w:r>
        <w:rPr>
          <w:noProof/>
        </w:rPr>
        <w:t xml:space="preserve"> %) ή τα ελαστικά από την Κίνα (CVD έως 51,08 %). Λόγω της ολοένα και μεγαλύτερης σημασίας της αντιμετώπισης του προβλήματος των επιδοτήσεων από τρίτες χώρες, η Επιτροπή δημοσίευσε μια ειδική </w:t>
      </w:r>
      <w:r>
        <w:rPr>
          <w:b/>
          <w:noProof/>
        </w:rPr>
        <w:t>βάση δεδομένων</w:t>
      </w:r>
      <w:r>
        <w:rPr>
          <w:noProof/>
        </w:rPr>
        <w:t xml:space="preserve"> για τις επιδοτήσεις με στόχο την παροχή περισσότε</w:t>
      </w:r>
      <w:r>
        <w:rPr>
          <w:noProof/>
        </w:rPr>
        <w:t>ρης διαφάνειας για τα ξένα καθεστώτα επιδοτήσεων. Η βάση δεδομένων δημοσιεύεται πλέον στον δικτυακό τόπο της Επιτροπής</w:t>
      </w:r>
      <w:r>
        <w:rPr>
          <w:rStyle w:val="FootnoteReference"/>
          <w:noProof/>
        </w:rPr>
        <w:footnoteReference w:id="20"/>
      </w:r>
      <w:r>
        <w:rPr>
          <w:noProof/>
        </w:rPr>
        <w:t xml:space="preserve"> και επικαιροποιείται τακτικά. Από την άποψη αυτή, θα πρέπει να σημειωθεί ότι τα μέλη του ΠΟΕ είναι νομικά υποχρεωμένα να κοινοποιούν τις</w:t>
      </w:r>
      <w:r>
        <w:rPr>
          <w:noProof/>
        </w:rPr>
        <w:t xml:space="preserve"> επιδοτήσεις τους στον ΠΟΕ. Ωστόσο, πολλά μέλη του ΠΟΕ δεν συμμορφώνονται ή συμμορφώνονται μόνο εν μέρει με τη συγκεκριμένη υποχρέωση. Η ΕΕ προσφεύγει συστηματικά γι’ αυτά τα περιστατικά μη συμμόρφωσης στην επιτροπή κατά των επιδοτήσεων του ΠΟΕ. Επιπλέον, </w:t>
      </w:r>
      <w:r>
        <w:rPr>
          <w:noProof/>
        </w:rPr>
        <w:t>έχει αναθέσει τη διενέργεια μελετών που εξετάζουν τις επιδοτήσεις από ξένες κυβερνήσεις, κυρίως την Κίνα. Οι εν λόγω μελέτες θα δημοσιοποιηθούν έτσι ώστε να αντισταθμίσουν την έλλειψη διαφάνειας των ξένων καθεστώτων επιδοτήσεων.</w:t>
      </w:r>
    </w:p>
    <w:p w:rsidR="004A635C" w:rsidRDefault="00326AAB">
      <w:pPr>
        <w:pStyle w:val="Heading1"/>
        <w:numPr>
          <w:ilvl w:val="0"/>
          <w:numId w:val="0"/>
        </w:numPr>
        <w:spacing w:before="480"/>
        <w:ind w:left="851" w:hanging="851"/>
        <w:rPr>
          <w:noProof/>
          <w:highlight w:val="yellow"/>
        </w:rPr>
      </w:pPr>
      <w:r>
        <w:rPr>
          <w:noProof/>
        </w:rPr>
        <w:t>I.4</w:t>
      </w:r>
      <w:r>
        <w:rPr>
          <w:noProof/>
        </w:rPr>
        <w:tab/>
        <w:t>Μια ισχυρή δέσμευση για</w:t>
      </w:r>
      <w:r>
        <w:rPr>
          <w:noProof/>
        </w:rPr>
        <w:t xml:space="preserve"> την αντιμετώπιση της δράσης τρίτων χωρών</w:t>
      </w:r>
    </w:p>
    <w:p w:rsidR="004A635C" w:rsidRDefault="00326AAB">
      <w:pPr>
        <w:spacing w:before="120" w:after="240"/>
        <w:jc w:val="both"/>
        <w:rPr>
          <w:noProof/>
        </w:rPr>
      </w:pPr>
      <w:r>
        <w:rPr>
          <w:noProof/>
        </w:rPr>
        <w:t xml:space="preserve">Στο πλαίσιο των προσπαθειών της Επιτροπής να </w:t>
      </w:r>
      <w:r>
        <w:rPr>
          <w:b/>
          <w:noProof/>
        </w:rPr>
        <w:t>εξασφαλίσει συνθήκες θεμιτού εμπορίου</w:t>
      </w:r>
      <w:r>
        <w:rPr>
          <w:noProof/>
        </w:rPr>
        <w:t xml:space="preserve"> για τους ευρωπαϊκούς κλάδους παραγωγής, η Επιτροπή παρενέβη επίσης όταν τρίτες χώρες επιχείρησαν να επιβάλουν αδικαιολόγητα μέτρα ε</w:t>
      </w:r>
      <w:r>
        <w:rPr>
          <w:noProof/>
        </w:rPr>
        <w:t>μπορικής άμυνας κατά των εξαγωγών της ΕΕ. Από το 2014 και εξής, η παγκόσμια δραστηριότητα εμπορικής άμυνας εμφανίζει συνεχή αύξηση, φθάνοντας σε άνευ προηγουµένου υψηλό επίπεδο το 2018, όταν οι υπηρεσίες της Επιτροπής παρενέβησαν σε περίπου 70 έρευνες εξωτ</w:t>
      </w:r>
      <w:r>
        <w:rPr>
          <w:noProof/>
        </w:rPr>
        <w:t xml:space="preserve">ερικής εμπορικής άμυνας. Οι παρεμβάσεις αυτές συνίσταντο σε γραπτές παρατηρήσεις και στη συμμετοχή σε ακροάσεις σε τεχνικό επίπεδο στο πλαίσιο εν εξελίξει ερευνών. Όπου ήταν απαραίτητο, η Επιτροπή προχώρησε επίσης σε πολιτικές παρεμβάσεις. </w:t>
      </w:r>
    </w:p>
    <w:p w:rsidR="004A635C" w:rsidRDefault="00326AAB">
      <w:pPr>
        <w:pStyle w:val="ListParagraph"/>
        <w:spacing w:before="120" w:after="240"/>
        <w:ind w:left="0"/>
        <w:jc w:val="both"/>
        <w:rPr>
          <w:noProof/>
        </w:rPr>
      </w:pPr>
      <w:r>
        <w:rPr>
          <w:noProof/>
        </w:rPr>
        <w:t>Στόχος των συγκεκριμένων μέτρων είναι να διασφαλιστεί η τήρηση των κανόνων και να αποφευχθεί η καταχρηστική χρήση των μέσων εμπορικής άμυνας. Μ’ αυτόν τον τρόπο, οι ενέργειες της Επιτροπής απέτρεψαν πολλά αδικαιολόγητα μέτρα. Ακολουθούν ορισμένα αξιοσημείω</w:t>
      </w:r>
      <w:r>
        <w:rPr>
          <w:noProof/>
        </w:rPr>
        <w:t xml:space="preserve">τα παραδείγματα: </w:t>
      </w:r>
    </w:p>
    <w:p w:rsidR="004A635C" w:rsidRDefault="00326AAB">
      <w:pPr>
        <w:pStyle w:val="ListParagraph"/>
        <w:spacing w:before="120" w:after="120"/>
        <w:ind w:left="284"/>
        <w:jc w:val="both"/>
        <w:rPr>
          <w:noProof/>
        </w:rPr>
      </w:pPr>
      <w:r>
        <w:rPr>
          <w:noProof/>
        </w:rPr>
        <w:t>1) Οι ΗΠΑ ξεκίνησαν έρευνες κατά των εισαγωγών μεγάλων αεροσκαφών της πολιτικής αεροπορίας από τον Καναδά. Η εν λόγω υπόθεση επηρέασε έμμεσα την ΕΕ, καθώς αφορούσε ενωσιακή εταιρεία παραγωγής πτερύγων για τα καναδικά αεροσκάφη. Τυχόν μέτρ</w:t>
      </w:r>
      <w:r>
        <w:rPr>
          <w:noProof/>
        </w:rPr>
        <w:t xml:space="preserve">α θα μπορούσαν να θέσουν σε άμεσο κίνδυνο περίπου 4 000 θέσεις εργασίας στην ΕΕ. Η Επιτροπή προχώρησε σε πολλές παρεμβάσεις κατά τη διάρκεια της έρευνας των ΗΠΑ, επισημαίνοντας τις σαφείς ασυνέπειες του ΠΟΕ στην υπόθεση. Συγκεκριμένα, εστίασε στην έλλειψη </w:t>
      </w:r>
      <w:r>
        <w:rPr>
          <w:noProof/>
        </w:rPr>
        <w:t xml:space="preserve">ζημίας της βιομηχανίας των ΗΠΑ. Το επιχείρημα αυτό οδήγησε στον τερματισμό της έρευνας των ΗΠΑ τον Ιανουάριο του 2018. </w:t>
      </w:r>
    </w:p>
    <w:p w:rsidR="004A635C" w:rsidRDefault="00326AAB">
      <w:pPr>
        <w:pStyle w:val="ListParagraph"/>
        <w:spacing w:before="120" w:after="120"/>
        <w:ind w:left="284"/>
        <w:jc w:val="both"/>
        <w:rPr>
          <w:noProof/>
        </w:rPr>
      </w:pPr>
      <w:r>
        <w:rPr>
          <w:noProof/>
        </w:rPr>
        <w:t>2) Η Επιτροπή παρενέβη επιτυχώς στην τουρκική έρευνα διασφάλισης σχετικά με τα ελαστικά, η οποία δυνητικά θα επηρέαζε ετήσιες εξαγωγές τ</w:t>
      </w:r>
      <w:r>
        <w:rPr>
          <w:noProof/>
        </w:rPr>
        <w:t xml:space="preserve">ης ΕΕ ύψους 450 εκατ. EUR: η Επιτροπή παρενέβη πειστικά και τα μέτρα αποφεύχθηκαν. </w:t>
      </w:r>
    </w:p>
    <w:p w:rsidR="004A635C" w:rsidRDefault="00326AAB">
      <w:pPr>
        <w:spacing w:after="120"/>
        <w:ind w:left="284"/>
        <w:jc w:val="both"/>
        <w:rPr>
          <w:noProof/>
        </w:rPr>
      </w:pPr>
      <w:r>
        <w:rPr>
          <w:noProof/>
        </w:rPr>
        <w:t>3) Η δράση της Επιτροπής ήταν επίσης επιτυχής στην έρευνα αντιντάμπινγκ όσον αφορά τις εισαγωγές επιχρισμένου χαρτιού που πραγματοποίησε η Ινδία (αξία εξαγωγών περίπου 110 </w:t>
      </w:r>
      <w:r>
        <w:rPr>
          <w:noProof/>
        </w:rPr>
        <w:t>εκατ. EUR). Η Επιτροπή πραγματοποίησε πολλές παρεμβάσεις, με τη συμμετοχή της αντιπροσωπείας της ΕΕ, και τελικά με την άμεση παρέμβαση της Επιτρόπου κ. Malmström ενώπιον της κυβέρνησης της Ινδίας. Η υπόθεση περατώθηκε χωρίς την επιβολή μέτρων.</w:t>
      </w:r>
    </w:p>
    <w:p w:rsidR="004A635C" w:rsidRDefault="00326AAB">
      <w:pPr>
        <w:spacing w:after="120"/>
        <w:ind w:left="284"/>
        <w:jc w:val="both"/>
        <w:rPr>
          <w:noProof/>
        </w:rPr>
      </w:pPr>
      <w:r>
        <w:rPr>
          <w:noProof/>
        </w:rPr>
        <w:t xml:space="preserve">4) Η έρευνα </w:t>
      </w:r>
      <w:r>
        <w:rPr>
          <w:noProof/>
        </w:rPr>
        <w:t xml:space="preserve">αντιντάμπινγκ από την Αυστραλία σχετικά με τις εισαγωγές κονσερβοποιηµένων τοµατών από την Ιταλία, υπόθεση στην οποία η Επιτροπή δραστηριοποιήθηκε για αρκετά έτη (τα αρχικά μέτρα επιβλήθηκαν το 2014 και το 2016 σε εξαγωγές αξίας περίπου 60 εκατ. EUR) είχε </w:t>
      </w:r>
      <w:r>
        <w:rPr>
          <w:noProof/>
        </w:rPr>
        <w:t>αίσια εξέλιξη το 2018. Η αυστραλιανή επιτροπή επανεξέτασης επιβεβαίωσε ότι τυχόν μέτρα άμεσης στήριξης που χορηγήθηκαν στους Ιταλούς τοματοπαραγωγούς δεν είχαν στρεβλωτικά αποτελέσματα και ότι δεν παρατηρούνταν «ειδικές συνθήκες της αγοράς» στην ιταλική αγ</w:t>
      </w:r>
      <w:r>
        <w:rPr>
          <w:noProof/>
        </w:rPr>
        <w:t xml:space="preserve">ορά τομάτας, περατώνοντας οριστικά την υπόθεση. </w:t>
      </w:r>
    </w:p>
    <w:p w:rsidR="004A635C" w:rsidRDefault="00326AAB">
      <w:pPr>
        <w:kinsoku w:val="0"/>
        <w:overflowPunct w:val="0"/>
        <w:spacing w:after="120"/>
        <w:ind w:left="284"/>
        <w:jc w:val="both"/>
        <w:textAlignment w:val="baseline"/>
        <w:rPr>
          <w:noProof/>
        </w:rPr>
      </w:pPr>
      <w:r>
        <w:rPr>
          <w:noProof/>
        </w:rPr>
        <w:t>5) Η Επιτροπή παρενέβη στην έρευνα επανεξέτασης αντιντάμπινγκ που διενήργησαν οι ΗΠΑ σχετικά με τις εισαγωγές χαρτιού χωρίς επίχριση από την Πορτογαλία (αξία εξαγωγών περίπου 140 εκατ. EUR). Μετά την παρέμβα</w:t>
      </w:r>
      <w:r>
        <w:rPr>
          <w:noProof/>
        </w:rPr>
        <w:t>ση της Επιτροπής, ο τελικός δασμός ύψους 37 % μειώθηκε στο 1,75 % (όπως συνέβη και με μια άλλη παρέμβαση το 2016, όπου επιτεύχθηκε μείωση από 29 % σε 7 %).</w:t>
      </w:r>
    </w:p>
    <w:p w:rsidR="004A635C" w:rsidRDefault="00326AAB">
      <w:pPr>
        <w:kinsoku w:val="0"/>
        <w:overflowPunct w:val="0"/>
        <w:spacing w:after="120"/>
        <w:ind w:left="284"/>
        <w:jc w:val="both"/>
        <w:textAlignment w:val="baseline"/>
        <w:rPr>
          <w:noProof/>
        </w:rPr>
      </w:pPr>
      <w:r>
        <w:rPr>
          <w:noProof/>
        </w:rPr>
        <w:t>6) Η Επιτροπή παρενέβη στην έρευνα αντιντάμπινγκ από την Κολομβία σχετικά με τις κατεψυγμένες τηγανη</w:t>
      </w:r>
      <w:r>
        <w:rPr>
          <w:noProof/>
        </w:rPr>
        <w:t>τές πατάτες από την ΕΕ. Κατά συνέπεια, ο αριθμός των εταιρειών που επηρεάστηκαν από τους δασμούς περιορίστηκε και τα επίπεδα δασμών μειώθηκαν. Ωστόσο, τα μέτρα παραμένουν προβληματικά και η Επιτροπή εξετάζει τη λήψη περαιτέρω μέτρων για την άρση τους, όπως</w:t>
      </w:r>
      <w:r>
        <w:rPr>
          <w:noProof/>
        </w:rPr>
        <w:t xml:space="preserve"> περαιτέρω διμερείς παρεμβάσεις ή ενδεχόμενη δράση στον ΠΟΕ.</w:t>
      </w:r>
    </w:p>
    <w:p w:rsidR="004A635C" w:rsidRDefault="00326AAB">
      <w:pPr>
        <w:spacing w:before="240" w:after="240"/>
        <w:jc w:val="both"/>
        <w:rPr>
          <w:noProof/>
        </w:rPr>
      </w:pPr>
      <w:r>
        <w:rPr>
          <w:noProof/>
        </w:rPr>
        <w:t xml:space="preserve">Η Επιτροπή κατέφυγε επίσης σε πολλές περιπτώσεις στις </w:t>
      </w:r>
      <w:r>
        <w:rPr>
          <w:b/>
          <w:noProof/>
        </w:rPr>
        <w:t>διαδικασίες επίλυσης διαφορών στο πλαίσιο του ΠΟΕ</w:t>
      </w:r>
      <w:r>
        <w:rPr>
          <w:noProof/>
        </w:rPr>
        <w:t>, προκειμένου να επιτύχει την άρση των αδικαιολόγητων μέτρων. Αυτό ακριβώς συνέβη με τους δα</w:t>
      </w:r>
      <w:r>
        <w:rPr>
          <w:noProof/>
        </w:rPr>
        <w:t xml:space="preserve">σμούς αντιντάμπινγκ της Ρωσίας για τα ελαφρά εμπορικά οχήματα από τη Γερμανία και την Ιταλία, όπου τελικά διαπιστώθηκε ότι η Ρωσία παραβίασε τις υποχρεώσεις της βάσει των κανόνων του ΠΟΕ και συνεπώς τα μέτρα δεν παρατάθηκαν. </w:t>
      </w:r>
    </w:p>
    <w:p w:rsidR="004A635C" w:rsidRDefault="00326AAB">
      <w:pPr>
        <w:spacing w:before="120" w:after="120"/>
        <w:jc w:val="both"/>
        <w:rPr>
          <w:noProof/>
        </w:rPr>
      </w:pPr>
      <w:r>
        <w:rPr>
          <w:noProof/>
        </w:rPr>
        <w:t>Κατά τη διάρκεια της εντολής τ</w:t>
      </w:r>
      <w:r>
        <w:rPr>
          <w:noProof/>
        </w:rPr>
        <w:t xml:space="preserve">ης Επιτροπής, οι διαπραγματεύσεις για </w:t>
      </w:r>
      <w:r>
        <w:rPr>
          <w:b/>
          <w:noProof/>
        </w:rPr>
        <w:t>συμφωνίες ελεύθερων συναλλαγών</w:t>
      </w:r>
      <w:r>
        <w:rPr>
          <w:noProof/>
        </w:rPr>
        <w:t xml:space="preserve"> έδωσαν την ευκαιρία να επιτευχθεί συμφωνία με τους εταίρους μας σχετικά με κοινούς κανόνες στις διαδικασίες εμπορικής άμυνας. Αυτοί περιλάμβαναν την αυξημένη διαφάνεια κατά τη διεξαγωγή τ</w:t>
      </w:r>
      <w:r>
        <w:rPr>
          <w:noProof/>
        </w:rPr>
        <w:t>ων ερευνών και τη διασφάλιση μιας ισορροπημένης προσέγγισης κατά την επιβολή των δασμών. Τούτο επιτεύχθηκε, παραδείγματος χάρη, με την προώθηση της εφαρμογής του κανόνα του χαμηλότερου δασμού, όπου ήταν εφικτό, και με τη συνεκτίμηση των συμφερόντων των εισ</w:t>
      </w:r>
      <w:r>
        <w:rPr>
          <w:noProof/>
        </w:rPr>
        <w:t>αγωγέων και των μεταγενέστερων χρηστών. Οι διατάξεις αυτού του είδους αποτελούν πλέον μέρος των συμφωνιών μας με την Κορέα και την Ιαπωνία και βρίσκονται υπό διαπραγμάτευση με άλλους εταίρους.</w:t>
      </w:r>
    </w:p>
    <w:p w:rsidR="004A635C" w:rsidRDefault="00326AAB">
      <w:pPr>
        <w:pStyle w:val="Heading1"/>
        <w:numPr>
          <w:ilvl w:val="0"/>
          <w:numId w:val="0"/>
        </w:numPr>
        <w:spacing w:before="480"/>
        <w:ind w:left="851" w:hanging="851"/>
        <w:rPr>
          <w:noProof/>
        </w:rPr>
      </w:pPr>
      <w:r>
        <w:rPr>
          <w:noProof/>
        </w:rPr>
        <w:t>I.5</w:t>
      </w:r>
      <w:r>
        <w:rPr>
          <w:noProof/>
        </w:rPr>
        <w:tab/>
        <w:t>Ενα πιο διαφανές σύστημα</w:t>
      </w:r>
    </w:p>
    <w:p w:rsidR="004A635C" w:rsidRDefault="00326AAB">
      <w:pPr>
        <w:pStyle w:val="ListParagraph"/>
        <w:spacing w:after="240"/>
        <w:ind w:left="0"/>
        <w:jc w:val="both"/>
        <w:rPr>
          <w:rFonts w:ascii="Arial" w:hAnsi="Arial" w:cs="Arial"/>
          <w:noProof/>
          <w:sz w:val="22"/>
          <w:szCs w:val="22"/>
        </w:rPr>
      </w:pPr>
      <w:r>
        <w:rPr>
          <w:noProof/>
        </w:rPr>
        <w:t>Δεδομένου ότι οι κανόνες του ΠΟΕ θ</w:t>
      </w:r>
      <w:r>
        <w:rPr>
          <w:noProof/>
        </w:rPr>
        <w:t>εσπίζουν μόνο ελάχιστες απαιτήσεις, η παρούσα Επιτροπή έχει αναλάβει μια σειρά πρωτοβουλιών διαφάνειας προκειμένου να καταστήσει το σύστημα μέσων εμπορικής άμυνας πιο αποτελεσματικό, συμμετοχικό και ενημερωτικό για τους ενδιαφερομένους. Στο πλαίσιο αυτό, η</w:t>
      </w:r>
      <w:r>
        <w:rPr>
          <w:noProof/>
        </w:rPr>
        <w:t xml:space="preserve"> Επιτροπή διαθέτει πλέον μια ειδική διαδικτυακή πλατφόρμα (TRON) που επιτρέπει την καλύτερη και ευκολότερη ανταλλαγή πληροφοριών μεταξύ ενδιαφερόμενων μερών. Παρέχει στα ενδιαφερόμενα μέρη διαρκή πρόσβαση στους μη εμπιστευτικούς φακέλους των ερευνών για τη</w:t>
      </w:r>
      <w:r>
        <w:rPr>
          <w:noProof/>
        </w:rPr>
        <w:t>ν αποτελεσματικότερη υπεράσπιση των δικαιωμάτων τους. Όσον αφορά τη διαφάνεια προς το ευρύ κοινό, από τον Μάιο του 2016, η Επιτροπή δημοσιεύει συστηματικά στον δικτυακό της τόπο μη εμπιστευτικές συνοπτικές παρουσιάσεις όλων των καταγγελιών ή των αιτήσεων ε</w:t>
      </w:r>
      <w:r>
        <w:rPr>
          <w:noProof/>
        </w:rPr>
        <w:t>πανεξέτασης. Επιπλέον, υπερβαίνοντας τις δεσμεύσεις της Επιτροπής που παρατίθενται στην ανακοίνωση «Εμπόριο για όλους», οι υπηρεσίες των μέσων εμπορικής άμυνας παρέχουν, από την 1η Αυγούστου 2017, σε κάθε ενδιαφερόμενο μέρος που υπόκειται σε επίσκεψη επιτό</w:t>
      </w:r>
      <w:r>
        <w:rPr>
          <w:noProof/>
        </w:rPr>
        <w:t>πιας επαλήθευσης μια πλήρη έκθεση αποστολής της εν λόγω επίσκεψης. Μια μη εμπιστευτική έκδοση της συγκεκριμένης έκθεσης περιλαμβάνεται επίσης στον φάκελο και είναι προσβάσιμη σε άλλα ενδιαφερόμενα μέρη. Το αποτέλεσμα των επισκέψεων επαλήθευσης μπορεί να απ</w:t>
      </w:r>
      <w:r>
        <w:rPr>
          <w:noProof/>
        </w:rPr>
        <w:t xml:space="preserve">οδειχθεί κρίσιμο για τα πορίσματα σε σχέση με ορισμένες εταιρείες, ενώ μια τέτοια κίνηση μπορεί να συμβάλει στην αποφυγή περιττών διαφορών. </w:t>
      </w:r>
    </w:p>
    <w:p w:rsidR="004A635C" w:rsidRDefault="00326AAB">
      <w:pPr>
        <w:pStyle w:val="ListParagraph"/>
        <w:spacing w:after="240"/>
        <w:ind w:left="0"/>
        <w:jc w:val="both"/>
        <w:rPr>
          <w:bCs/>
          <w:noProof/>
        </w:rPr>
      </w:pPr>
      <w:r>
        <w:rPr>
          <w:noProof/>
        </w:rPr>
        <w:t xml:space="preserve">Επίσης, η Επιτροπή οριστικοποιεί επί του παρόντοςτην εφαρμογή ενός ακόμη στοιχείου που διευκολύνει την ενημέρωση </w:t>
      </w:r>
      <w:r>
        <w:rPr>
          <w:noProof/>
        </w:rPr>
        <w:t>του κοινού σχετικά με τις διαδικασίες εμπορικής άμυνας, καθιστώντας δυνατή τη δημοσίευση στον δικτυακό της τόπο πληροφοριών σχετικά με τις αιτήσεις των εταιρειών για επιστροφή δασμών και τις σχετικές έρευνες.</w:t>
      </w:r>
    </w:p>
    <w:p w:rsidR="004A635C" w:rsidRDefault="00326AAB">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Δραστηριότητα μέσων εμπορικής άμυνας το 20</w:t>
      </w:r>
      <w:r>
        <w:rPr>
          <w:b/>
          <w:smallCaps/>
          <w:noProof/>
          <w:sz w:val="26"/>
        </w:rPr>
        <w:t>18</w:t>
      </w:r>
    </w:p>
    <w:p w:rsidR="004A635C" w:rsidRDefault="00326AAB">
      <w:pPr>
        <w:pStyle w:val="ManualNumPar1"/>
        <w:spacing w:before="480" w:after="240"/>
        <w:ind w:left="851" w:hanging="851"/>
        <w:rPr>
          <w:b/>
          <w:bCs/>
          <w:smallCaps/>
          <w:noProof/>
        </w:rPr>
      </w:pPr>
      <w:r>
        <w:rPr>
          <w:b/>
          <w:noProof/>
        </w:rPr>
        <w:t>II.1</w:t>
      </w:r>
      <w:r>
        <w:rPr>
          <w:noProof/>
        </w:rPr>
        <w:tab/>
      </w:r>
      <w:r>
        <w:rPr>
          <w:rStyle w:val="Heading1Char"/>
          <w:noProof/>
        </w:rPr>
        <w:t>Ερευνητική</w:t>
      </w:r>
      <w:r>
        <w:rPr>
          <w:noProof/>
        </w:rPr>
        <w:t xml:space="preserve"> </w:t>
      </w:r>
      <w:r>
        <w:rPr>
          <w:b/>
          <w:smallCaps/>
          <w:noProof/>
        </w:rPr>
        <w:t xml:space="preserve">δραστηριότητα </w:t>
      </w:r>
    </w:p>
    <w:p w:rsidR="004A635C" w:rsidRDefault="00326AAB">
      <w:pPr>
        <w:pStyle w:val="ManualHeading2"/>
        <w:spacing w:before="240"/>
        <w:ind w:left="851" w:hanging="851"/>
        <w:rPr>
          <w:noProof/>
        </w:rPr>
      </w:pPr>
      <w:r>
        <w:rPr>
          <w:noProof/>
        </w:rPr>
        <w:t>II.1.1</w:t>
      </w:r>
      <w:r>
        <w:rPr>
          <w:noProof/>
        </w:rPr>
        <w:tab/>
        <w:t>Γενική επισκόπηση</w:t>
      </w:r>
    </w:p>
    <w:p w:rsidR="004A635C" w:rsidRDefault="00326AAB">
      <w:pPr>
        <w:spacing w:after="240"/>
        <w:jc w:val="both"/>
        <w:rPr>
          <w:noProof/>
        </w:rPr>
      </w:pPr>
      <w:r>
        <w:rPr>
          <w:noProof/>
        </w:rPr>
        <w:t xml:space="preserve">Στα τέλη του 2018, η ΕΕ είχε σε ισχύ 93 </w:t>
      </w:r>
      <w:r>
        <w:rPr>
          <w:noProof/>
          <w:u w:val="single"/>
        </w:rPr>
        <w:t>οριστικά</w:t>
      </w:r>
      <w:r>
        <w:rPr>
          <w:noProof/>
        </w:rPr>
        <w:t xml:space="preserve"> μέτρα αντιντάμπινγκ και 12 </w:t>
      </w:r>
      <w:r>
        <w:rPr>
          <w:noProof/>
          <w:u w:val="single"/>
        </w:rPr>
        <w:t>αντισταθμιστικά</w:t>
      </w:r>
      <w:r>
        <w:rPr>
          <w:noProof/>
        </w:rPr>
        <w:t xml:space="preserve"> μέτρα.</w:t>
      </w:r>
      <w:r>
        <w:rPr>
          <w:rStyle w:val="FootnoteReference"/>
          <w:noProof/>
        </w:rPr>
        <w:footnoteReference w:id="21"/>
      </w:r>
      <w:r>
        <w:rPr>
          <w:noProof/>
        </w:rPr>
        <w:t xml:space="preserve"> </w:t>
      </w:r>
      <w:r>
        <w:rPr>
          <w:noProof/>
          <w:color w:val="000000" w:themeColor="text1"/>
        </w:rPr>
        <w:t>Τα στοιχεία αυτά δείχνουν ελαφρά μείωση σε σύγκριση με το προηγούμενο έτος.</w:t>
      </w:r>
    </w:p>
    <w:p w:rsidR="004A635C" w:rsidRDefault="00326AAB">
      <w:pPr>
        <w:pStyle w:val="Text2"/>
        <w:spacing w:after="240"/>
        <w:ind w:left="0"/>
        <w:rPr>
          <w:noProof/>
          <w:color w:val="000000" w:themeColor="text1"/>
        </w:rPr>
      </w:pPr>
      <w:r>
        <w:rPr>
          <w:noProof/>
          <w:color w:val="000000" w:themeColor="text1"/>
        </w:rPr>
        <w:t xml:space="preserve">Οι ερευνητικές </w:t>
      </w:r>
      <w:r>
        <w:rPr>
          <w:noProof/>
          <w:color w:val="000000" w:themeColor="text1"/>
        </w:rPr>
        <w:t>εργασίες εξακολούθησαν σε υψηλά επίπεδα και έφτασαν σχεδόν το επίπεδο του 2017. Οι εργασίες συνίσταντο κυρίως σε νέες έρευνες στο πλαίσιο νέων συνόλων κανόνων μέσων εμπορικής άμυνας, καθώς και σε έναν ακόμη σημαντικό αριθμό επανεξετάσεων. Στο τέλος του 201</w:t>
      </w:r>
      <w:r>
        <w:rPr>
          <w:noProof/>
          <w:color w:val="000000" w:themeColor="text1"/>
        </w:rPr>
        <w:t>8, διεξήχθησαν 45 έρευνες, καθώς και έξι έρευνες επιστροφής δασµών που κάλυπταν 99 αιτήσεις επιστροφής.</w:t>
      </w:r>
    </w:p>
    <w:p w:rsidR="004A635C" w:rsidRDefault="00326AAB">
      <w:pPr>
        <w:pStyle w:val="Text2"/>
        <w:spacing w:after="240"/>
        <w:ind w:left="0"/>
        <w:rPr>
          <w:noProof/>
        </w:rPr>
      </w:pPr>
      <w:r>
        <w:rPr>
          <w:noProof/>
        </w:rPr>
        <w:t>Μια λεπτομερέστερη επισκόπηση της νομοθεσίας των μέσων εμπορικής άμυνας και πληροφορίες σχετικά με την ετήσια δραστηριότητα περιέχεται στο έγγραφο εργασ</w:t>
      </w:r>
      <w:r>
        <w:rPr>
          <w:noProof/>
        </w:rPr>
        <w:t>ίας των υπηρεσιών της Επιτροπής και στα σχετικά παραρτήματά του που συνοδεύουν την παρούσα έκθεση.</w:t>
      </w:r>
    </w:p>
    <w:p w:rsidR="004A635C" w:rsidRDefault="00326AAB">
      <w:pPr>
        <w:pStyle w:val="ManualHeading2"/>
        <w:spacing w:before="240"/>
        <w:ind w:left="851" w:hanging="851"/>
        <w:rPr>
          <w:noProof/>
        </w:rPr>
      </w:pPr>
      <w:r>
        <w:rPr>
          <w:noProof/>
        </w:rPr>
        <w:t>II.1.2</w:t>
      </w:r>
      <w:r>
        <w:rPr>
          <w:noProof/>
        </w:rPr>
        <w:tab/>
        <w:t xml:space="preserve">Οι έρευνες αντιντάμπινγκ και κατά των επιδοτήσεων </w:t>
      </w:r>
      <w:r>
        <w:rPr>
          <w:b w:val="0"/>
          <w:noProof/>
        </w:rPr>
        <w:t>(βλ. παραρτήματα Α έως Ι)</w:t>
      </w:r>
    </w:p>
    <w:p w:rsidR="004A635C" w:rsidRDefault="00326AAB">
      <w:pPr>
        <w:pStyle w:val="Text2"/>
        <w:spacing w:after="240"/>
        <w:ind w:left="0"/>
        <w:rPr>
          <w:noProof/>
        </w:rPr>
      </w:pPr>
      <w:r>
        <w:rPr>
          <w:noProof/>
        </w:rPr>
        <w:t xml:space="preserve">Το 2018 κινήθηκαν 10 </w:t>
      </w:r>
      <w:r>
        <w:rPr>
          <w:noProof/>
          <w:u w:val="single"/>
        </w:rPr>
        <w:t>νέες έρευνες</w:t>
      </w:r>
      <w:r>
        <w:rPr>
          <w:noProof/>
        </w:rPr>
        <w:t>. Στο πλαίσιο δύο διαδικασιών επιβλήθηκαν</w:t>
      </w:r>
      <w:r>
        <w:rPr>
          <w:noProof/>
        </w:rPr>
        <w:t xml:space="preserve"> </w:t>
      </w:r>
      <w:r>
        <w:rPr>
          <w:noProof/>
          <w:u w:val="single"/>
        </w:rPr>
        <w:t>προσωρινοί δασμοί</w:t>
      </w:r>
      <w:r>
        <w:rPr>
          <w:noProof/>
        </w:rPr>
        <w:t xml:space="preserve">. Τέσσερις υποθέσεις περατώθηκαν με την επιβολή </w:t>
      </w:r>
      <w:r>
        <w:rPr>
          <w:noProof/>
          <w:u w:val="single"/>
        </w:rPr>
        <w:t>οριστικών δασμών</w:t>
      </w:r>
      <w:r>
        <w:rPr>
          <w:noProof/>
        </w:rPr>
        <w:t xml:space="preserve">, ενώ οκτώ έρευνες περατώθηκαν </w:t>
      </w:r>
      <w:r>
        <w:rPr>
          <w:noProof/>
          <w:u w:val="single"/>
        </w:rPr>
        <w:t>χωρίς την επιβολή μέτρων</w:t>
      </w:r>
      <w:r>
        <w:rPr>
          <w:noProof/>
        </w:rPr>
        <w:t xml:space="preserve">. </w:t>
      </w:r>
    </w:p>
    <w:p w:rsidR="004A635C" w:rsidRDefault="00326AAB">
      <w:pPr>
        <w:pStyle w:val="Text2"/>
        <w:spacing w:after="240"/>
        <w:ind w:left="0"/>
        <w:rPr>
          <w:noProof/>
        </w:rPr>
      </w:pPr>
      <w:r>
        <w:rPr>
          <w:noProof/>
        </w:rPr>
        <w:t xml:space="preserve">Οι έρευνες επανεξέτασης συνέχισαν να αντιπροσωπεύουν σημαντικό μέρος της εξέτασης υποθέσεων. Το 2018, κινήθηκαν 17 </w:t>
      </w:r>
      <w:r>
        <w:rPr>
          <w:noProof/>
          <w:u w:val="single"/>
        </w:rPr>
        <w:t>έ</w:t>
      </w:r>
      <w:r>
        <w:rPr>
          <w:noProof/>
          <w:u w:val="single"/>
        </w:rPr>
        <w:t>ρευνες επανεξέτασης ενόψει λήξης ισχύος των μέτρων</w:t>
      </w:r>
      <w:r>
        <w:rPr>
          <w:noProof/>
        </w:rPr>
        <w:t xml:space="preserve"> και επτά έρευνες επανεξέτασης ενόψει λήξης ισχύος των μέτρων κατέληξαν σε </w:t>
      </w:r>
      <w:r>
        <w:rPr>
          <w:noProof/>
          <w:u w:val="single"/>
        </w:rPr>
        <w:t>επιβεβαίωση</w:t>
      </w:r>
      <w:r>
        <w:rPr>
          <w:noProof/>
        </w:rPr>
        <w:t xml:space="preserve"> του δασμού. Καμία επανεξέταση ενόψει της λήξης ισχύος των μέτρων δεν κατέληξε στη λήξη των μέτρων. Κατά τη διάρκεια του</w:t>
      </w:r>
      <w:r>
        <w:rPr>
          <w:noProof/>
        </w:rPr>
        <w:t xml:space="preserve"> 2018, τέσσερα μέτρα έληξαν αυτόματα.</w:t>
      </w:r>
    </w:p>
    <w:p w:rsidR="004A635C" w:rsidRDefault="00326AAB">
      <w:pPr>
        <w:pStyle w:val="Text3"/>
        <w:spacing w:after="240"/>
        <w:ind w:left="0"/>
        <w:rPr>
          <w:noProof/>
        </w:rPr>
      </w:pPr>
      <w:r>
        <w:rPr>
          <w:noProof/>
        </w:rPr>
        <w:t xml:space="preserve">Κινήθηκαν τρεις </w:t>
      </w:r>
      <w:r>
        <w:rPr>
          <w:noProof/>
          <w:u w:val="single"/>
        </w:rPr>
        <w:t>ενδιάμεσες επανεξετάσεις</w:t>
      </w:r>
      <w:r>
        <w:rPr>
          <w:noProof/>
        </w:rPr>
        <w:t xml:space="preserve">. Τέσσερις ενδιάμεσες επανεξετάσεις περατώθηκαν χωρίς την τροποποίηση των μέτρων και δύο περατώθηκαν με τροποποίησή τους. </w:t>
      </w:r>
    </w:p>
    <w:p w:rsidR="004A635C" w:rsidRDefault="00326AAB">
      <w:pPr>
        <w:pStyle w:val="Text3"/>
        <w:spacing w:after="240"/>
        <w:ind w:left="0"/>
        <w:rPr>
          <w:noProof/>
        </w:rPr>
      </w:pPr>
      <w:r>
        <w:rPr>
          <w:noProof/>
        </w:rPr>
        <w:t xml:space="preserve">Τέλος, το 2018, κινήθηκαν τρεις </w:t>
      </w:r>
      <w:r>
        <w:rPr>
          <w:noProof/>
          <w:u w:val="single"/>
        </w:rPr>
        <w:t>επανεξετάσεις</w:t>
      </w:r>
      <w:r>
        <w:rPr>
          <w:noProof/>
        </w:rPr>
        <w:t>, οι οποίε</w:t>
      </w:r>
      <w:r>
        <w:rPr>
          <w:noProof/>
        </w:rPr>
        <w:t>ς αφορούσαν συνήθως την εφαρμογή δικαστικών αποφάσεων. Πραγματοποιήθηκαν πέντε επανεξετάσεις αυτού του είδους.</w:t>
      </w:r>
    </w:p>
    <w:p w:rsidR="004A635C" w:rsidRDefault="00326AAB">
      <w:pPr>
        <w:pStyle w:val="ManualHeading2"/>
        <w:spacing w:before="240"/>
        <w:ind w:left="0" w:firstLine="0"/>
        <w:rPr>
          <w:noProof/>
        </w:rPr>
      </w:pPr>
      <w:r>
        <w:rPr>
          <w:noProof/>
        </w:rPr>
        <w:t>II.1.3</w:t>
      </w:r>
      <w:r>
        <w:rPr>
          <w:noProof/>
        </w:rPr>
        <w:tab/>
        <w:t xml:space="preserve">Έρευνες για την εφαρμογή μέτρων διασφάλισης </w:t>
      </w:r>
      <w:r>
        <w:rPr>
          <w:b w:val="0"/>
          <w:noProof/>
        </w:rPr>
        <w:t>(βλ. παράρτημα ΙΒ)</w:t>
      </w:r>
    </w:p>
    <w:p w:rsidR="004A635C" w:rsidRDefault="00326AAB">
      <w:pPr>
        <w:spacing w:after="240"/>
        <w:jc w:val="both"/>
        <w:rPr>
          <w:noProof/>
          <w:szCs w:val="22"/>
        </w:rPr>
      </w:pPr>
      <w:r>
        <w:rPr>
          <w:noProof/>
        </w:rPr>
        <w:t xml:space="preserve">Το 2018 η ΕΕ κίνησε τρεις </w:t>
      </w:r>
      <w:r>
        <w:rPr>
          <w:noProof/>
          <w:u w:val="single"/>
        </w:rPr>
        <w:t>έρευνες διασφάλισης</w:t>
      </w:r>
      <w:r>
        <w:rPr>
          <w:noProof/>
        </w:rPr>
        <w:t xml:space="preserve"> - μία </w:t>
      </w:r>
      <w:r>
        <w:rPr>
          <w:i/>
          <w:noProof/>
        </w:rPr>
        <w:t>erga omnes</w:t>
      </w:r>
      <w:r>
        <w:rPr>
          <w:noProof/>
        </w:rPr>
        <w:t xml:space="preserve"> για τα προϊόντα χάλυβα και δύο διμερείς κατά της Καμπότζης και της Μιανμάρ για το ρύζι τύπου Indica, σύμφωνα με τους κανόνες του συστήματος γενικευµένων προτιµήσεων της ΕΕ. </w:t>
      </w:r>
    </w:p>
    <w:p w:rsidR="004A635C" w:rsidRDefault="00326AAB">
      <w:pPr>
        <w:pStyle w:val="ManualHeading1"/>
        <w:tabs>
          <w:tab w:val="clear" w:pos="850"/>
        </w:tabs>
        <w:spacing w:before="240"/>
        <w:ind w:left="851" w:hanging="851"/>
        <w:rPr>
          <w:noProof/>
        </w:rPr>
      </w:pPr>
      <w:r>
        <w:rPr>
          <w:noProof/>
        </w:rPr>
        <w:t>II.1.4</w:t>
      </w:r>
      <w:r>
        <w:rPr>
          <w:noProof/>
        </w:rPr>
        <w:tab/>
      </w:r>
      <w:r>
        <w:rPr>
          <w:rStyle w:val="Heading1Char"/>
          <w:b/>
          <w:noProof/>
        </w:rPr>
        <w:t>Επαληθευτικές δραστηριότητες</w:t>
      </w:r>
      <w:r>
        <w:rPr>
          <w:noProof/>
        </w:rPr>
        <w:t xml:space="preserve"> </w:t>
      </w:r>
    </w:p>
    <w:p w:rsidR="004A635C" w:rsidRDefault="00326AAB">
      <w:pPr>
        <w:pStyle w:val="Text1"/>
        <w:spacing w:after="240"/>
        <w:ind w:left="0"/>
        <w:rPr>
          <w:noProof/>
        </w:rPr>
      </w:pPr>
      <w:r>
        <w:rPr>
          <w:noProof/>
        </w:rPr>
        <w:t>Κατά τη διάρκεια των ερευνών της, η Επιτροπή</w:t>
      </w:r>
      <w:r>
        <w:rPr>
          <w:noProof/>
        </w:rPr>
        <w:t xml:space="preserve"> διενεργεί επιτόπιες επισκέψεις για να εξετάσει τα αρχεία εταιρειών ή ενώσεων με σκοπό την επαλήθευση των πληροφοριών που παρέχονται κατά τη διάρκεια της διαδικασίας. Κατά τη διάρκεια του 2018, οι υπηρεσίες μέσων εμπορικής άμυνας της ΕΕ διενήργησαν 167 επι</w:t>
      </w:r>
      <w:r>
        <w:rPr>
          <w:noProof/>
        </w:rPr>
        <w:t xml:space="preserve">σκέψεις, οι οποίες αντιστοιχούν σε 1978 ανθρωποηµέρες εργασίας επαλήθευσης. </w:t>
      </w:r>
    </w:p>
    <w:p w:rsidR="004A635C" w:rsidRDefault="00326AAB">
      <w:pPr>
        <w:pStyle w:val="ManualHeading2"/>
        <w:spacing w:before="480" w:after="240"/>
        <w:ind w:left="851" w:hanging="851"/>
        <w:rPr>
          <w:noProof/>
        </w:rPr>
      </w:pPr>
      <w:r>
        <w:rPr>
          <w:noProof/>
        </w:rPr>
        <w:t>II.2</w:t>
      </w:r>
      <w:r>
        <w:rPr>
          <w:noProof/>
        </w:rPr>
        <w:tab/>
      </w:r>
      <w:r>
        <w:rPr>
          <w:rStyle w:val="Heading1Char"/>
          <w:b/>
          <w:noProof/>
        </w:rPr>
        <w:t xml:space="preserve">Επιβολή των μέτρων </w:t>
      </w:r>
      <w:r>
        <w:rPr>
          <w:b w:val="0"/>
          <w:noProof/>
        </w:rPr>
        <w:t>(βλ. παραρτήματα ΙΑ, ΙΒ, ΙΓ, ΙΔ)</w:t>
      </w:r>
    </w:p>
    <w:p w:rsidR="004A635C" w:rsidRDefault="00326AAB">
      <w:pPr>
        <w:pStyle w:val="Text1"/>
        <w:spacing w:after="240"/>
        <w:ind w:left="0"/>
        <w:rPr>
          <w:noProof/>
        </w:rPr>
      </w:pPr>
      <w:r>
        <w:rPr>
          <w:noProof/>
        </w:rPr>
        <w:t xml:space="preserve">Όπως προαναφέρθηκε, είναι πρωταρχικής σημασίας να διασφαλιστεί η αποτελεσματική εφαρμογή των επιβληθέντων μέτρων. Μια από </w:t>
      </w:r>
      <w:r>
        <w:rPr>
          <w:noProof/>
        </w:rPr>
        <w:t xml:space="preserve">τις βασικές δραστηριότητες για να διασφαλιστεί ότι τα μέτρα δεν αποφεύγονται με απορρόφηση ή καταστρατήγηση των δασμών. Το 2018 κινήθηκε μια έρευνα επανεξέτασης </w:t>
      </w:r>
      <w:r>
        <w:rPr>
          <w:noProof/>
          <w:u w:val="single"/>
        </w:rPr>
        <w:t>κατά της απορρόφησης</w:t>
      </w:r>
      <w:r>
        <w:rPr>
          <w:noProof/>
        </w:rPr>
        <w:t>, η οποία όμως εξακολουθεί να βρίσκεται σε εξέλιξη στο τέλος του έτους. Δεν</w:t>
      </w:r>
      <w:r>
        <w:rPr>
          <w:noProof/>
        </w:rPr>
        <w:t xml:space="preserve"> έχει περατωθεί κάποια άλλη έρευνα επανεξέτασης κατά της απορρόφησης. Επιπλέον, παρόλο που δεν κινήθηκε έρευνα</w:t>
      </w:r>
      <w:r>
        <w:rPr>
          <w:b/>
          <w:noProof/>
          <w:u w:val="single"/>
        </w:rPr>
        <w:t xml:space="preserve"> </w:t>
      </w:r>
      <w:r>
        <w:rPr>
          <w:noProof/>
          <w:u w:val="single"/>
        </w:rPr>
        <w:t>κατά της καταστρατήγησης</w:t>
      </w:r>
      <w:r>
        <w:rPr>
          <w:noProof/>
        </w:rPr>
        <w:t>, δύο τέτοιες έρευνες που κινήθηκαν το 2017 ολοκληρώθηκαν το 2018 χωρίς την επέκταση του δασμού.</w:t>
      </w:r>
    </w:p>
    <w:p w:rsidR="004A635C" w:rsidRDefault="00326AAB">
      <w:pPr>
        <w:pStyle w:val="Text1"/>
        <w:spacing w:after="240"/>
        <w:ind w:left="0"/>
        <w:rPr>
          <w:noProof/>
        </w:rPr>
      </w:pPr>
      <w:r>
        <w:rPr>
          <w:noProof/>
        </w:rPr>
        <w:t>Η παρακολούθηση των αναλ</w:t>
      </w:r>
      <w:r>
        <w:rPr>
          <w:noProof/>
        </w:rPr>
        <w:t>ήψεων υποχρεώσεων αποτελεί επίσης μέρος των δραστηριοτήτων επιβολής. Στις αρχές του 2018 ίσχυαν τρεις αναλήψεις υποχρεώσεων από εταιρείες. Καμία νέα ανάληψη υποχρεώσεων δεν έγινε αποδεκτή κατά τη διάρκεια του έτους. Συνεπώς, τρεις αναλήψεις υποχρεώσεων παρ</w:t>
      </w:r>
      <w:r>
        <w:rPr>
          <w:noProof/>
        </w:rPr>
        <w:t xml:space="preserve">έμειναν σε ισχύ στα τέλη του 2018. </w:t>
      </w:r>
    </w:p>
    <w:p w:rsidR="004A635C" w:rsidRDefault="00326AAB">
      <w:pPr>
        <w:autoSpaceDE w:val="0"/>
        <w:autoSpaceDN w:val="0"/>
        <w:spacing w:before="120" w:after="240"/>
        <w:jc w:val="both"/>
        <w:rPr>
          <w:noProof/>
          <w:color w:val="000000"/>
        </w:rPr>
      </w:pPr>
      <w:r>
        <w:rPr>
          <w:noProof/>
        </w:rPr>
        <w:t>Τέλος, όσον αφορά την εφαρμογή των μέτρων, η Επιτροπή συνεργάζεται στενά με την OLAF.</w:t>
      </w:r>
      <w:r>
        <w:rPr>
          <w:noProof/>
          <w:color w:val="000000"/>
        </w:rPr>
        <w:t xml:space="preserve"> Ως συνήθως, το 2018 </w:t>
      </w:r>
      <w:r>
        <w:rPr>
          <w:noProof/>
        </w:rPr>
        <w:t>η</w:t>
      </w:r>
      <w:r>
        <w:rPr>
          <w:noProof/>
          <w:color w:val="000000"/>
        </w:rPr>
        <w:t xml:space="preserve"> Επιτροπή υπέβαλε στην OLAF όλες τις πληροφορίες και τα αποδεικτικά στοιχεία για κάθε παράνομη δραστηριότητα που </w:t>
      </w:r>
      <w:r>
        <w:rPr>
          <w:noProof/>
          <w:color w:val="000000"/>
        </w:rPr>
        <w:t xml:space="preserve">σχετίζεται με τα μέσα εμπορικής άμυνας. </w:t>
      </w:r>
    </w:p>
    <w:p w:rsidR="004A635C" w:rsidRDefault="00326AAB">
      <w:pPr>
        <w:pStyle w:val="ManualHeading1"/>
        <w:spacing w:before="480" w:after="240"/>
        <w:ind w:left="851" w:hanging="851"/>
        <w:rPr>
          <w:noProof/>
        </w:rPr>
      </w:pPr>
      <w:r>
        <w:rPr>
          <w:noProof/>
        </w:rPr>
        <w:t>II.3</w:t>
      </w:r>
      <w:r>
        <w:rPr>
          <w:noProof/>
        </w:rPr>
        <w:tab/>
        <w:t xml:space="preserve">Μικρές και μεσαίες επιχειρήσεις (ΜΜΕ) </w:t>
      </w:r>
    </w:p>
    <w:p w:rsidR="004A635C" w:rsidRDefault="00326AAB">
      <w:pPr>
        <w:autoSpaceDE w:val="0"/>
        <w:autoSpaceDN w:val="0"/>
        <w:adjustRightInd w:val="0"/>
        <w:jc w:val="both"/>
        <w:rPr>
          <w:noProof/>
        </w:rPr>
      </w:pPr>
      <w:r>
        <w:rPr>
          <w:noProof/>
        </w:rPr>
        <w:t xml:space="preserve">Κατά τη διάρκεια του 2018, στο πλαίσιο του εκσυγχρονισμού των μέσων εμπορικής άμυνας, η Επιτροπή δρομολόγησε μια πρωτοβουλία για να βοηθήσει τις ΜΜΕ που επλήγησαν από </w:t>
      </w:r>
      <w:r>
        <w:rPr>
          <w:noProof/>
        </w:rPr>
        <w:t>έρευνες εμπορικής άμυνας, τόσο εντός της ΕΕ όσο και σε τρίτες χώρες. Δημιουργήθηκε ειδική ιστοσελίδα. Η ιστοσελίδα αυτή συγκέντρωσε σε ένα μέρος συμβουλές για επιχειρήσεις, δείγματα ερωτηματολογίων καθώς και έναν ολοκληρωμένο οδηγό σχετικά με τον τρόπο δια</w:t>
      </w:r>
      <w:r>
        <w:rPr>
          <w:noProof/>
        </w:rPr>
        <w:t>χείρισης της διαδικασίας των ερευνών. Η πρωτοβουλία αυτή είναι συμπληρωματική ως προς το γραφείο υποστήριξης για ΜΜΕ, το οποίο εξακολουθεί να βοηθά τις ΜΜΕ που αναζητούν πληροφορίες σχετικά με τα μέσα εμπορικής άμυνας. Τα ερωτήματα προς το γραφείο υποστήρι</w:t>
      </w:r>
      <w:r>
        <w:rPr>
          <w:noProof/>
        </w:rPr>
        <w:t>ξης κατά τη διάρκεια του έτους κυμαίνονταν από αιτήματα γενικής πληροφόρησης σχετικά με τη φύση των μέσων εμπορικής άμυνας έως πιο στοχευμένα ερωτήματα που αφορούσαν συγκεκριμένες υποθέσεις.</w:t>
      </w:r>
    </w:p>
    <w:p w:rsidR="004A635C" w:rsidRDefault="00326AAB">
      <w:pPr>
        <w:adjustRightInd w:val="0"/>
        <w:spacing w:before="480" w:after="240"/>
        <w:jc w:val="both"/>
        <w:rPr>
          <w:rStyle w:val="Heading1Char"/>
          <w:noProof/>
        </w:rPr>
      </w:pPr>
      <w:r>
        <w:rPr>
          <w:b/>
          <w:noProof/>
        </w:rPr>
        <w:t>II.4</w:t>
      </w:r>
      <w:r>
        <w:rPr>
          <w:noProof/>
        </w:rPr>
        <w:tab/>
        <w:t xml:space="preserve"> </w:t>
      </w:r>
      <w:r>
        <w:rPr>
          <w:rStyle w:val="Heading1Char"/>
          <w:noProof/>
        </w:rPr>
        <w:t>Κοινωνικά και περιβαλλοντικά πρότυπα</w:t>
      </w:r>
    </w:p>
    <w:p w:rsidR="004A635C" w:rsidRDefault="00326AAB">
      <w:pPr>
        <w:spacing w:before="120" w:after="240"/>
        <w:jc w:val="both"/>
        <w:rPr>
          <w:noProof/>
        </w:rPr>
      </w:pPr>
      <w:r>
        <w:rPr>
          <w:noProof/>
          <w:color w:val="000000"/>
        </w:rPr>
        <w:t>Όταν εφαρμόζεται η νέα</w:t>
      </w:r>
      <w:r>
        <w:rPr>
          <w:noProof/>
          <w:color w:val="000000"/>
        </w:rPr>
        <w:t xml:space="preserve"> μεθοδολογία υπολογισμού της κανονικής αξίας, η Επιτροπή επιλέγει μια κατάλληλη αντιπροσωπευτική χώρα για να υπολογίσει την κανονική αξία ενός προϊόντος. Στη συνέχεια, θα πρέπει να βασίσει την επιλογή της σε αξιολόγηση του επαρκούς επιπέδου κοινωνικής και </w:t>
      </w:r>
      <w:r>
        <w:rPr>
          <w:noProof/>
          <w:color w:val="000000"/>
        </w:rPr>
        <w:t xml:space="preserve">περιβαλλοντικής προστασίας στις χώρες των οποίων διακυβεύονται τα συμφέροντα, όταν υπάρχουν περισσότερες από μία χώρες. </w:t>
      </w:r>
      <w:r>
        <w:rPr>
          <w:noProof/>
        </w:rPr>
        <w:t xml:space="preserve">Συνεπώς </w:t>
      </w:r>
      <w:r>
        <w:rPr>
          <w:noProof/>
          <w:color w:val="000000"/>
        </w:rPr>
        <w:t>η</w:t>
      </w:r>
      <w:r>
        <w:rPr>
          <w:noProof/>
        </w:rPr>
        <w:t xml:space="preserve"> Επιτροπή θα ελέγξει, στις νέες έρευνες και στις επανεξετάσεις ενόψει της λήξης ισχύος των μέτρων που κινήθηκαν μετά τις 20 Δεκ</w:t>
      </w:r>
      <w:r>
        <w:rPr>
          <w:noProof/>
        </w:rPr>
        <w:t>εμβρίου 2017, ιδιαιτέρως κατά πόσο έχουν κυρωθεί οι σχετικές διεθνείς συμβάσεις.</w:t>
      </w:r>
    </w:p>
    <w:p w:rsidR="004A635C" w:rsidRDefault="00326AAB">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 xml:space="preserve">Η περιγραφή του τρόπου με τον οποίο </w:t>
      </w:r>
      <w:r>
        <w:rPr>
          <w:rFonts w:ascii="Times New Roman" w:hAnsi="Times New Roman"/>
          <w:noProof/>
          <w:color w:val="000000"/>
          <w:sz w:val="24"/>
        </w:rPr>
        <w:t>εξετάζονται και λαμβάνονται υπόψη τα πρότυπα κοινωνικής και περιβαλλοντικής προστασίας στις έρευνες μέσων εμπορικής άμυνας</w:t>
      </w:r>
      <w:r>
        <w:rPr>
          <w:rFonts w:ascii="Times New Roman" w:hAnsi="Times New Roman"/>
          <w:noProof/>
          <w:sz w:val="24"/>
        </w:rPr>
        <w:t xml:space="preserve"> μπορεί να περιλα</w:t>
      </w:r>
      <w:r>
        <w:rPr>
          <w:rFonts w:ascii="Times New Roman" w:hAnsi="Times New Roman"/>
          <w:noProof/>
          <w:sz w:val="24"/>
        </w:rPr>
        <w:t>μβάνεται μόνο στις μελλοντικές ετήσιες εκθέσεις, αφού οι έρευνες έχουν καταλήξει σε προσωρινά ή τελικά συμπεράσματα. Καμία από τις τρέχουσες έρευνες που χρησιμοποιούν τη νέα μεθοδολογία δεν έχει φτάσει σ’ αυτό το στάδιο· συνεπώς, τα αποτελέσματα θα είναι δ</w:t>
      </w:r>
      <w:r>
        <w:rPr>
          <w:rFonts w:ascii="Times New Roman" w:hAnsi="Times New Roman"/>
          <w:noProof/>
          <w:sz w:val="24"/>
        </w:rPr>
        <w:t>ιαθέσιμα στην επόμενη ετήσια έκθεση.</w:t>
      </w:r>
    </w:p>
    <w:p w:rsidR="004A635C" w:rsidRDefault="00326AAB">
      <w:pPr>
        <w:spacing w:before="120" w:after="240"/>
        <w:jc w:val="both"/>
        <w:rPr>
          <w:b/>
          <w:noProof/>
        </w:rPr>
      </w:pPr>
      <w:r>
        <w:rPr>
          <w:noProof/>
        </w:rPr>
        <w:t>Εξάλλου, από την έναρξη ισχύος εκσυγχρονισμένων κανόνων μέσων εμπορικής άμυνας, όταν η Επιτροπή υπολογίζει την ενδεικτική τιμή ενός προϊόντος, συνυπολογίζει επίσης το πραγματικό ή το μελλοντικό κόστος παραγωγής των εταιρειών της ΕΕ, το οποίο προκύπτει ή θα</w:t>
      </w:r>
      <w:r>
        <w:rPr>
          <w:noProof/>
        </w:rPr>
        <w:t xml:space="preserve"> προέκυπτε από την εφαρμογή πολυμερών περιβαλλοντικών συμφωνιών (και τα πρωτοκόλλων τους), καθώς και ορισμένες συμβάσεις της Διεθνούς Οργάνωσης Εργασίας. Επομένως, από τις 8 Ιουνίου 2018 </w:t>
      </w:r>
      <w:r>
        <w:rPr>
          <w:noProof/>
          <w:color w:val="000000"/>
        </w:rPr>
        <w:t>η Επιτροπή ξεκίνησε να εφαρμόζει</w:t>
      </w:r>
      <w:r>
        <w:rPr>
          <w:noProof/>
        </w:rPr>
        <w:t xml:space="preserve"> τον τελευταίο κανόνα στις έρευνές τη</w:t>
      </w:r>
      <w:r>
        <w:rPr>
          <w:noProof/>
        </w:rPr>
        <w:t>ς. Και σ’ αυτήν την περίπτωση, δεδομένου ότι καμία από τις εν εξελίξει έρευνες όπου αυτό θα αποτελούσε ζήτημα δεν έχει φθάσει ακόμα στο προσωρινό ή τελικό στάδιο, η επόμενη ετήσια έκθεση θα αναφέρεται σε περιπτώσεις αυτού του είδους.</w:t>
      </w:r>
    </w:p>
    <w:p w:rsidR="004A635C" w:rsidRDefault="00326AAB">
      <w:pPr>
        <w:spacing w:before="480" w:after="240"/>
        <w:rPr>
          <w:noProof/>
        </w:rPr>
      </w:pPr>
      <w:r>
        <w:rPr>
          <w:rStyle w:val="Heading1Char"/>
          <w:noProof/>
        </w:rPr>
        <w:t>II.5</w:t>
      </w:r>
      <w:r>
        <w:rPr>
          <w:noProof/>
        </w:rPr>
        <w:tab/>
      </w:r>
      <w:r>
        <w:rPr>
          <w:rStyle w:val="Heading1Char"/>
          <w:noProof/>
        </w:rPr>
        <w:t>Δικαστικός έλεγχο</w:t>
      </w:r>
      <w:r>
        <w:rPr>
          <w:rStyle w:val="Heading1Char"/>
          <w:noProof/>
        </w:rPr>
        <w:t>ς από τα δικαστήρια της ΕΕ</w:t>
      </w:r>
      <w:r>
        <w:rPr>
          <w:noProof/>
        </w:rPr>
        <w:t xml:space="preserve"> </w:t>
      </w:r>
    </w:p>
    <w:p w:rsidR="004A635C" w:rsidRDefault="00326AAB">
      <w:pPr>
        <w:spacing w:after="240"/>
        <w:jc w:val="both"/>
        <w:rPr>
          <w:noProof/>
        </w:rPr>
      </w:pPr>
      <w:r>
        <w:rPr>
          <w:noProof/>
        </w:rPr>
        <w:t>Το 2018 το Γενικό Δικαστήριο και το Δικαστήριο της ΕΕ εξέδωσαν 26 αποφάσεις στον τομέα των μέσων εμπορικής άμυνας: Το Γενικό Δικαστήριο εξέδωσε δέκα αποφάσεις και το Δικαστήριο της ΕΕ αποφάνθηκε επί 12 προσφυγών και εξέδωσε τέσσ</w:t>
      </w:r>
      <w:r>
        <w:rPr>
          <w:noProof/>
        </w:rPr>
        <w:t xml:space="preserve">ερις προδικαστικές αποφάσεις. Οι σχετικές αποφάσεις περιγράφονται στο </w:t>
      </w:r>
      <w:r>
        <w:rPr>
          <w:rStyle w:val="Heading4Char"/>
          <w:noProof/>
        </w:rPr>
        <w:t>παράρτημα ΙΘ.</w:t>
      </w:r>
    </w:p>
    <w:p w:rsidR="004A635C" w:rsidRDefault="00326AAB">
      <w:pPr>
        <w:spacing w:after="240"/>
        <w:jc w:val="both"/>
        <w:rPr>
          <w:noProof/>
        </w:rPr>
      </w:pPr>
      <w:r>
        <w:rPr>
          <w:noProof/>
        </w:rPr>
        <w:t xml:space="preserve">Δεκαπέντε νέες υποθέσεις υποβλήθηκαν το 2018 σε σχέση με τα μέσα εμπορικής άμυνας (σε σχέση με 20 το 2017). </w:t>
      </w:r>
    </w:p>
    <w:p w:rsidR="004A635C" w:rsidRDefault="00326AAB">
      <w:pPr>
        <w:spacing w:before="480" w:after="240"/>
        <w:rPr>
          <w:b/>
          <w:smallCaps/>
          <w:noProof/>
        </w:rPr>
      </w:pPr>
      <w:r>
        <w:rPr>
          <w:rStyle w:val="Heading1Char"/>
          <w:noProof/>
        </w:rPr>
        <w:t>II.6</w:t>
      </w:r>
      <w:r>
        <w:rPr>
          <w:noProof/>
        </w:rPr>
        <w:tab/>
      </w:r>
      <w:r>
        <w:rPr>
          <w:rStyle w:val="Heading1Char"/>
          <w:noProof/>
        </w:rPr>
        <w:t xml:space="preserve"> Δραστηριότητες τρίτων χωρών κατά της ΕΕ</w:t>
      </w:r>
    </w:p>
    <w:p w:rsidR="004A635C" w:rsidRDefault="00326AAB">
      <w:pPr>
        <w:spacing w:after="240"/>
        <w:jc w:val="both"/>
        <w:rPr>
          <w:noProof/>
        </w:rPr>
      </w:pPr>
      <w:r>
        <w:rPr>
          <w:noProof/>
        </w:rPr>
        <w:t>Τα συνολικά ισχύο</w:t>
      </w:r>
      <w:r>
        <w:rPr>
          <w:noProof/>
        </w:rPr>
        <w:t xml:space="preserve">ντα μέτρα εμπορικής άμυνας που επηρεάζουν τις εξαγωγές της ΕΕ, ανήλθαν σε 174 το 2018 (έναντι 162 το 2017). Η συγκεκριμένη τάση αναμένεται να συνεχιστεί και κατά τα επόμενα έτη, δεδομένου επίσης του μεγάλου αριθμού νέων και εν εξελίξει ερευνών το 2018 (35 </w:t>
      </w:r>
      <w:r>
        <w:rPr>
          <w:noProof/>
        </w:rPr>
        <w:t xml:space="preserve">σε σύγκριση με 31 το 2017), οι οποίες ενδέχεται να επιφέρουν την επιβολή μέτρων το 2019. </w:t>
      </w:r>
    </w:p>
    <w:p w:rsidR="004A635C" w:rsidRDefault="00326AAB">
      <w:pPr>
        <w:spacing w:after="240"/>
        <w:jc w:val="both"/>
        <w:rPr>
          <w:noProof/>
        </w:rPr>
      </w:pPr>
      <w:r>
        <w:rPr>
          <w:noProof/>
        </w:rPr>
        <w:t>Οι ΗΠΑ αντιπροσώπευαν το μεγαλύτερο μέρος των μέσων εμπορικής άμυνας κατά των εξαγωγών της ΕΕ, με 33 μέτρα σε ισχύ (26 το 2017). Σε σύγκριση με το 2015 (18 μέτρα), αυ</w:t>
      </w:r>
      <w:r>
        <w:rPr>
          <w:noProof/>
        </w:rPr>
        <w:t>τό αντιπροσωπεύει αύξηση κατά 89 %. Επίσης, συνέβαλε έμμεσα στην παγκόσμια αύξηση των μέτρων, δεδομένου ότι χώρες όπως η Τουρκία ή ο Καναδάς κίνησαν έρευνες διασφάλισης σχετικά με ορισμένα προϊόντα χάλυβα ως απάντηση στα μέτρα του «Τµήµατος 232» των ΗΠΑ γι</w:t>
      </w:r>
      <w:r>
        <w:rPr>
          <w:noProof/>
        </w:rPr>
        <w:t xml:space="preserve">α τον χάλυβα. Ωστόσο, το αντιντάμπινγκ παραμένει το πλέον χρησιμοποιημένο μέσο σε παγκόσμιο επίπεδο, με 133 μέτρα σε ισχύ από τα 174. </w:t>
      </w:r>
    </w:p>
    <w:p w:rsidR="004A635C" w:rsidRDefault="00326AAB">
      <w:pPr>
        <w:spacing w:after="240"/>
        <w:jc w:val="both"/>
        <w:rPr>
          <w:noProof/>
        </w:rPr>
      </w:pPr>
      <w:r>
        <w:rPr>
          <w:noProof/>
        </w:rPr>
        <w:t xml:space="preserve">Η Ινδία αποτελεί τον δεύτερο μεγαλύτερο χρήστη μέσων εμπορικής άμυνας κατά της ΕΕ, με 21 μέτρα σε ισχύ (21 το 2017), ενώ </w:t>
      </w:r>
      <w:r>
        <w:rPr>
          <w:noProof/>
        </w:rPr>
        <w:t>ακολουθεί η Κίνα, με 18 μέτρα σε ισχύ το 2018 (20 το 2017).</w:t>
      </w:r>
    </w:p>
    <w:p w:rsidR="004A635C" w:rsidRDefault="00326AAB">
      <w:pPr>
        <w:spacing w:after="240"/>
        <w:jc w:val="both"/>
        <w:rPr>
          <w:noProof/>
        </w:rPr>
      </w:pPr>
      <w:r>
        <w:rPr>
          <w:noProof/>
        </w:rPr>
        <w:t xml:space="preserve">Όσον αφορά τις νέες έρευνες το 2018, οι ΗΠΑ κίνησαν τρεις, η Ινδία τέσσερις και η Κίνα δύο νέες έρευνες. Εκτός από αυτούς τους τακτικούς χρήστες, ορισμένοι λιγότερο συχνοί χρήστες μέσων εμπορικής </w:t>
      </w:r>
      <w:r>
        <w:rPr>
          <w:noProof/>
        </w:rPr>
        <w:t>άμυνας συνέβαλαν επίσης στην ανοδική τάση. Πρόκειται για την περίπτωση της Αυστραλίας και της Αργεντινής που κίνησαν τρεις νέες έρευνες η καθεμία το 2018. Επιπλέον, άλλοι χρήστες προστέθηκαν στο τοπίο, όπως το Συμβούλιο Συνεργασίας του Περσικού Κόλπου (GCC</w:t>
      </w:r>
      <w:r>
        <w:rPr>
          <w:noProof/>
        </w:rPr>
        <w:t>), με τρεις εν εξελίξει έρευνες, η Μαδαγασκάρη με δύο νέες έρευνες διασφάλισης ή η Κολομβία, η οποία το 2018 κίνησε  έρευνα σχετικά με τις κατεψυγμένες τηγανητές πατάτες, την πρώτη σε περίοδο πέντε ετών.</w:t>
      </w:r>
    </w:p>
    <w:p w:rsidR="004A635C" w:rsidRDefault="00326AAB">
      <w:pPr>
        <w:spacing w:after="240"/>
        <w:jc w:val="both"/>
        <w:rPr>
          <w:noProof/>
        </w:rPr>
      </w:pPr>
      <w:r>
        <w:rPr>
          <w:noProof/>
        </w:rPr>
        <w:t>Όσον αφορά τα μέτρα που επιβλήθηκαν, οι ΗΠΑ βρίσκοντ</w:t>
      </w:r>
      <w:r>
        <w:rPr>
          <w:noProof/>
        </w:rPr>
        <w:t xml:space="preserve">αι στην πρώτη θέση με την επιβολή δέκα νέων μέτρων το 2018, και ακολουθεί η Αυστραλία, με τέσσερα νέα μέτρα, καθώς και η Ινδία και η Τουρκία, με την επιβολή τριών νέων μέτρων η καθεμία. Η Κίνα επέβαλε ένα νέο μέτρο το 2018. </w:t>
      </w:r>
    </w:p>
    <w:p w:rsidR="004A635C" w:rsidRDefault="00326AAB">
      <w:pPr>
        <w:spacing w:after="240"/>
        <w:jc w:val="both"/>
        <w:rPr>
          <w:noProof/>
        </w:rPr>
      </w:pPr>
      <w:r>
        <w:rPr>
          <w:noProof/>
        </w:rPr>
        <w:t>Όσον αφορά τους τομείς, ο χάλυβ</w:t>
      </w:r>
      <w:r>
        <w:rPr>
          <w:noProof/>
        </w:rPr>
        <w:t>ας εξακολουθούσε να αποτελεί τον περισσότερο στοχευμένο τομέα, με 12 έρευνες από τις 37 και 13 νέα μέτρα από τα 32. Τα προϊόντα χάλυβα κατέχουν επίσης το μεγαλύτερο μερίδιο των συνολικών μέτρων που ίσχυαν το 2018, δηλ. 67 από τα 174. Τα χημικά προϊόντα εξα</w:t>
      </w:r>
      <w:r>
        <w:rPr>
          <w:noProof/>
        </w:rPr>
        <w:t>κολούθησαν να αντιπροσωπεύουν ένα σημαντικό ποσοστό, με την έναρξη οκτώ νέων ερευνών.</w:t>
      </w:r>
    </w:p>
    <w:p w:rsidR="004A635C" w:rsidRDefault="00326AAB">
      <w:pPr>
        <w:spacing w:after="240"/>
        <w:jc w:val="both"/>
        <w:rPr>
          <w:noProof/>
        </w:rPr>
      </w:pPr>
      <w:r>
        <w:rPr>
          <w:noProof/>
        </w:rPr>
        <w:t>Παρά το γεγονός ότι η Επιτροπή παρεμβαίνει στις περισσότερες περιπτώσεις κατά της ΕΕ, εστιάζει ειδικότερα σε συστημικά ζητήματα και υποθέσεις για τις οποίες ο σχετικός κλ</w:t>
      </w:r>
      <w:r>
        <w:rPr>
          <w:noProof/>
        </w:rPr>
        <w:t>άδος παραγωγής έχει ζητήσει συγκεκριμένα βοήθεια. Το 2018 η Επιτροπή παρενέβη, για παράδειγμα, στην έρευνα διασφάλισης από τη Χιλή σχετικά με τις εισαγωγές γάλακτος σε σκόνη και τυριού και στην έρευνα επανεξέτασης αντιντάμπινγκ από την Αυστραλία σχετικά με</w:t>
      </w:r>
      <w:r>
        <w:rPr>
          <w:noProof/>
        </w:rPr>
        <w:t xml:space="preserve"> τις κονσερβοποιηµένες τοµάτες. Η υπόθεση των δασμών που επέβαλε η Κολομβία στις εισαγωγές κατεψυγμένων τηγανητών πατατών παραµένει ανεπίλυτη, καθώς φαίνεται ότι τα περιθώρια ντάμπινγκ διογκώθηκαν τεχνητά με τη χρήση ανεπαρκών μεθοδολογιών. </w:t>
      </w:r>
    </w:p>
    <w:p w:rsidR="004A635C" w:rsidRDefault="00326AAB">
      <w:pPr>
        <w:spacing w:after="240"/>
        <w:jc w:val="both"/>
        <w:rPr>
          <w:noProof/>
        </w:rPr>
      </w:pPr>
      <w:r>
        <w:rPr>
          <w:noProof/>
        </w:rPr>
        <w:t>Το 2018 η βιομ</w:t>
      </w:r>
      <w:r>
        <w:rPr>
          <w:noProof/>
        </w:rPr>
        <w:t>ηχανία χαρτιού ήταν επίσης ιδιαίτερα στοχευμένη στις έρευνες από την Ινδία, το Συμβούλιο Συνεργασίας του Περσικού Κόλπου και την Αυστραλία. Η Επιτροπή παρενέβη σε συνεργασία με τους ενωσιακούς κλάδους παραγωγής και εξακολουθεί να παρακολουθεί στενά τις συγ</w:t>
      </w:r>
      <w:r>
        <w:rPr>
          <w:noProof/>
        </w:rPr>
        <w:t>κεκριμένες έρευνες.</w:t>
      </w:r>
    </w:p>
    <w:p w:rsidR="004A635C" w:rsidRDefault="00326AAB">
      <w:pPr>
        <w:pStyle w:val="ManualHeading1"/>
        <w:spacing w:before="480" w:after="240"/>
        <w:ind w:left="851" w:hanging="851"/>
        <w:rPr>
          <w:noProof/>
        </w:rPr>
      </w:pPr>
      <w:r>
        <w:rPr>
          <w:noProof/>
        </w:rPr>
        <w:t>II.7</w:t>
      </w:r>
      <w:r>
        <w:rPr>
          <w:noProof/>
        </w:rPr>
        <w:tab/>
        <w:t>Δραστηριότητες στο πλαίσιο του ΠΟΕ</w:t>
      </w:r>
    </w:p>
    <w:p w:rsidR="004A635C" w:rsidRDefault="00326AAB">
      <w:pPr>
        <w:spacing w:after="240"/>
        <w:jc w:val="both"/>
        <w:rPr>
          <w:iCs/>
          <w:noProof/>
          <w:sz w:val="22"/>
          <w:szCs w:val="22"/>
        </w:rPr>
      </w:pPr>
      <w:r>
        <w:rPr>
          <w:noProof/>
        </w:rPr>
        <w:t xml:space="preserve">Η ΕΕ εξακολούθησε να προωθεί ενεργά και αφοσιωμένα ένα θεματολόγιο σχετικό με τις επιδοτήσεις στο πλαίσιο του ΠΟΕ. Κατά τη διάρκεια του 2018, συνεχίστηκαν στη Γενεύη οι εντατικές διαπραγματεύσεις </w:t>
      </w:r>
      <w:r>
        <w:rPr>
          <w:noProof/>
        </w:rPr>
        <w:t xml:space="preserve">για τις επιδοτήσεις στον τομέα της αλιείας. Παρά το γεγονός ότι σημειώθηκε περιορισμένη πρόοδος, εγκρίθηκε ένα φιλόδοξο πρόγραμμα εργασίας για το 2019 το οποίο θα επιτρέψει στα μέλη του ΠΟΕ να ολοκληρώσουν τις διαπραγματεύσεις μέχρι τα τέλη του 2019. </w:t>
      </w:r>
    </w:p>
    <w:p w:rsidR="004A635C" w:rsidRDefault="00326AAB">
      <w:pPr>
        <w:pStyle w:val="Text2"/>
        <w:spacing w:after="240"/>
        <w:ind w:left="0"/>
        <w:rPr>
          <w:noProof/>
        </w:rPr>
      </w:pPr>
      <w:r>
        <w:rPr>
          <w:noProof/>
        </w:rPr>
        <w:t>Το 2</w:t>
      </w:r>
      <w:r>
        <w:rPr>
          <w:noProof/>
        </w:rPr>
        <w:t xml:space="preserve">018, η ΕΕ συμμετείχε στις εργασίες των αρμόδιων επιτροπών του ΠΟΕ για τα μέσα εμπορικής άμυνας, οι οποίες διεξάγονται τον Απρίλιο και τον Οκτώβριο. Στην επιτροπή αντιντάμπινγκ του ΠΟΕ, η ΕΕ απάντησε ιδίως σε πολλές ερωτήσεις σχετικά με τη μεταρρύθμιση της </w:t>
      </w:r>
      <w:r>
        <w:rPr>
          <w:noProof/>
        </w:rPr>
        <w:t xml:space="preserve">νομοθεσίας της ΕΕ για τα μέσα εμπορικής άμυνας. Επιπλέον, η ΕΕ έθιξε τα ανησυχητικά ζητήματα στις έρευνες τρίτων χωρών κατά της ΕΕ ή των κρατών μελών.  </w:t>
      </w:r>
    </w:p>
    <w:p w:rsidR="004A635C" w:rsidRDefault="00326AAB">
      <w:pPr>
        <w:pStyle w:val="Text2"/>
        <w:spacing w:after="240"/>
        <w:ind w:left="0"/>
        <w:rPr>
          <w:noProof/>
        </w:rPr>
      </w:pPr>
      <w:r>
        <w:rPr>
          <w:noProof/>
        </w:rPr>
        <w:t xml:space="preserve">Η ΕΕ συμμετείχε και στις δύο συνεδριάσεις της ομάδας εργασίας του ΠΟΕ για την εφαρμογή των μέτρων </w:t>
      </w:r>
      <w:r>
        <w:rPr>
          <w:noProof/>
        </w:rPr>
        <w:t>αντιντάμπινγκ. Τα θέματα που συζητήθηκαν ήταν, π.χ. ο υπολογισμός των περιθωρίων ντάμπινγκ ή των μεθοδολογιών για τον προσδιορισμό της πιθανότητας συνέχισης ή επανάληψης του ντάμπινγκ και της ζημίας κατά τις επανεξετάσεις ενόψει της λήξης των μέτρων.</w:t>
      </w:r>
    </w:p>
    <w:p w:rsidR="004A635C" w:rsidRDefault="00326AAB">
      <w:pPr>
        <w:pStyle w:val="Text2"/>
        <w:spacing w:after="240"/>
        <w:ind w:left="0"/>
        <w:rPr>
          <w:noProof/>
        </w:rPr>
      </w:pPr>
      <w:r>
        <w:rPr>
          <w:noProof/>
        </w:rPr>
        <w:t>Η κοι</w:t>
      </w:r>
      <w:r>
        <w:rPr>
          <w:noProof/>
        </w:rPr>
        <w:t>νοποίηση επιδοτήσεων της ΕΕ για το 2017 επανεξετάστηκε από την ειδική επιτροπή της επιτροπής επιδοτήσεων και αντισταθμιστικών δασμών του ΠΟΕ. Επίσης, στο πλαίσιο της τακτικής συνόδου της επιτροπής επιδοτήσεων και αντισταθμιστικών δασμών, συνεχίστηκαν οι συ</w:t>
      </w:r>
      <w:r>
        <w:rPr>
          <w:noProof/>
        </w:rPr>
        <w:t>ζητήσεις σχετικά με τον ρόλο των επιδοτήσεων στη δημιουργία πλεονάζουσας παραγωγικής ικανότητας σε διάφορους τομείς οικονομικής δραστηριότητας, με τη συγχρηματοδότηση της ΕΕ, των ΗΠΑ, του Καναδά και της Ιαπωνίας. Η ΕΕ ζήτησε επίσης επανειλημμένα τη βελτίωσ</w:t>
      </w:r>
      <w:r>
        <w:rPr>
          <w:noProof/>
        </w:rPr>
        <w:t>η της διαφάνειας από άλλα μέλη, παροτρύνοντάς τα να γνωστοποιούν τις επιδοτήσεις τους στον ΠΟΕ.</w:t>
      </w:r>
    </w:p>
    <w:p w:rsidR="004A635C" w:rsidRDefault="00326AAB">
      <w:pPr>
        <w:spacing w:after="240"/>
        <w:jc w:val="both"/>
        <w:rPr>
          <w:noProof/>
        </w:rPr>
      </w:pPr>
      <w:r>
        <w:rPr>
          <w:noProof/>
        </w:rPr>
        <w:t>Στην επιτροπή διασφαλίσεων του ΠΟΕ, η ΕΕ εξέφρασε μια σειρά ανησυχιών σχετικά με τις έρευνες διασφάλισης των άλλων μελών του ΠΟΕ (όπως της Χιλής σχετικά με το γ</w:t>
      </w:r>
      <w:r>
        <w:rPr>
          <w:noProof/>
        </w:rPr>
        <w:t>άλα σε σκόνη και  το τυρί gouda, των ΗΠΑ σχετικά με τους ηλιακούς συλλέκτες ή της Τουρκίας σχετικά με το χαρτί ταπετσαρίας τοίχων). Επιπλέον, η ΕΕ απάντησε σε ερωτήσεις άλλων μελών του ΠΟΕ σχετικά με την έναρξη της έρευνας διασφάλισης όσον αφορά ορισμένα π</w:t>
      </w:r>
      <w:r>
        <w:rPr>
          <w:noProof/>
        </w:rPr>
        <w:t xml:space="preserve">ροϊόντα χάλυβα. </w:t>
      </w:r>
    </w:p>
    <w:p w:rsidR="004A635C" w:rsidRDefault="00326AAB">
      <w:pPr>
        <w:adjustRightInd w:val="0"/>
        <w:spacing w:before="480" w:after="240"/>
        <w:jc w:val="both"/>
        <w:rPr>
          <w:b/>
          <w:smallCaps/>
          <w:noProof/>
        </w:rPr>
      </w:pPr>
      <w:r>
        <w:rPr>
          <w:rStyle w:val="Heading1Char"/>
          <w:noProof/>
        </w:rPr>
        <w:t>II.8</w:t>
      </w:r>
      <w:r>
        <w:rPr>
          <w:noProof/>
        </w:rPr>
        <w:tab/>
      </w:r>
      <w:r>
        <w:rPr>
          <w:rStyle w:val="Heading1Char"/>
          <w:noProof/>
        </w:rPr>
        <w:t xml:space="preserve">  Δραστηριότητες του Συμβούλου Ακροάσεων</w:t>
      </w:r>
    </w:p>
    <w:p w:rsidR="004A635C" w:rsidRDefault="00326AAB">
      <w:pPr>
        <w:pStyle w:val="Text2"/>
        <w:spacing w:before="0" w:after="240"/>
        <w:ind w:left="0"/>
        <w:rPr>
          <w:noProof/>
        </w:rPr>
      </w:pPr>
      <w:r>
        <w:rPr>
          <w:noProof/>
        </w:rPr>
        <w:t>Το 2018, ο Σύμβουλος Ακροάσεων έλαβε συνολικά 27 αιτήσεις παρέμβασης και διενήργησε οκτώ ακροάσεις. Σε πολλές υποθέσεις, το αίτημα παρέμβασης υποβλήθηκε ταυτόχρονα με την αίτηση ακρόασης στις α</w:t>
      </w:r>
      <w:r>
        <w:rPr>
          <w:noProof/>
        </w:rPr>
        <w:t>ρμόδιες για την έρευνα υπηρεσίες. Ο Σύμβουλος Ακροάσεων έκρινε ότι το ενδιαφερόμενο μέρος θα πρέπει πρώτα να απευθύνει τους προβληματισμούς του στις υπηρεσίες και μόνο στην περίπτωση που δεν μπορεί επιτευχθεί λύση, θα παρέμβει ο Σύμβουλος Ακροάσεων. Συνεπώ</w:t>
      </w:r>
      <w:r>
        <w:rPr>
          <w:noProof/>
        </w:rPr>
        <w:t>ς, τα ενδιαφερόμενα μέρη που ζήτησαν παρέμβαση κατόρθωσαν να βρουν λύση στις ομάδες έρευνας, στις περισσότερες περιπτώσεις.</w:t>
      </w:r>
    </w:p>
    <w:p w:rsidR="004A635C" w:rsidRDefault="00326AAB">
      <w:pPr>
        <w:pStyle w:val="Text2"/>
        <w:spacing w:after="240"/>
        <w:ind w:left="0"/>
        <w:rPr>
          <w:noProof/>
        </w:rPr>
      </w:pPr>
      <w:r>
        <w:rPr>
          <w:noProof/>
        </w:rPr>
        <w:t>Το 2018, μόνο μικρός αριθμός ερευνών οδήγησαν σε αιτήματα παρέμβασης. Πρόκειται είτε για αιτήματα πολλών ενδιαφερόμενων μερών είτε γ</w:t>
      </w:r>
      <w:r>
        <w:rPr>
          <w:noProof/>
        </w:rPr>
        <w:t>ια σειρά αιτήσεων παρέμβασης από το ίδιο μέρος. Τα ενδιαφερόμενα μέρη αμφισβήτησαν κυρίως τους προσδιορισμούς, τα γεγονότα και τα συμπεράσματα της έρευνας και σε όλες τις περιπτώσεις οι υπηρεσίες συμφώνησαν να παράσχουν διευκρινίσεις ή πρόσθετες γνωστοποιή</w:t>
      </w:r>
      <w:r>
        <w:rPr>
          <w:noProof/>
        </w:rPr>
        <w:t>σεις. Σε μια αξιοσημείωτη υπόθεση, το ενδιαφερόμενο μέρος αμφισβήτησε την πολιτική της Επιτροπής για την προστασία των δεδομένων προσωπικού χαρακτήρα στο πλαίσιο της έρευνας – η υπόθεση χρειάστηκε να παραπεμφθεί περαιτέρω στον Ευρωπαίο Επόπτη Προστασίας Δε</w:t>
      </w:r>
      <w:r>
        <w:rPr>
          <w:noProof/>
        </w:rPr>
        <w:t>δομένων. Κατά τη διάρκεια όλων των παρεμβάσεων το 2018, ο Σύμβουλος Ακροάσεων διαπίστωσε ότι τα διαδικαστικά δικαιώματα των ενδιαφερόμενων μερών είχαν τηρηθεί.</w:t>
      </w:r>
    </w:p>
    <w:p w:rsidR="004A635C" w:rsidRDefault="00326AAB">
      <w:pPr>
        <w:pStyle w:val="Text2"/>
        <w:spacing w:after="240"/>
        <w:ind w:left="0"/>
        <w:rPr>
          <w:noProof/>
        </w:rPr>
      </w:pPr>
      <w:r>
        <w:rPr>
          <w:noProof/>
        </w:rPr>
        <w:t>Ο ρόλος του Συμβούλου Ακροάσεων, μετά τις νομοθετικές αλλαγές, αναγνωρίζεται πλέον ρητά στους βα</w:t>
      </w:r>
      <w:r>
        <w:rPr>
          <w:noProof/>
        </w:rPr>
        <w:t>σικούς κανονισμούς αντιντάμπινγκ και κατά των επιδοτήσεων. Στο πλαίσιο αυτό, ο Σύμβουλος Ακροάσεων συνεισέφερε επίσης στις διαδικασίες που θα πρέπει να εφαρμόσει η Επιτροπή για την αύξηση της διαφάνειας και την εγγύηση των διαδικαστικών δικαιωμάτων των μερ</w:t>
      </w:r>
      <w:r>
        <w:rPr>
          <w:noProof/>
        </w:rPr>
        <w:t>ών.</w:t>
      </w:r>
    </w:p>
    <w:p w:rsidR="004A635C" w:rsidRDefault="004A635C">
      <w:pPr>
        <w:pStyle w:val="Text1"/>
        <w:ind w:left="851"/>
        <w:rPr>
          <w:noProof/>
        </w:rPr>
      </w:pPr>
    </w:p>
    <w:p w:rsidR="004A635C" w:rsidRDefault="004A635C">
      <w:pPr>
        <w:pStyle w:val="Text1"/>
        <w:rPr>
          <w:noProof/>
        </w:rPr>
      </w:pPr>
    </w:p>
    <w:sectPr w:rsidR="004A635C" w:rsidSect="00326AA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5C" w:rsidRDefault="00326AAB">
      <w:r>
        <w:separator/>
      </w:r>
    </w:p>
  </w:endnote>
  <w:endnote w:type="continuationSeparator" w:id="0">
    <w:p w:rsidR="004A635C" w:rsidRDefault="00326AAB">
      <w:r>
        <w:continuationSeparator/>
      </w:r>
    </w:p>
  </w:endnote>
  <w:endnote w:type="continuationNotice" w:id="1">
    <w:p w:rsidR="004A635C" w:rsidRDefault="004A6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326AAB">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326AAB">
    <w:pPr>
      <w:pStyle w:val="Footer"/>
      <w:jc w:val="center"/>
    </w:pPr>
    <w:r>
      <w:fldChar w:fldCharType="begin"/>
    </w:r>
    <w:r>
      <w:instrText xml:space="preserve"> PAGE   \* MERGEFORMAT </w:instrText>
    </w:r>
    <w:r>
      <w:fldChar w:fldCharType="separate"/>
    </w:r>
    <w:r>
      <w:rPr>
        <w:noProof/>
      </w:rPr>
      <w:t>2</w:t>
    </w:r>
    <w:r>
      <w:fldChar w:fldCharType="end"/>
    </w:r>
  </w:p>
  <w:p w:rsidR="004A635C" w:rsidRDefault="004A63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80811"/>
      <w:docPartObj>
        <w:docPartGallery w:val="Page Numbers (Bottom of Page)"/>
        <w:docPartUnique/>
      </w:docPartObj>
    </w:sdtPr>
    <w:sdtEndPr>
      <w:rPr>
        <w:noProof/>
      </w:rPr>
    </w:sdtEndPr>
    <w:sdtContent>
      <w:bookmarkStart w:id="1" w:name="_GoBack" w:displacedByCustomXml="prev"/>
      <w:bookmarkEnd w:id="1" w:displacedByCustomXml="prev"/>
      <w:p w:rsidR="00326AAB" w:rsidRDefault="00326A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A635C" w:rsidRDefault="004A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5C" w:rsidRDefault="00326AAB">
      <w:r>
        <w:separator/>
      </w:r>
    </w:p>
  </w:footnote>
  <w:footnote w:type="continuationSeparator" w:id="0">
    <w:p w:rsidR="004A635C" w:rsidRDefault="00326AAB">
      <w:r>
        <w:continuationSeparator/>
      </w:r>
    </w:p>
  </w:footnote>
  <w:footnote w:type="continuationNotice" w:id="1">
    <w:p w:rsidR="004A635C" w:rsidRDefault="004A635C"/>
  </w:footnote>
  <w:footnote w:id="2">
    <w:p w:rsidR="004A635C" w:rsidRDefault="00326AAB">
      <w:pPr>
        <w:pStyle w:val="FootnoteText"/>
      </w:pPr>
      <w:r>
        <w:rPr>
          <w:rStyle w:val="FootnoteReference"/>
        </w:rPr>
        <w:footnoteRef/>
      </w:r>
      <w:r>
        <w:t xml:space="preserve"> </w:t>
      </w:r>
      <w:r>
        <w:tab/>
        <w:t>Κανονισμός (ΕΕ) αριθ. 2016/1036 του Ευρωπαϊκού Συμβουλίου και του Συμβουλίου, της 8ης Ιουνίου 2016, για την άμυνα κατά των εισαγωγών που αποτελούν αντικείμενο ντάμπινγκ εκ μέρους χωρών μη μελών της Ευρωπαϊκ</w:t>
      </w:r>
      <w:r>
        <w:t>ής Ένωσης (ΕΕ L 176 της 30.6.2016, σ. 21).</w:t>
      </w:r>
    </w:p>
  </w:footnote>
  <w:footnote w:id="3">
    <w:p w:rsidR="004A635C" w:rsidRDefault="00326AAB">
      <w:pPr>
        <w:pStyle w:val="FootnoteText"/>
      </w:pPr>
      <w:r>
        <w:rPr>
          <w:rStyle w:val="FootnoteReference"/>
        </w:rPr>
        <w:footnoteRef/>
      </w:r>
      <w:r>
        <w:t xml:space="preserve"> </w:t>
      </w:r>
      <w:r>
        <w:tab/>
        <w:t>Κανονισμός (ΕΕ) αριθ. 2016/1037 του Ευρωπαϊκού Συμβουλίου και του Συμβουλίου, της 8ης Ιουνίου 2016, για την άμυνα κατά των εισαγωγών που αποτελούν αντικείμενο επιδοτήσεων εκ μέρους χωρών μη μελών της Ευρωπαϊκής</w:t>
      </w:r>
      <w:r>
        <w:t xml:space="preserve"> Ένωσης (ΕΕ L 176 της 30.6.2016, σ. 21).</w:t>
      </w:r>
    </w:p>
  </w:footnote>
  <w:footnote w:id="4">
    <w:p w:rsidR="004A635C" w:rsidRDefault="00326AAB">
      <w:pPr>
        <w:pStyle w:val="FootnoteText"/>
      </w:pPr>
      <w:r>
        <w:rPr>
          <w:rStyle w:val="FootnoteReference"/>
        </w:rPr>
        <w:footnoteRef/>
      </w:r>
      <w:r>
        <w:t xml:space="preserve"> </w:t>
      </w:r>
      <w:r>
        <w:tab/>
        <w:t>Κανονισμός (EE) 2015/478 του Ευρωπαϊκού Κοινοβουλίου και του Συμβουλίου, της 11ης Μαρτίου 2015, περί κοινού καθεστώτος εισαγωγών (ΕΕ L 83 της 27.3.2015, σ. 16).</w:t>
      </w:r>
    </w:p>
  </w:footnote>
  <w:footnote w:id="5">
    <w:p w:rsidR="004A635C" w:rsidRDefault="00326AAB">
      <w:pPr>
        <w:pStyle w:val="FootnoteText"/>
      </w:pPr>
      <w:r>
        <w:rPr>
          <w:rStyle w:val="FootnoteReference"/>
        </w:rPr>
        <w:footnoteRef/>
      </w:r>
      <w:r>
        <w:t xml:space="preserve"> </w:t>
      </w:r>
      <w:r>
        <w:tab/>
        <w:t xml:space="preserve">Στις υποθέσεις που κινήθηκαν από τις 8 Ιουνίου </w:t>
      </w:r>
      <w:r>
        <w:t>2018, ισχύουν αμφότεροι οι κανόνες σχετικά με τη νέα μεθοδολογία υπολογισμού και τον εκσυγχρονισμό (οι οποίοι συνεπάγονται, μεταξύ άλλων, μικρότερη περίοδο έρευνας). Στις νέες υποθέσεις και στις επανεξετάσεις ενόψει της λήξης ισχύος των μέτρων που κινήθηκα</w:t>
      </w:r>
      <w:r>
        <w:t>ν μεταξύ 20 Δεκεμβρίου 2017 και 7 Ιουνίου 2018, εφαρμόζονται οι κανόνες για τη νέα μεθοδολογία υπολογισμού. Για όλες τις άλλες υποθέσεις, παρέμειναν σε ισχύ οι «παλαιοί» κανόνες.</w:t>
      </w:r>
    </w:p>
  </w:footnote>
  <w:footnote w:id="6">
    <w:p w:rsidR="004A635C" w:rsidRDefault="00326AAB">
      <w:pPr>
        <w:pStyle w:val="FootnoteText"/>
      </w:pPr>
      <w:r>
        <w:rPr>
          <w:rStyle w:val="FootnoteReference"/>
        </w:rPr>
        <w:footnoteRef/>
      </w:r>
      <w:r>
        <w:t xml:space="preserve"> </w:t>
      </w:r>
      <w:r>
        <w:tab/>
        <w:t xml:space="preserve">Ανακοίνωση της Επιτροπής προς το Ευρωπαϊκό Κοινοβούλιο, το Συμβούλιο, την </w:t>
      </w:r>
      <w:r>
        <w:t>Ευρωπαϊκή Οικονομική και Κοινωνική Επιτροπή και την Επιτροπή των Περιφερειών «Εμπόριο για όλους – Προς μια πιο υπεύθυνη πολιτική για το εμπόριο και τις επενδύσεις» [COM(2015) 497 final].</w:t>
      </w:r>
    </w:p>
  </w:footnote>
  <w:footnote w:id="7">
    <w:p w:rsidR="004A635C" w:rsidRDefault="00326AAB">
      <w:pPr>
        <w:pStyle w:val="FootnoteText"/>
      </w:pPr>
      <w:r>
        <w:rPr>
          <w:rStyle w:val="FootnoteReference"/>
        </w:rPr>
        <w:footnoteRef/>
      </w:r>
      <w:r>
        <w:t xml:space="preserve"> </w:t>
      </w:r>
      <w:r>
        <w:tab/>
        <w:t>Πηγή: Κανονισμοί της ΕΕ και επίσημες καταγγελίες των κλάδων παραγω</w:t>
      </w:r>
      <w:r>
        <w:t>γής ή αιτήσεις επανεξέτασης.</w:t>
      </w:r>
    </w:p>
  </w:footnote>
  <w:footnote w:id="8">
    <w:p w:rsidR="004A635C" w:rsidRDefault="00326AAB">
      <w:pPr>
        <w:pStyle w:val="FootnoteText"/>
      </w:pPr>
      <w:r>
        <w:rPr>
          <w:rStyle w:val="FootnoteReference"/>
        </w:rPr>
        <w:footnoteRef/>
      </w:r>
      <w:r>
        <w:t xml:space="preserve"> </w:t>
      </w:r>
      <w:r>
        <w:tab/>
        <w:t xml:space="preserve">Πηγή: Κανονισμοί της ΕΕ και του ΠΟΕ. </w:t>
      </w:r>
    </w:p>
  </w:footnote>
  <w:footnote w:id="9">
    <w:p w:rsidR="004A635C" w:rsidRDefault="00326AAB">
      <w:pPr>
        <w:pStyle w:val="FootnoteText"/>
      </w:pPr>
      <w:r>
        <w:rPr>
          <w:rStyle w:val="FootnoteReference"/>
        </w:rPr>
        <w:footnoteRef/>
      </w:r>
      <w:r>
        <w:t xml:space="preserve"> </w:t>
      </w:r>
      <w:r>
        <w:tab/>
        <w:t>Υπάρχουν ειδικοί κανόνες υπολογισμού του περιθωρίου ζημίας σε περίπτωση στρέβλωσης των τιμών των πρώτων υλών, οι οποίες αντιπροσωπεύουν τουλάχιστον το 17 % του κόστους παραγωγής του α</w:t>
      </w:r>
      <w:r>
        <w:t>γαθού. Στην περίπτωση επιδότησης, ο κανόνας του χαμηλότερου δασμού κανονικά δεν ισχύει.</w:t>
      </w:r>
    </w:p>
  </w:footnote>
  <w:footnote w:id="10">
    <w:p w:rsidR="004A635C" w:rsidRDefault="00326AAB">
      <w:pPr>
        <w:pStyle w:val="ListParagraph"/>
        <w:ind w:left="709" w:hanging="709"/>
        <w:jc w:val="both"/>
        <w:rPr>
          <w:i/>
          <w:sz w:val="20"/>
          <w:szCs w:val="20"/>
        </w:rPr>
      </w:pPr>
      <w:r>
        <w:rPr>
          <w:rStyle w:val="FootnoteReference"/>
          <w:sz w:val="20"/>
        </w:rPr>
        <w:footnoteRef/>
      </w:r>
      <w:r>
        <w:rPr>
          <w:sz w:val="20"/>
        </w:rPr>
        <w:t xml:space="preserve"> </w:t>
      </w:r>
      <w:r>
        <w:tab/>
      </w:r>
      <w:r>
        <w:rPr>
          <w:sz w:val="20"/>
        </w:rPr>
        <w:t>Τα στοιχεία για τις εισαγωγές κατά την αρχική περίοδο έρευνας συγκρίνονται με τις εισαγωγές μεταξύ Νοεμβρίου 2017 και Οκτωβρίου 2018. Στην περίπτωση των «ελαστικών»,</w:t>
      </w:r>
      <w:r>
        <w:rPr>
          <w:sz w:val="20"/>
        </w:rPr>
        <w:t xml:space="preserve"> η σύγκριση έγινε με την παρέκταση των στοιχείων που ήταν διαθέσιμα μετά την επιβολή μέτρων (έξι μήνες). Βλ. Εκτελεστικός κανονισμός (ΕΕ) 2018/1579 της Επιτροπής, της 18ης Οκτωβρίου 2018 (ΕΕ L 263 της 22.10.2018, σ. 3).</w:t>
      </w:r>
    </w:p>
  </w:footnote>
  <w:footnote w:id="11">
    <w:p w:rsidR="004A635C" w:rsidRDefault="00326AAB">
      <w:pPr>
        <w:pStyle w:val="FootnoteText"/>
      </w:pPr>
      <w:r>
        <w:rPr>
          <w:rStyle w:val="FootnoteReference"/>
        </w:rPr>
        <w:footnoteRef/>
      </w:r>
      <w:r>
        <w:t xml:space="preserve"> </w:t>
      </w:r>
      <w:r>
        <w:tab/>
        <w:t>Στοιχεία της Επιτροπής.</w:t>
      </w:r>
    </w:p>
  </w:footnote>
  <w:footnote w:id="12">
    <w:p w:rsidR="004A635C" w:rsidRDefault="00326AAB">
      <w:pPr>
        <w:pStyle w:val="FootnoteText"/>
      </w:pPr>
      <w:r>
        <w:rPr>
          <w:rStyle w:val="FootnoteReference"/>
        </w:rPr>
        <w:footnoteRef/>
      </w:r>
      <w:r>
        <w:t xml:space="preserve"> </w:t>
      </w:r>
      <w:r>
        <w:tab/>
        <w:t>Εκτελε</w:t>
      </w:r>
      <w:r>
        <w:t>στικός κανονισμός (ΕΕ) 2017/2179 της Επιτροπής, της 22ας Νοεμβρίου 2017 (ΕΕ L 307 της  23.11.2017, σ.25).</w:t>
      </w:r>
    </w:p>
  </w:footnote>
  <w:footnote w:id="13">
    <w:p w:rsidR="004A635C" w:rsidRDefault="00326AAB">
      <w:pPr>
        <w:pStyle w:val="FootnoteText"/>
      </w:pPr>
      <w:r>
        <w:rPr>
          <w:rStyle w:val="FootnoteReference"/>
        </w:rPr>
        <w:footnoteRef/>
      </w:r>
      <w:r>
        <w:t xml:space="preserve"> </w:t>
      </w:r>
      <w:r>
        <w:tab/>
        <w:t>Εκτελεστικός κανονισμός (ΕΕ) 2017/109 της Επιτροπής, της 23ης Ιανουαρίου 2017 (ΕΕ L 18 της 24.1.2017, σ. 1).</w:t>
      </w:r>
    </w:p>
  </w:footnote>
  <w:footnote w:id="14">
    <w:p w:rsidR="004A635C" w:rsidRDefault="00326AAB">
      <w:pPr>
        <w:pStyle w:val="FootnoteText"/>
      </w:pPr>
      <w:r>
        <w:rPr>
          <w:rStyle w:val="FootnoteReference"/>
        </w:rPr>
        <w:footnoteRef/>
      </w:r>
      <w:r>
        <w:t xml:space="preserve"> </w:t>
      </w:r>
      <w:r>
        <w:tab/>
        <w:t>Η καταστρατήγηση ορίζεται ως μια με</w:t>
      </w:r>
      <w:r>
        <w:t>ταβολή του τρόπου διεξαγωγής των εμπορικών συναλλαγών μεταξύ τρίτων χωρών και της ΕΕ, η οποία απορρέει από πρακτική, διαδικασία ή εργασία για την οποία δεν υπάρχει επαρκής λόγος ή οικονομική αιτιολόγηση πλην της επιβολής του δασµού αντιντάμπινγκ ή αντισταθ</w:t>
      </w:r>
      <w:r>
        <w:t>μιστικού δασμού.</w:t>
      </w:r>
    </w:p>
  </w:footnote>
  <w:footnote w:id="15">
    <w:p w:rsidR="004A635C" w:rsidRDefault="00326AAB">
      <w:pPr>
        <w:pStyle w:val="FootnoteText"/>
      </w:pPr>
      <w:r>
        <w:rPr>
          <w:rStyle w:val="FootnoteReference"/>
        </w:rPr>
        <w:footnoteRef/>
      </w:r>
      <w:r>
        <w:t xml:space="preserve"> </w:t>
      </w:r>
      <w:r>
        <w:tab/>
        <w:t>Απορρόφηση μπορεί να υπάρξει όταν, μετά την αρχική περίοδο έρευνας και πριν ή μετά από την επιβολή των μέτρων, οι τιμές εξαγωγής μειωθούν ή όταν η κίνηση των τιμών μεταπώλησης ή των μεταγενέστερων τιμών πώλησης του εισαγόμενου προϊόντος</w:t>
      </w:r>
      <w:r>
        <w:t xml:space="preserve"> στην ΕΕ είναι μηδενική ή ανεπαρκής.</w:t>
      </w:r>
    </w:p>
  </w:footnote>
  <w:footnote w:id="16">
    <w:p w:rsidR="004A635C" w:rsidRDefault="00326AAB">
      <w:pPr>
        <w:pStyle w:val="FootnoteText"/>
      </w:pPr>
      <w:r>
        <w:rPr>
          <w:rStyle w:val="FootnoteReference"/>
        </w:rPr>
        <w:footnoteRef/>
      </w:r>
      <w:r>
        <w:t xml:space="preserve"> </w:t>
      </w:r>
      <w:r>
        <w:tab/>
        <w:t>Έγγραφο εργασίας των υπηρεσιών της Επιτροπής «Commission Staff Working Document On Significant Distortions in the Economy of the PRC for the purposes of the trade defence investigations» [SWD(2017) 483 final/2 της 20</w:t>
      </w:r>
      <w:r>
        <w:t>.12.2017].</w:t>
      </w:r>
    </w:p>
  </w:footnote>
  <w:footnote w:id="17">
    <w:p w:rsidR="004A635C" w:rsidRDefault="00326AAB">
      <w:pPr>
        <w:pStyle w:val="FootnoteText"/>
      </w:pPr>
      <w:r>
        <w:rPr>
          <w:rStyle w:val="FootnoteReference"/>
        </w:rPr>
        <w:footnoteRef/>
      </w:r>
      <w:r>
        <w:t xml:space="preserve"> </w:t>
      </w:r>
      <w:r>
        <w:tab/>
        <w:t>Κατά τη στιγμή της δημοσίευσης της παρούσας έκθεσης, η έκθεση χώρας για τη Ρωσία εξακολουθούσε να βρίσκεται σε στάδιο προετοιμασίας.</w:t>
      </w:r>
    </w:p>
  </w:footnote>
  <w:footnote w:id="18">
    <w:p w:rsidR="004A635C" w:rsidRDefault="00326AAB">
      <w:pPr>
        <w:pStyle w:val="FootnoteText"/>
      </w:pPr>
      <w:r>
        <w:rPr>
          <w:rStyle w:val="FootnoteReference"/>
        </w:rPr>
        <w:footnoteRef/>
      </w:r>
      <w:r>
        <w:t xml:space="preserve"> </w:t>
      </w:r>
      <w:r>
        <w:tab/>
        <w:t>Ανακοίνωση της Επιτροπής προς το Ευρωπαϊκό Κοινοβούλιο, το Ευρωπαϊκό Συμβούλιο, το Συμβούλιο, την Ευρωπαϊκ</w:t>
      </w:r>
      <w:r>
        <w:t>ή Οικονομική και Κοινωνική Επιτροπή, την Επιτροπή των Περιφερειών και την Ευρωπαϊκή Τράπεζα Επενδύσεων, της 16ης Μαρτίου 2016, «Χαλυβουργία:</w:t>
      </w:r>
      <w:r>
        <w:rPr>
          <w:i/>
        </w:rPr>
        <w:t xml:space="preserve"> </w:t>
      </w:r>
      <w:r>
        <w:t>Εξασφάλιση βιώσιμης απασχόλησης και ανάπτυξης στην Ευρώπη» [COM(2016) 155 final].</w:t>
      </w:r>
    </w:p>
  </w:footnote>
  <w:footnote w:id="19">
    <w:p w:rsidR="004A635C" w:rsidRDefault="00326AAB">
      <w:pPr>
        <w:pStyle w:val="FootnoteText"/>
      </w:pPr>
      <w:r>
        <w:rPr>
          <w:rStyle w:val="FootnoteReference"/>
        </w:rPr>
        <w:footnoteRef/>
      </w:r>
      <w:r>
        <w:t xml:space="preserve"> </w:t>
      </w:r>
      <w:r>
        <w:tab/>
        <w:t>Εκτελεστικός κανονισμός (ΕΕ) 2</w:t>
      </w:r>
      <w:r>
        <w:t>019/159 της Επιτροπής, της 31ης Ιανουαρίου 2019 (ΕΕ L 31 της 1.2.2019, σ. 27).</w:t>
      </w:r>
    </w:p>
  </w:footnote>
  <w:footnote w:id="20">
    <w:p w:rsidR="004A635C" w:rsidRDefault="00326AAB">
      <w:pPr>
        <w:pStyle w:val="FootnoteText"/>
      </w:pPr>
      <w:r>
        <w:rPr>
          <w:rStyle w:val="FootnoteReference"/>
        </w:rPr>
        <w:footnoteRef/>
      </w:r>
      <w:r>
        <w:t xml:space="preserve"> </w:t>
      </w:r>
      <w:r>
        <w:tab/>
      </w:r>
      <w:hyperlink r:id="rId1">
        <w:r>
          <w:rPr>
            <w:rStyle w:val="Hyperlink"/>
          </w:rPr>
          <w:t>http://trade.ec.europa.eu/doclib/html/157607.htm</w:t>
        </w:r>
      </w:hyperlink>
      <w:r>
        <w:t xml:space="preserve"> </w:t>
      </w:r>
    </w:p>
  </w:footnote>
  <w:footnote w:id="21">
    <w:p w:rsidR="004A635C" w:rsidRDefault="00326AAB">
      <w:pPr>
        <w:pStyle w:val="FootnoteText"/>
      </w:pPr>
      <w:r>
        <w:rPr>
          <w:rStyle w:val="FootnoteReference"/>
        </w:rPr>
        <w:footnoteRef/>
      </w:r>
      <w:r>
        <w:tab/>
        <w:t>Τα μέτρα υπολογίζονται ανά οικείο προϊόν και χώρα, χωρ</w:t>
      </w:r>
      <w:r>
        <w:t>ίς παράταση.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5C" w:rsidRDefault="004A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6187ECDC-F61B-493B-A5D9-148DCDBA1222"/>
    <w:docVar w:name="LW_COVERPAGE_TYPE" w:val="1"/>
    <w:docVar w:name="LW_CROSSREFERENCE" w:val="{SWD(2019) 141 final}"/>
    <w:docVar w:name="LW_DocType" w:val="NORMAL"/>
    <w:docVar w:name="LW_EMISSION" w:val="27.3.2019"/>
    <w:docVar w:name="LW_EMISSION_ISODATE" w:val="2019-03-27"/>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37\u951? \u949?\u964?\u942?\u963?\u953?\u945? \u941?\u954?\u952?\u949?\u963?\u951? \u964?\u951?\u962? \u917?\u960?\u953?\u964?\u961?\u959?\u960?\u942?\u962? \u960?\u961?\u959?\u962? \u964?\u959? \u931?\u965?\u956?\u946?\u959?\u973?\u955?\u953?\u959? \u954?\u945?\u953? \u964?\u959? \u917?\u965?\u961?\u969?\u960?\u945?\u970?\u954?\u972? \u922?\u959?\u953?\u957?\u959?\u946?\u959?\u973?\u955?\u953?\u959? _x000b_\u963?\u967?\u949?\u964?\u953?\u954?\u940? \u956?\u949? \u964?\u953?\u962? \u948?\u961?\u945?\u963?\u964?\u951?\u961?\u953?\u972?\u964?\u951?\u964?\u949?\u962? \u964?\u951?\u962? \u917?\u917? \u963?\u964?\u959?\u957? \u964?\u959?\u956?\u941?\u945? \u964?\u959?\u965? \u945?\u957?\u964?\u953?\u957?\u964?\u940?\u956?\u960?\u953?\u957?\u947?\u954?, \u964?\u969?\u957? \u945?\u957?\u964?\u949?\u960?\u953?\u948?\u959?\u964?\u942?\u963?\u949?\u969?\u957? \u954?\u945?\u953? \u964?\u969?\u957? \u956?\u941?\u964?\u961?\u969?\u957? \u948?\u953?\u945?\u963?\u966?\u940?\u955?\u953?\u963?\u951?\u962? \u954?\u945?\u953? \u963?\u967?\u949?\u964?\u953?\u954?\u940? \u956?\u949? \u964?\u951? \u967?\u961?\u942?\u963?\u951? \u956?\u941?\u963?\u969?\u957? \u949?\u956?\u960?\u959?\u961?\u953?\u954?\u942?\u962? \u940?\u956?\u965?\u957?\u945?\u962? \u945?\u960?\u972? \u964?\u961?\u943?\u964?\u949?\u962? \u967?\u974?\u961?\u949?\u962? \u954?\u945?\u964?\u940? \u964?\u951?\u962? \u917?\u917? \u964?\u959? 2018"/>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w:rsids>
    <w:rsidRoot w:val="004A635C"/>
    <w:rsid w:val="00326AAB"/>
    <w:rsid w:val="004A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15:docId w15:val="{F3A5DD8F-FE99-40A9-AD53-A733DC41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el-G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el-GR" w:eastAsia="el-GR"/>
    </w:rPr>
  </w:style>
  <w:style w:type="character" w:customStyle="1" w:styleId="Heading2Char">
    <w:name w:val="Heading 2 Char"/>
    <w:basedOn w:val="DefaultParagraphFont"/>
    <w:link w:val="Heading2"/>
    <w:uiPriority w:val="9"/>
    <w:locked/>
    <w:rPr>
      <w:rFonts w:eastAsia="Times New Roman"/>
      <w:b/>
      <w:sz w:val="24"/>
      <w:lang w:val="el-GR" w:eastAsia="el-GR"/>
    </w:rPr>
  </w:style>
  <w:style w:type="character" w:customStyle="1" w:styleId="Heading3Char">
    <w:name w:val="Heading 3 Char"/>
    <w:basedOn w:val="DefaultParagraphFont"/>
    <w:link w:val="Heading3"/>
    <w:uiPriority w:val="9"/>
    <w:locked/>
    <w:rPr>
      <w:rFonts w:eastAsia="Times New Roman"/>
      <w:i/>
      <w:sz w:val="24"/>
      <w:lang w:val="el-GR" w:eastAsia="el-GR"/>
    </w:rPr>
  </w:style>
  <w:style w:type="character" w:customStyle="1" w:styleId="Heading4Char">
    <w:name w:val="Heading 4 Char"/>
    <w:basedOn w:val="DefaultParagraphFont"/>
    <w:link w:val="Heading4"/>
    <w:uiPriority w:val="9"/>
    <w:locked/>
    <w:rPr>
      <w:rFonts w:eastAsia="Times New Roman"/>
      <w:sz w:val="24"/>
      <w:lang w:val="el-GR" w:eastAsia="el-G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el-GR"/>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el-G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el-GR" w:eastAsia="el-GR"/>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el-GR" w:eastAsia="el-GR"/>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el-GR" w:eastAsia="el-GR"/>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el-GR" w:eastAsia="el-G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el-GR"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el-GR" w:eastAsia="el-GR"/>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el-GR" w:eastAsia="el-GR"/>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el-GR"/>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590B-1296-4B8B-8CEE-B599E1D6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7104</Words>
  <Characters>41491</Characters>
  <Application>Microsoft Office Word</Application>
  <DocSecurity>0</DocSecurity>
  <Lines>703</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20</cp:revision>
  <cp:lastPrinted>2019-02-12T14:35:00Z</cp:lastPrinted>
  <dcterms:created xsi:type="dcterms:W3CDTF">2019-03-08T15:25:00Z</dcterms:created>
  <dcterms:modified xsi:type="dcterms:W3CDTF">2019-03-19T09:45:00Z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