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E5" w:rsidRPr="0020752E" w:rsidRDefault="00B8459D" w:rsidP="00B8459D">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4C9CE89-4583-484E-A458-DE03B398C003" style="width:450.8pt;height:420.7pt">
            <v:imagedata r:id="rId11" o:title=""/>
          </v:shape>
        </w:pict>
      </w:r>
    </w:p>
    <w:bookmarkEnd w:id="0"/>
    <w:p w:rsidR="00DF3EE5" w:rsidRPr="0020752E" w:rsidRDefault="00DF3EE5">
      <w:pPr>
        <w:rPr>
          <w:b/>
        </w:rPr>
        <w:sectPr w:rsidR="00DF3EE5" w:rsidRPr="0020752E" w:rsidSect="00B8459D">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DF3EE5" w:rsidRPr="0020752E" w:rsidRDefault="0060410B">
      <w:pPr>
        <w:pStyle w:val="Title"/>
        <w:spacing w:before="0" w:after="240"/>
        <w:rPr>
          <w:rFonts w:ascii="Times New Roman" w:hAnsi="Times New Roman"/>
          <w:i/>
          <w:sz w:val="24"/>
          <w:szCs w:val="24"/>
        </w:rPr>
      </w:pPr>
      <w:bookmarkStart w:id="1" w:name="_Toc463018899"/>
      <w:bookmarkStart w:id="2" w:name="_GoBack"/>
      <w:bookmarkEnd w:id="2"/>
      <w:r w:rsidRPr="0020752E">
        <w:rPr>
          <w:rFonts w:ascii="Times New Roman" w:hAnsi="Times New Roman"/>
          <w:i/>
          <w:sz w:val="24"/>
        </w:rPr>
        <w:lastRenderedPageBreak/>
        <w:t>ANEXA 1.1</w:t>
      </w:r>
    </w:p>
    <w:p w:rsidR="00DF3EE5" w:rsidRPr="0020752E" w:rsidRDefault="0060410B">
      <w:pPr>
        <w:pStyle w:val="Title"/>
        <w:spacing w:before="0" w:after="120"/>
        <w:rPr>
          <w:rFonts w:ascii="Times New Roman" w:hAnsi="Times New Roman"/>
          <w:sz w:val="24"/>
          <w:szCs w:val="24"/>
        </w:rPr>
      </w:pPr>
      <w:r w:rsidRPr="0020752E">
        <w:rPr>
          <w:rFonts w:ascii="Times New Roman" w:hAnsi="Times New Roman"/>
          <w:sz w:val="24"/>
        </w:rPr>
        <w:t>Execuția financiară cumulativă a fondurilor ESI per obiectiv tematic, raportată în funcție de programe până la 31 decembrie 2017 (în cost total, cu volumul selecției și cel al cheltuielilor)</w:t>
      </w:r>
    </w:p>
    <w:tbl>
      <w:tblPr>
        <w:tblW w:w="5000" w:type="pct"/>
        <w:tblInd w:w="108" w:type="dxa"/>
        <w:tblLayout w:type="fixed"/>
        <w:tblLook w:val="04A0" w:firstRow="1" w:lastRow="0" w:firstColumn="1" w:lastColumn="0" w:noHBand="0" w:noVBand="1"/>
      </w:tblPr>
      <w:tblGrid>
        <w:gridCol w:w="536"/>
        <w:gridCol w:w="2277"/>
        <w:gridCol w:w="1339"/>
        <w:gridCol w:w="1337"/>
        <w:gridCol w:w="1337"/>
        <w:gridCol w:w="1071"/>
        <w:gridCol w:w="936"/>
      </w:tblGrid>
      <w:tr w:rsidR="00DF3EE5" w:rsidRPr="0020752E">
        <w:trPr>
          <w:trHeight w:val="334"/>
        </w:trPr>
        <w:tc>
          <w:tcPr>
            <w:tcW w:w="303" w:type="pct"/>
            <w:vMerge w:val="restart"/>
            <w:tcBorders>
              <w:top w:val="single" w:sz="4" w:space="0" w:color="auto"/>
              <w:left w:val="single" w:sz="4" w:space="0" w:color="auto"/>
              <w:bottom w:val="single" w:sz="4" w:space="0" w:color="000000"/>
              <w:right w:val="nil"/>
            </w:tcBorders>
            <w:shd w:val="clear" w:color="000000" w:fill="8DB4E2"/>
            <w:vAlign w:val="center"/>
          </w:tcPr>
          <w:p w:rsidR="00DF3EE5" w:rsidRPr="0020752E" w:rsidRDefault="00DF3EE5">
            <w:pPr>
              <w:spacing w:after="0"/>
              <w:jc w:val="center"/>
              <w:rPr>
                <w:b/>
                <w:bCs/>
                <w:sz w:val="20"/>
              </w:rPr>
            </w:pPr>
          </w:p>
        </w:tc>
        <w:tc>
          <w:tcPr>
            <w:tcW w:w="1289" w:type="pct"/>
            <w:vMerge w:val="restart"/>
            <w:tcBorders>
              <w:top w:val="single" w:sz="4" w:space="0" w:color="auto"/>
              <w:left w:val="nil"/>
              <w:bottom w:val="single" w:sz="4" w:space="0" w:color="000000"/>
              <w:right w:val="single" w:sz="4" w:space="0" w:color="auto"/>
            </w:tcBorders>
            <w:shd w:val="clear" w:color="000000" w:fill="8DB4E2"/>
            <w:vAlign w:val="center"/>
            <w:hideMark/>
          </w:tcPr>
          <w:p w:rsidR="00DF3EE5" w:rsidRPr="0020752E" w:rsidRDefault="0060410B">
            <w:pPr>
              <w:spacing w:after="0"/>
              <w:jc w:val="left"/>
              <w:rPr>
                <w:b/>
                <w:bCs/>
                <w:sz w:val="20"/>
              </w:rPr>
            </w:pPr>
            <w:r w:rsidRPr="0020752E">
              <w:rPr>
                <w:b/>
                <w:sz w:val="20"/>
              </w:rPr>
              <w:t>Obiective tematice</w:t>
            </w:r>
          </w:p>
        </w:tc>
        <w:tc>
          <w:tcPr>
            <w:tcW w:w="758"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Cuantumul total programat</w:t>
            </w:r>
          </w:p>
        </w:tc>
        <w:tc>
          <w:tcPr>
            <w:tcW w:w="757"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Costul total eligibil al proiectelor selectate</w:t>
            </w:r>
          </w:p>
        </w:tc>
        <w:tc>
          <w:tcPr>
            <w:tcW w:w="757"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 xml:space="preserve">Cheltuielile totale raportate în funcție de proiectele selectate </w:t>
            </w:r>
          </w:p>
        </w:tc>
        <w:tc>
          <w:tcPr>
            <w:tcW w:w="606"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Rată de selecție</w:t>
            </w:r>
          </w:p>
        </w:tc>
        <w:tc>
          <w:tcPr>
            <w:tcW w:w="530"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Rată de utilizare</w:t>
            </w:r>
          </w:p>
        </w:tc>
      </w:tr>
      <w:tr w:rsidR="00DF3EE5" w:rsidRPr="0020752E">
        <w:trPr>
          <w:trHeight w:val="254"/>
        </w:trPr>
        <w:tc>
          <w:tcPr>
            <w:tcW w:w="303" w:type="pct"/>
            <w:vMerge/>
            <w:tcBorders>
              <w:top w:val="single" w:sz="4" w:space="0" w:color="auto"/>
              <w:left w:val="single" w:sz="4" w:space="0" w:color="auto"/>
              <w:bottom w:val="single" w:sz="4" w:space="0" w:color="000000"/>
              <w:right w:val="nil"/>
            </w:tcBorders>
            <w:vAlign w:val="center"/>
            <w:hideMark/>
          </w:tcPr>
          <w:p w:rsidR="00DF3EE5" w:rsidRPr="0020752E" w:rsidRDefault="00DF3EE5">
            <w:pPr>
              <w:spacing w:after="0"/>
              <w:jc w:val="left"/>
              <w:rPr>
                <w:b/>
                <w:bCs/>
                <w:sz w:val="20"/>
              </w:rPr>
            </w:pPr>
          </w:p>
        </w:tc>
        <w:tc>
          <w:tcPr>
            <w:tcW w:w="1289" w:type="pct"/>
            <w:vMerge/>
            <w:tcBorders>
              <w:top w:val="single" w:sz="4" w:space="0" w:color="auto"/>
              <w:left w:val="nil"/>
              <w:bottom w:val="single" w:sz="4" w:space="0" w:color="000000"/>
              <w:right w:val="single" w:sz="4" w:space="0" w:color="auto"/>
            </w:tcBorders>
            <w:vAlign w:val="center"/>
            <w:hideMark/>
          </w:tcPr>
          <w:p w:rsidR="00DF3EE5" w:rsidRPr="0020752E" w:rsidRDefault="00DF3EE5">
            <w:pPr>
              <w:spacing w:after="0"/>
              <w:jc w:val="left"/>
              <w:rPr>
                <w:b/>
                <w:bCs/>
                <w:sz w:val="20"/>
              </w:rPr>
            </w:pPr>
          </w:p>
        </w:tc>
        <w:tc>
          <w:tcPr>
            <w:tcW w:w="758"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milioane EUR</w:t>
            </w:r>
          </w:p>
        </w:tc>
        <w:tc>
          <w:tcPr>
            <w:tcW w:w="757"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milioane EUR</w:t>
            </w:r>
          </w:p>
        </w:tc>
        <w:tc>
          <w:tcPr>
            <w:tcW w:w="757"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milioane EUR</w:t>
            </w:r>
          </w:p>
        </w:tc>
        <w:tc>
          <w:tcPr>
            <w:tcW w:w="606"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c>
          <w:tcPr>
            <w:tcW w:w="530"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r>
      <w:tr w:rsidR="00DF3EE5" w:rsidRPr="0020752E">
        <w:trPr>
          <w:trHeight w:val="26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01</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Cercetare și inovare</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60 175,6 </w:t>
            </w:r>
          </w:p>
        </w:tc>
        <w:tc>
          <w:tcPr>
            <w:tcW w:w="757"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30 670,2 </w:t>
            </w:r>
          </w:p>
        </w:tc>
        <w:tc>
          <w:tcPr>
            <w:tcW w:w="757"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4 895,9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51,0 %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8,1 %</w:t>
            </w:r>
          </w:p>
        </w:tc>
      </w:tr>
      <w:tr w:rsidR="00DF3EE5" w:rsidRPr="0020752E">
        <w:trPr>
          <w:trHeight w:val="36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02</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Tehnologii ale informației și comunicării</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18 368,0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8 772,9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900,8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47,8 %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4,9 %</w:t>
            </w:r>
          </w:p>
        </w:tc>
      </w:tr>
      <w:tr w:rsidR="00DF3EE5" w:rsidRPr="0020752E">
        <w:trPr>
          <w:trHeight w:val="192"/>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03</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Competitivitatea IMM-urilor</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85 401,9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47 014,7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15 378,3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55,1 %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18,0 %</w:t>
            </w:r>
          </w:p>
        </w:tc>
      </w:tr>
      <w:tr w:rsidR="00DF3EE5" w:rsidRPr="0020752E">
        <w:trPr>
          <w:trHeight w:val="168"/>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04</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Economie cu emisii scăzute de dioxid de carbon</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52 095,1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23 333,0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3 774,7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44,8 %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7,2 %</w:t>
            </w:r>
          </w:p>
        </w:tc>
      </w:tr>
      <w:tr w:rsidR="00DF3EE5" w:rsidRPr="0020752E">
        <w:trPr>
          <w:trHeight w:val="31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05</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Adaptare la schimbările climatice și prevenirea riscurilor</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38 069,3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22 134,9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12 613,0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33,1 %</w:t>
            </w:r>
          </w:p>
        </w:tc>
      </w:tr>
      <w:tr w:rsidR="00DF3EE5" w:rsidRPr="0020752E">
        <w:trPr>
          <w:trHeight w:val="34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06</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Protecția mediului și utilizarea eficientă a resurselor</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73 147,4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38 091,3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15 917,9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52,1 %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21,8 %</w:t>
            </w:r>
          </w:p>
        </w:tc>
      </w:tr>
      <w:tr w:rsidR="00DF3EE5" w:rsidRPr="0020752E">
        <w:trPr>
          <w:trHeight w:val="483"/>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07</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Infrastructuri ale rețelelor de transport și energie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66 372,3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41 368,9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11 548,9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62,3 %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17,4 %</w:t>
            </w:r>
          </w:p>
        </w:tc>
      </w:tr>
      <w:tr w:rsidR="00DF3EE5" w:rsidRPr="0020752E">
        <w:trPr>
          <w:trHeight w:val="35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08</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Locuri de muncă durabile și de calitate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48 788,3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24 764,5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8 210,6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50,8 %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16,8 %</w:t>
            </w:r>
          </w:p>
        </w:tc>
      </w:tr>
      <w:tr w:rsidR="00DF3EE5" w:rsidRPr="0020752E">
        <w:trPr>
          <w:trHeight w:val="28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09</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Incluziune socială</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53 986,2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25 008,9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5 616,2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46,3 %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10,4 %</w:t>
            </w:r>
          </w:p>
        </w:tc>
      </w:tr>
      <w:tr w:rsidR="00DF3EE5" w:rsidRPr="0020752E">
        <w:trPr>
          <w:trHeight w:val="30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10</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Educație și formare profesională</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40 981,3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21 296,0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5 241,9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52,0 %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12,8 %</w:t>
            </w:r>
          </w:p>
        </w:tc>
      </w:tr>
      <w:tr w:rsidR="00DF3EE5" w:rsidRPr="0020752E">
        <w:trPr>
          <w:trHeight w:val="170"/>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11</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Administrație publică eficientă</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6 109,3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2 936,4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351,9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48,1 %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5,8 %</w:t>
            </w:r>
          </w:p>
        </w:tc>
      </w:tr>
      <w:tr w:rsidR="00DF3EE5" w:rsidRPr="0020752E">
        <w:trPr>
          <w:trHeight w:val="424"/>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12</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Regiuni ultraperiferice și zone slab populate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220,5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428,4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225,3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194,2 %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102,2 %</w:t>
            </w:r>
          </w:p>
        </w:tc>
      </w:tr>
      <w:tr w:rsidR="00DF3EE5" w:rsidRPr="0020752E">
        <w:trPr>
          <w:trHeight w:val="182"/>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ind w:right="-134"/>
              <w:jc w:val="left"/>
              <w:rPr>
                <w:sz w:val="20"/>
              </w:rPr>
            </w:pPr>
            <w:r w:rsidRPr="0020752E">
              <w:rPr>
                <w:sz w:val="20"/>
              </w:rPr>
              <w:t>DM</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Măsuri întrerupte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176,3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56,9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0,0 %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32,3 %</w:t>
            </w:r>
          </w:p>
        </w:tc>
      </w:tr>
      <w:tr w:rsidR="00DF3EE5" w:rsidRPr="0020752E">
        <w:trPr>
          <w:trHeight w:val="462"/>
        </w:trPr>
        <w:tc>
          <w:tcPr>
            <w:tcW w:w="303" w:type="pct"/>
            <w:tcBorders>
              <w:top w:val="nil"/>
              <w:left w:val="single" w:sz="4" w:space="0" w:color="auto"/>
              <w:bottom w:val="single" w:sz="4" w:space="0" w:color="auto"/>
              <w:right w:val="nil"/>
            </w:tcBorders>
            <w:shd w:val="clear" w:color="auto" w:fill="auto"/>
            <w:noWrap/>
          </w:tcPr>
          <w:p w:rsidR="00DF3EE5" w:rsidRPr="0020752E" w:rsidRDefault="00DF3EE5">
            <w:pPr>
              <w:spacing w:after="0"/>
              <w:jc w:val="left"/>
              <w:rPr>
                <w:sz w:val="20"/>
              </w:rPr>
            </w:pP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Obiective tematice multiple (FEDR/FC/FSE)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81 042,3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43 357,8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8 161,4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53,5 %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10,1 %</w:t>
            </w:r>
          </w:p>
        </w:tc>
      </w:tr>
      <w:tr w:rsidR="00DF3EE5" w:rsidRPr="0020752E">
        <w:trPr>
          <w:trHeight w:val="141"/>
        </w:trPr>
        <w:tc>
          <w:tcPr>
            <w:tcW w:w="303"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AT</w:t>
            </w:r>
          </w:p>
        </w:tc>
        <w:tc>
          <w:tcPr>
            <w:tcW w:w="1289"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Asistență tehnică</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19 097,8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9 010,2 </w:t>
            </w:r>
          </w:p>
        </w:tc>
        <w:tc>
          <w:tcPr>
            <w:tcW w:w="757" w:type="pct"/>
            <w:tcBorders>
              <w:top w:val="nil"/>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 xml:space="preserve">                     2 791,5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47,2 %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Pr="0020752E" w:rsidRDefault="0060410B">
            <w:pPr>
              <w:spacing w:after="0"/>
              <w:jc w:val="right"/>
              <w:rPr>
                <w:b/>
                <w:bCs/>
                <w:sz w:val="20"/>
              </w:rPr>
            </w:pPr>
            <w:r w:rsidRPr="0020752E">
              <w:rPr>
                <w:color w:val="000000"/>
                <w:sz w:val="20"/>
              </w:rPr>
              <w:t>14,6 %</w:t>
            </w:r>
          </w:p>
        </w:tc>
      </w:tr>
      <w:tr w:rsidR="00DF3EE5" w:rsidRPr="0020752E">
        <w:trPr>
          <w:trHeight w:val="290"/>
        </w:trPr>
        <w:tc>
          <w:tcPr>
            <w:tcW w:w="303" w:type="pct"/>
            <w:tcBorders>
              <w:top w:val="nil"/>
              <w:left w:val="single" w:sz="4" w:space="0" w:color="auto"/>
              <w:bottom w:val="single" w:sz="4" w:space="0" w:color="auto"/>
              <w:right w:val="nil"/>
            </w:tcBorders>
            <w:shd w:val="clear" w:color="000000" w:fill="8DB4E2"/>
            <w:vAlign w:val="center"/>
            <w:hideMark/>
          </w:tcPr>
          <w:p w:rsidR="00DF3EE5" w:rsidRPr="0020752E" w:rsidRDefault="0060410B">
            <w:pPr>
              <w:spacing w:before="120" w:after="120"/>
              <w:jc w:val="left"/>
              <w:rPr>
                <w:b/>
                <w:bCs/>
                <w:sz w:val="20"/>
              </w:rPr>
            </w:pPr>
            <w:r w:rsidRPr="0020752E">
              <w:rPr>
                <w:b/>
                <w:sz w:val="20"/>
              </w:rPr>
              <w:t> </w:t>
            </w:r>
          </w:p>
        </w:tc>
        <w:tc>
          <w:tcPr>
            <w:tcW w:w="1289" w:type="pct"/>
            <w:tcBorders>
              <w:top w:val="nil"/>
              <w:left w:val="nil"/>
              <w:bottom w:val="single" w:sz="4" w:space="0" w:color="auto"/>
              <w:right w:val="single" w:sz="4" w:space="0" w:color="auto"/>
            </w:tcBorders>
            <w:shd w:val="clear" w:color="000000" w:fill="8DB4E2"/>
            <w:vAlign w:val="bottom"/>
            <w:hideMark/>
          </w:tcPr>
          <w:p w:rsidR="00DF3EE5" w:rsidRPr="0020752E" w:rsidRDefault="0060410B">
            <w:pPr>
              <w:spacing w:before="120" w:after="120"/>
              <w:jc w:val="left"/>
              <w:rPr>
                <w:b/>
                <w:bCs/>
                <w:sz w:val="20"/>
              </w:rPr>
            </w:pPr>
            <w:r w:rsidRPr="0020752E">
              <w:rPr>
                <w:b/>
                <w:sz w:val="20"/>
              </w:rPr>
              <w:t>Total general</w:t>
            </w:r>
          </w:p>
        </w:tc>
        <w:tc>
          <w:tcPr>
            <w:tcW w:w="758" w:type="pct"/>
            <w:tcBorders>
              <w:top w:val="nil"/>
              <w:left w:val="single" w:sz="4" w:space="0" w:color="auto"/>
              <w:bottom w:val="single" w:sz="4" w:space="0" w:color="auto"/>
              <w:right w:val="single" w:sz="4" w:space="0" w:color="auto"/>
            </w:tcBorders>
            <w:shd w:val="clear" w:color="auto" w:fill="8DB3E2" w:themeFill="text2" w:themeFillTint="66"/>
            <w:vAlign w:val="bottom"/>
          </w:tcPr>
          <w:p w:rsidR="00DF3EE5" w:rsidRPr="0020752E" w:rsidRDefault="0060410B">
            <w:pPr>
              <w:spacing w:before="120" w:after="120"/>
              <w:jc w:val="right"/>
              <w:rPr>
                <w:b/>
                <w:bCs/>
                <w:sz w:val="20"/>
              </w:rPr>
            </w:pPr>
            <w:r w:rsidRPr="0020752E">
              <w:rPr>
                <w:b/>
                <w:sz w:val="20"/>
              </w:rPr>
              <w:t xml:space="preserve">644 031,6 </w:t>
            </w:r>
          </w:p>
        </w:tc>
        <w:tc>
          <w:tcPr>
            <w:tcW w:w="757" w:type="pct"/>
            <w:tcBorders>
              <w:top w:val="nil"/>
              <w:left w:val="nil"/>
              <w:bottom w:val="single" w:sz="4" w:space="0" w:color="auto"/>
              <w:right w:val="single" w:sz="4" w:space="0" w:color="auto"/>
            </w:tcBorders>
            <w:shd w:val="clear" w:color="auto" w:fill="8DB3E2" w:themeFill="text2" w:themeFillTint="66"/>
            <w:vAlign w:val="bottom"/>
          </w:tcPr>
          <w:p w:rsidR="00DF3EE5" w:rsidRPr="0020752E" w:rsidRDefault="0060410B">
            <w:pPr>
              <w:spacing w:before="120" w:after="120"/>
              <w:jc w:val="center"/>
              <w:rPr>
                <w:b/>
                <w:bCs/>
                <w:sz w:val="20"/>
              </w:rPr>
            </w:pPr>
            <w:r w:rsidRPr="0020752E">
              <w:rPr>
                <w:b/>
                <w:sz w:val="20"/>
              </w:rPr>
              <w:t xml:space="preserve">338 188,2 </w:t>
            </w:r>
          </w:p>
        </w:tc>
        <w:tc>
          <w:tcPr>
            <w:tcW w:w="757" w:type="pct"/>
            <w:tcBorders>
              <w:top w:val="nil"/>
              <w:left w:val="nil"/>
              <w:bottom w:val="single" w:sz="4" w:space="0" w:color="auto"/>
              <w:right w:val="single" w:sz="4" w:space="0" w:color="auto"/>
            </w:tcBorders>
            <w:shd w:val="clear" w:color="auto" w:fill="8DB3E2" w:themeFill="text2" w:themeFillTint="66"/>
            <w:vAlign w:val="bottom"/>
          </w:tcPr>
          <w:p w:rsidR="00DF3EE5" w:rsidRPr="0020752E" w:rsidRDefault="0060410B">
            <w:pPr>
              <w:spacing w:before="120" w:after="120"/>
              <w:jc w:val="right"/>
              <w:rPr>
                <w:b/>
                <w:bCs/>
                <w:sz w:val="20"/>
              </w:rPr>
            </w:pPr>
            <w:r w:rsidRPr="0020752E">
              <w:rPr>
                <w:b/>
                <w:sz w:val="20"/>
              </w:rPr>
              <w:t xml:space="preserve">95 685,3 </w:t>
            </w:r>
          </w:p>
        </w:tc>
        <w:tc>
          <w:tcPr>
            <w:tcW w:w="606" w:type="pct"/>
            <w:tcBorders>
              <w:top w:val="nil"/>
              <w:left w:val="nil"/>
              <w:bottom w:val="single" w:sz="4" w:space="0" w:color="auto"/>
              <w:right w:val="single" w:sz="4" w:space="0" w:color="auto"/>
            </w:tcBorders>
            <w:shd w:val="clear" w:color="auto" w:fill="8DB3E2" w:themeFill="text2" w:themeFillTint="66"/>
            <w:vAlign w:val="bottom"/>
          </w:tcPr>
          <w:p w:rsidR="00DF3EE5" w:rsidRPr="0020752E" w:rsidRDefault="0060410B">
            <w:pPr>
              <w:spacing w:before="120" w:after="120"/>
              <w:jc w:val="right"/>
              <w:rPr>
                <w:b/>
                <w:bCs/>
                <w:sz w:val="20"/>
              </w:rPr>
            </w:pPr>
            <w:r w:rsidRPr="0020752E">
              <w:rPr>
                <w:b/>
                <w:sz w:val="20"/>
              </w:rPr>
              <w:t>52,5 %</w:t>
            </w:r>
          </w:p>
        </w:tc>
        <w:tc>
          <w:tcPr>
            <w:tcW w:w="530" w:type="pct"/>
            <w:tcBorders>
              <w:top w:val="nil"/>
              <w:left w:val="nil"/>
              <w:bottom w:val="single" w:sz="4" w:space="0" w:color="auto"/>
              <w:right w:val="single" w:sz="4" w:space="0" w:color="auto"/>
            </w:tcBorders>
            <w:shd w:val="clear" w:color="auto" w:fill="8DB3E2" w:themeFill="text2" w:themeFillTint="66"/>
            <w:vAlign w:val="bottom"/>
          </w:tcPr>
          <w:p w:rsidR="00DF3EE5" w:rsidRPr="0020752E" w:rsidRDefault="0060410B">
            <w:pPr>
              <w:spacing w:before="120" w:after="120"/>
              <w:jc w:val="right"/>
              <w:rPr>
                <w:b/>
                <w:bCs/>
                <w:sz w:val="20"/>
              </w:rPr>
            </w:pPr>
            <w:r w:rsidRPr="0020752E">
              <w:rPr>
                <w:b/>
                <w:sz w:val="20"/>
              </w:rPr>
              <w:t>14,9 %</w:t>
            </w:r>
          </w:p>
        </w:tc>
      </w:tr>
    </w:tbl>
    <w:p w:rsidR="00DF3EE5" w:rsidRPr="0020752E" w:rsidRDefault="0060410B">
      <w:pPr>
        <w:rPr>
          <w:i/>
          <w:sz w:val="20"/>
        </w:rPr>
      </w:pPr>
      <w:r w:rsidRPr="0020752E">
        <w:rPr>
          <w:i/>
          <w:sz w:val="20"/>
        </w:rPr>
        <w:t xml:space="preserve">Sursă: Comisia Europeană, pe baza datelor raportate de programe, disponibile pe platforma de date deschise privind fondurile ESI </w:t>
      </w:r>
      <w:r w:rsidRPr="0020752E">
        <w:rPr>
          <w:rStyle w:val="Hyperlink"/>
          <w:i/>
          <w:sz w:val="20"/>
        </w:rPr>
        <w:t xml:space="preserve">https://cohesiondata.ec.europa.eu/d/99js-gm52  </w:t>
      </w:r>
    </w:p>
    <w:p w:rsidR="00DF3EE5" w:rsidRPr="0020752E" w:rsidRDefault="0060410B">
      <w:pPr>
        <w:pStyle w:val="Title"/>
        <w:spacing w:before="0" w:after="240"/>
        <w:rPr>
          <w:rFonts w:ascii="Times New Roman" w:hAnsi="Times New Roman"/>
          <w:i/>
          <w:sz w:val="24"/>
          <w:szCs w:val="24"/>
        </w:rPr>
      </w:pPr>
      <w:r w:rsidRPr="0020752E">
        <w:br w:type="page"/>
      </w:r>
      <w:r w:rsidRPr="0020752E">
        <w:rPr>
          <w:rFonts w:ascii="Times New Roman" w:hAnsi="Times New Roman"/>
          <w:i/>
          <w:sz w:val="24"/>
        </w:rPr>
        <w:lastRenderedPageBreak/>
        <w:t>ANEXA 1.2</w:t>
      </w:r>
    </w:p>
    <w:p w:rsidR="00DF3EE5" w:rsidRPr="0020752E" w:rsidRDefault="0060410B">
      <w:pPr>
        <w:pStyle w:val="Title"/>
        <w:spacing w:before="0" w:after="120"/>
      </w:pPr>
      <w:r w:rsidRPr="0020752E">
        <w:rPr>
          <w:rFonts w:ascii="Times New Roman" w:hAnsi="Times New Roman"/>
          <w:sz w:val="24"/>
        </w:rPr>
        <w:t>Execuția financiară cumulativă a fondurilor ESI per obiectiv tematic, raportată în funcție de programe până în toamna anului 2018 (în cost total, cu volumul selecției și cel al cheltuielilor) (date până la 8.11.2018)</w:t>
      </w:r>
    </w:p>
    <w:tbl>
      <w:tblPr>
        <w:tblW w:w="4985" w:type="pct"/>
        <w:tblInd w:w="108" w:type="dxa"/>
        <w:tblLayout w:type="fixed"/>
        <w:tblLook w:val="04A0" w:firstRow="1" w:lastRow="0" w:firstColumn="1" w:lastColumn="0" w:noHBand="0" w:noVBand="1"/>
      </w:tblPr>
      <w:tblGrid>
        <w:gridCol w:w="402"/>
        <w:gridCol w:w="2445"/>
        <w:gridCol w:w="1355"/>
        <w:gridCol w:w="1219"/>
        <w:gridCol w:w="1355"/>
        <w:gridCol w:w="1083"/>
        <w:gridCol w:w="948"/>
      </w:tblGrid>
      <w:tr w:rsidR="00DF3EE5" w:rsidRPr="0020752E">
        <w:trPr>
          <w:trHeight w:val="334"/>
        </w:trPr>
        <w:tc>
          <w:tcPr>
            <w:tcW w:w="228" w:type="pct"/>
            <w:vMerge w:val="restart"/>
            <w:tcBorders>
              <w:top w:val="single" w:sz="4" w:space="0" w:color="auto"/>
              <w:left w:val="single" w:sz="4" w:space="0" w:color="auto"/>
              <w:bottom w:val="single" w:sz="4" w:space="0" w:color="000000"/>
              <w:right w:val="nil"/>
            </w:tcBorders>
            <w:shd w:val="clear" w:color="000000" w:fill="8DB4E2"/>
            <w:vAlign w:val="center"/>
          </w:tcPr>
          <w:p w:rsidR="00DF3EE5" w:rsidRPr="0020752E" w:rsidRDefault="00DF3EE5">
            <w:pPr>
              <w:spacing w:after="0"/>
              <w:jc w:val="center"/>
              <w:rPr>
                <w:b/>
                <w:bCs/>
                <w:sz w:val="20"/>
              </w:rPr>
            </w:pPr>
          </w:p>
        </w:tc>
        <w:tc>
          <w:tcPr>
            <w:tcW w:w="1388" w:type="pct"/>
            <w:vMerge w:val="restart"/>
            <w:tcBorders>
              <w:top w:val="single" w:sz="4" w:space="0" w:color="auto"/>
              <w:left w:val="nil"/>
              <w:bottom w:val="single" w:sz="4" w:space="0" w:color="000000"/>
              <w:right w:val="single" w:sz="4" w:space="0" w:color="auto"/>
            </w:tcBorders>
            <w:shd w:val="clear" w:color="000000" w:fill="8DB4E2"/>
            <w:vAlign w:val="center"/>
            <w:hideMark/>
          </w:tcPr>
          <w:p w:rsidR="00DF3EE5" w:rsidRPr="0020752E" w:rsidRDefault="0060410B">
            <w:pPr>
              <w:spacing w:after="0"/>
              <w:jc w:val="left"/>
              <w:rPr>
                <w:b/>
                <w:bCs/>
                <w:sz w:val="20"/>
              </w:rPr>
            </w:pPr>
            <w:r w:rsidRPr="0020752E">
              <w:rPr>
                <w:b/>
                <w:sz w:val="20"/>
              </w:rPr>
              <w:t>Obiective tematice</w:t>
            </w:r>
          </w:p>
        </w:tc>
        <w:tc>
          <w:tcPr>
            <w:tcW w:w="769"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Cuantumul total programat</w:t>
            </w:r>
          </w:p>
        </w:tc>
        <w:tc>
          <w:tcPr>
            <w:tcW w:w="692"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Costul total eligibil al proiectelor selectate</w:t>
            </w:r>
          </w:p>
        </w:tc>
        <w:tc>
          <w:tcPr>
            <w:tcW w:w="769"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 xml:space="preserve">Cheltuielile totale raportate în funcție de proiectele selectate </w:t>
            </w:r>
          </w:p>
        </w:tc>
        <w:tc>
          <w:tcPr>
            <w:tcW w:w="615"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Rată de selecție</w:t>
            </w:r>
          </w:p>
        </w:tc>
        <w:tc>
          <w:tcPr>
            <w:tcW w:w="538"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Rată de utilizare</w:t>
            </w:r>
          </w:p>
        </w:tc>
      </w:tr>
      <w:tr w:rsidR="00DF3EE5" w:rsidRPr="0020752E">
        <w:trPr>
          <w:trHeight w:val="254"/>
        </w:trPr>
        <w:tc>
          <w:tcPr>
            <w:tcW w:w="228" w:type="pct"/>
            <w:vMerge/>
            <w:tcBorders>
              <w:top w:val="single" w:sz="4" w:space="0" w:color="auto"/>
              <w:left w:val="single" w:sz="4" w:space="0" w:color="auto"/>
              <w:bottom w:val="single" w:sz="4" w:space="0" w:color="000000"/>
              <w:right w:val="nil"/>
            </w:tcBorders>
            <w:vAlign w:val="center"/>
            <w:hideMark/>
          </w:tcPr>
          <w:p w:rsidR="00DF3EE5" w:rsidRPr="0020752E" w:rsidRDefault="00DF3EE5">
            <w:pPr>
              <w:spacing w:after="0"/>
              <w:jc w:val="left"/>
              <w:rPr>
                <w:b/>
                <w:bCs/>
                <w:sz w:val="20"/>
              </w:rPr>
            </w:pPr>
          </w:p>
        </w:tc>
        <w:tc>
          <w:tcPr>
            <w:tcW w:w="1388" w:type="pct"/>
            <w:vMerge/>
            <w:tcBorders>
              <w:top w:val="single" w:sz="4" w:space="0" w:color="auto"/>
              <w:left w:val="nil"/>
              <w:bottom w:val="single" w:sz="4" w:space="0" w:color="000000"/>
              <w:right w:val="single" w:sz="4" w:space="0" w:color="auto"/>
            </w:tcBorders>
            <w:vAlign w:val="center"/>
            <w:hideMark/>
          </w:tcPr>
          <w:p w:rsidR="00DF3EE5" w:rsidRPr="0020752E" w:rsidRDefault="00DF3EE5">
            <w:pPr>
              <w:spacing w:after="0"/>
              <w:jc w:val="left"/>
              <w:rPr>
                <w:b/>
                <w:bCs/>
                <w:sz w:val="20"/>
              </w:rPr>
            </w:pPr>
          </w:p>
        </w:tc>
        <w:tc>
          <w:tcPr>
            <w:tcW w:w="769"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milioane EUR</w:t>
            </w:r>
          </w:p>
        </w:tc>
        <w:tc>
          <w:tcPr>
            <w:tcW w:w="692"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milioane EUR</w:t>
            </w:r>
          </w:p>
        </w:tc>
        <w:tc>
          <w:tcPr>
            <w:tcW w:w="769"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milioane EUR</w:t>
            </w:r>
          </w:p>
        </w:tc>
        <w:tc>
          <w:tcPr>
            <w:tcW w:w="615"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c>
          <w:tcPr>
            <w:tcW w:w="538"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r>
      <w:tr w:rsidR="00DF3EE5" w:rsidRPr="0020752E">
        <w:trPr>
          <w:trHeight w:val="26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01</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Cercetare și inovare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60 251,6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39 600,6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8 413,9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65,7 %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14,0 %</w:t>
            </w:r>
          </w:p>
        </w:tc>
      </w:tr>
      <w:tr w:rsidR="00DF3EE5" w:rsidRPr="0020752E">
        <w:trPr>
          <w:trHeight w:val="36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02</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Tehnologii ale informației și comunicării</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18 055,1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11 162,9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1 502,4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61,8 %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8,3 %</w:t>
            </w:r>
          </w:p>
        </w:tc>
      </w:tr>
      <w:tr w:rsidR="00DF3EE5" w:rsidRPr="0020752E">
        <w:trPr>
          <w:trHeight w:val="192"/>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03</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Competitivitatea IMM-urilor</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86 446,5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52 156,7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22 151,7</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60,3 %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25,6 %</w:t>
            </w:r>
          </w:p>
        </w:tc>
      </w:tr>
      <w:tr w:rsidR="00DF3EE5" w:rsidRPr="0020752E">
        <w:trPr>
          <w:trHeight w:val="168"/>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04</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Economie cu emisii scăzute de dioxid de carbon</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49 771,9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28 027,6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6 162,4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56,3 %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12,4 %</w:t>
            </w:r>
          </w:p>
        </w:tc>
      </w:tr>
      <w:tr w:rsidR="00DF3EE5" w:rsidRPr="0020752E">
        <w:trPr>
          <w:trHeight w:val="31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05</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Adaptare la schimbările climatice și prevenirea riscurilor</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38 617,5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23 045,2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14 883,8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59,7 %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38,5 %</w:t>
            </w:r>
          </w:p>
        </w:tc>
      </w:tr>
      <w:tr w:rsidR="00DF3EE5" w:rsidRPr="0020752E">
        <w:trPr>
          <w:trHeight w:val="34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06</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Protecția mediului și utilizarea eficientă a resurselor</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73 673,9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43 091,8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19 699,2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58,5 %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26,7 %</w:t>
            </w:r>
          </w:p>
        </w:tc>
      </w:tr>
      <w:tr w:rsidR="00DF3EE5" w:rsidRPr="0020752E">
        <w:trPr>
          <w:trHeight w:val="483"/>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07</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Infrastructuri ale rețelelor de transport și energie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66 171,4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49 416,5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16 010,2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74,7 %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24,2 %</w:t>
            </w:r>
          </w:p>
        </w:tc>
      </w:tr>
      <w:tr w:rsidR="00DF3EE5" w:rsidRPr="0020752E">
        <w:trPr>
          <w:trHeight w:val="35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08</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Locuri de muncă durabile și de calitate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49 543,1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30 035,8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11 281,0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60,6 %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22,8 %</w:t>
            </w:r>
          </w:p>
        </w:tc>
      </w:tr>
      <w:tr w:rsidR="00DF3EE5" w:rsidRPr="0020752E">
        <w:trPr>
          <w:trHeight w:val="28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09</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Incluziune socială</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54 105,7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29 971,0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9 512,2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55,4 %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17,6 %</w:t>
            </w:r>
          </w:p>
        </w:tc>
      </w:tr>
      <w:tr w:rsidR="00DF3EE5" w:rsidRPr="0020752E">
        <w:trPr>
          <w:trHeight w:val="30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10</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Educație și formare profesională</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40 662,1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26 549,8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8 464,3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65,3 %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20,8 %</w:t>
            </w:r>
          </w:p>
        </w:tc>
      </w:tr>
      <w:tr w:rsidR="00DF3EE5" w:rsidRPr="0020752E">
        <w:trPr>
          <w:trHeight w:val="170"/>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11</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Administrație publică eficientă</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6 145,7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3 743,2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723,2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60,9 %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11,8 %</w:t>
            </w:r>
          </w:p>
        </w:tc>
      </w:tr>
      <w:tr w:rsidR="00DF3EE5" w:rsidRPr="0020752E">
        <w:trPr>
          <w:trHeight w:val="424"/>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12</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Regiuni ultraperiferice și zone slab populate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220,5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527,8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334,0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239,3 %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151,4 %</w:t>
            </w:r>
          </w:p>
        </w:tc>
      </w:tr>
      <w:tr w:rsidR="00DF3EE5" w:rsidRPr="0020752E">
        <w:trPr>
          <w:trHeight w:val="182"/>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ind w:right="-134"/>
              <w:jc w:val="left"/>
              <w:rPr>
                <w:sz w:val="20"/>
              </w:rPr>
            </w:pPr>
            <w:r w:rsidRPr="0020752E">
              <w:rPr>
                <w:sz w:val="20"/>
              </w:rPr>
              <w:t>DM</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Măsuri întrerupte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172,8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73,2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0,0 %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42,4 %</w:t>
            </w:r>
          </w:p>
        </w:tc>
      </w:tr>
      <w:tr w:rsidR="00DF3EE5" w:rsidRPr="0020752E">
        <w:trPr>
          <w:trHeight w:val="462"/>
        </w:trPr>
        <w:tc>
          <w:tcPr>
            <w:tcW w:w="228" w:type="pct"/>
            <w:tcBorders>
              <w:top w:val="nil"/>
              <w:left w:val="single" w:sz="4" w:space="0" w:color="auto"/>
              <w:bottom w:val="single" w:sz="4" w:space="0" w:color="auto"/>
              <w:right w:val="nil"/>
            </w:tcBorders>
            <w:shd w:val="clear" w:color="auto" w:fill="auto"/>
            <w:noWrap/>
          </w:tcPr>
          <w:p w:rsidR="00DF3EE5" w:rsidRPr="0020752E" w:rsidRDefault="00DF3EE5">
            <w:pPr>
              <w:spacing w:after="0"/>
              <w:jc w:val="left"/>
              <w:rPr>
                <w:sz w:val="20"/>
              </w:rPr>
            </w:pP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Obiective tematice multiple (FEDR/FC/FSE)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83 770,8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56 268,6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14 085,4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67,2 %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16,8 %</w:t>
            </w:r>
          </w:p>
        </w:tc>
      </w:tr>
      <w:tr w:rsidR="00DF3EE5" w:rsidRPr="0020752E">
        <w:trPr>
          <w:trHeight w:val="141"/>
        </w:trPr>
        <w:tc>
          <w:tcPr>
            <w:tcW w:w="228" w:type="pct"/>
            <w:tcBorders>
              <w:top w:val="nil"/>
              <w:left w:val="single" w:sz="4" w:space="0" w:color="auto"/>
              <w:bottom w:val="single" w:sz="4" w:space="0" w:color="auto"/>
              <w:right w:val="nil"/>
            </w:tcBorders>
            <w:shd w:val="clear" w:color="auto" w:fill="auto"/>
            <w:noWrap/>
            <w:hideMark/>
          </w:tcPr>
          <w:p w:rsidR="00DF3EE5" w:rsidRPr="0020752E" w:rsidRDefault="0060410B">
            <w:pPr>
              <w:spacing w:after="0"/>
              <w:jc w:val="left"/>
              <w:rPr>
                <w:sz w:val="20"/>
              </w:rPr>
            </w:pPr>
            <w:r w:rsidRPr="0020752E">
              <w:rPr>
                <w:sz w:val="20"/>
              </w:rPr>
              <w:t>AT</w:t>
            </w:r>
          </w:p>
        </w:tc>
        <w:tc>
          <w:tcPr>
            <w:tcW w:w="1388" w:type="pct"/>
            <w:tcBorders>
              <w:top w:val="nil"/>
              <w:left w:val="nil"/>
              <w:bottom w:val="single" w:sz="4" w:space="0" w:color="auto"/>
              <w:right w:val="single" w:sz="4" w:space="0" w:color="auto"/>
            </w:tcBorders>
            <w:shd w:val="clear" w:color="auto" w:fill="auto"/>
            <w:hideMark/>
          </w:tcPr>
          <w:p w:rsidR="00DF3EE5" w:rsidRPr="0020752E" w:rsidRDefault="0060410B">
            <w:pPr>
              <w:spacing w:after="0"/>
              <w:jc w:val="left"/>
              <w:rPr>
                <w:b/>
                <w:bCs/>
                <w:sz w:val="20"/>
              </w:rPr>
            </w:pPr>
            <w:r w:rsidRPr="0020752E">
              <w:rPr>
                <w:b/>
                <w:sz w:val="20"/>
              </w:rPr>
              <w:t>Asistență tehnică</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19 049,2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11 046,9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4 115,8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58,0 %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Pr="0020752E" w:rsidRDefault="0060410B">
            <w:pPr>
              <w:spacing w:after="0"/>
              <w:jc w:val="right"/>
              <w:rPr>
                <w:b/>
                <w:bCs/>
                <w:sz w:val="20"/>
              </w:rPr>
            </w:pPr>
            <w:r w:rsidRPr="0020752E">
              <w:rPr>
                <w:color w:val="000000"/>
                <w:sz w:val="20"/>
              </w:rPr>
              <w:t>21,6 %</w:t>
            </w:r>
          </w:p>
        </w:tc>
      </w:tr>
      <w:tr w:rsidR="00DF3EE5" w:rsidRPr="0020752E">
        <w:trPr>
          <w:trHeight w:val="290"/>
        </w:trPr>
        <w:tc>
          <w:tcPr>
            <w:tcW w:w="228" w:type="pct"/>
            <w:tcBorders>
              <w:top w:val="nil"/>
              <w:left w:val="single" w:sz="4" w:space="0" w:color="auto"/>
              <w:bottom w:val="single" w:sz="4" w:space="0" w:color="auto"/>
              <w:right w:val="nil"/>
            </w:tcBorders>
            <w:shd w:val="clear" w:color="000000" w:fill="8DB4E2"/>
            <w:vAlign w:val="center"/>
            <w:hideMark/>
          </w:tcPr>
          <w:p w:rsidR="00DF3EE5" w:rsidRPr="0020752E" w:rsidRDefault="0060410B">
            <w:pPr>
              <w:spacing w:before="120" w:after="120"/>
              <w:jc w:val="left"/>
              <w:rPr>
                <w:b/>
                <w:bCs/>
                <w:sz w:val="20"/>
              </w:rPr>
            </w:pPr>
            <w:r w:rsidRPr="0020752E">
              <w:rPr>
                <w:b/>
                <w:sz w:val="20"/>
              </w:rPr>
              <w:t> </w:t>
            </w:r>
          </w:p>
        </w:tc>
        <w:tc>
          <w:tcPr>
            <w:tcW w:w="1388" w:type="pct"/>
            <w:tcBorders>
              <w:top w:val="nil"/>
              <w:left w:val="nil"/>
              <w:bottom w:val="single" w:sz="4" w:space="0" w:color="auto"/>
              <w:right w:val="single" w:sz="4" w:space="0" w:color="auto"/>
            </w:tcBorders>
            <w:shd w:val="clear" w:color="000000" w:fill="8DB4E2"/>
            <w:vAlign w:val="bottom"/>
            <w:hideMark/>
          </w:tcPr>
          <w:p w:rsidR="00DF3EE5" w:rsidRPr="0020752E" w:rsidRDefault="0060410B">
            <w:pPr>
              <w:spacing w:before="120" w:after="120"/>
              <w:jc w:val="left"/>
              <w:rPr>
                <w:b/>
                <w:bCs/>
                <w:sz w:val="20"/>
              </w:rPr>
            </w:pPr>
            <w:r w:rsidRPr="0020752E">
              <w:rPr>
                <w:b/>
                <w:sz w:val="20"/>
              </w:rPr>
              <w:t>Total</w:t>
            </w:r>
          </w:p>
        </w:tc>
        <w:tc>
          <w:tcPr>
            <w:tcW w:w="769" w:type="pct"/>
            <w:tcBorders>
              <w:top w:val="single" w:sz="4" w:space="0" w:color="auto"/>
              <w:left w:val="nil"/>
              <w:bottom w:val="single" w:sz="4" w:space="0" w:color="auto"/>
              <w:right w:val="single" w:sz="4" w:space="0" w:color="auto"/>
            </w:tcBorders>
            <w:shd w:val="clear" w:color="auto" w:fill="95B3D7" w:themeFill="accent1" w:themeFillTint="99"/>
            <w:vAlign w:val="bottom"/>
          </w:tcPr>
          <w:p w:rsidR="00DF3EE5" w:rsidRPr="0020752E" w:rsidRDefault="0060410B">
            <w:pPr>
              <w:spacing w:before="120" w:after="120"/>
              <w:jc w:val="left"/>
              <w:rPr>
                <w:b/>
                <w:bCs/>
                <w:sz w:val="20"/>
              </w:rPr>
            </w:pPr>
            <w:r w:rsidRPr="0020752E">
              <w:rPr>
                <w:b/>
                <w:sz w:val="20"/>
              </w:rPr>
              <w:t>646 657,9</w:t>
            </w:r>
          </w:p>
        </w:tc>
        <w:tc>
          <w:tcPr>
            <w:tcW w:w="69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Pr="0020752E" w:rsidRDefault="0060410B">
            <w:pPr>
              <w:spacing w:before="120" w:after="120"/>
              <w:jc w:val="left"/>
              <w:rPr>
                <w:b/>
                <w:bCs/>
                <w:sz w:val="20"/>
              </w:rPr>
            </w:pPr>
            <w:r w:rsidRPr="0020752E">
              <w:rPr>
                <w:b/>
                <w:sz w:val="20"/>
              </w:rPr>
              <w:t>404 644,6</w:t>
            </w:r>
          </w:p>
        </w:tc>
        <w:tc>
          <w:tcPr>
            <w:tcW w:w="76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Pr="0020752E" w:rsidRDefault="0060410B">
            <w:pPr>
              <w:spacing w:before="120" w:after="120"/>
              <w:jc w:val="left"/>
              <w:rPr>
                <w:b/>
                <w:bCs/>
                <w:sz w:val="20"/>
              </w:rPr>
            </w:pPr>
            <w:r w:rsidRPr="0020752E">
              <w:rPr>
                <w:b/>
                <w:sz w:val="20"/>
              </w:rPr>
              <w:t>137 412,5</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Pr="0020752E" w:rsidRDefault="0060410B">
            <w:pPr>
              <w:spacing w:before="120" w:after="120"/>
              <w:jc w:val="left"/>
              <w:rPr>
                <w:b/>
                <w:bCs/>
                <w:sz w:val="20"/>
              </w:rPr>
            </w:pPr>
            <w:r w:rsidRPr="0020752E">
              <w:rPr>
                <w:b/>
                <w:sz w:val="20"/>
              </w:rPr>
              <w:t>62,6 %</w:t>
            </w:r>
          </w:p>
        </w:tc>
        <w:tc>
          <w:tcPr>
            <w:tcW w:w="53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Pr="0020752E" w:rsidRDefault="0060410B">
            <w:pPr>
              <w:spacing w:before="120" w:after="120"/>
              <w:jc w:val="left"/>
              <w:rPr>
                <w:b/>
                <w:bCs/>
                <w:sz w:val="20"/>
              </w:rPr>
            </w:pPr>
            <w:r w:rsidRPr="0020752E">
              <w:rPr>
                <w:b/>
                <w:sz w:val="20"/>
              </w:rPr>
              <w:t>21,2 %</w:t>
            </w:r>
          </w:p>
        </w:tc>
      </w:tr>
    </w:tbl>
    <w:p w:rsidR="00DF3EE5" w:rsidRPr="0020752E" w:rsidRDefault="0060410B">
      <w:pPr>
        <w:rPr>
          <w:i/>
          <w:sz w:val="20"/>
        </w:rPr>
      </w:pPr>
      <w:r w:rsidRPr="0020752E">
        <w:rPr>
          <w:i/>
          <w:sz w:val="20"/>
        </w:rPr>
        <w:t xml:space="preserve">Sursă: Comisia Europeană, pe baza datelor raportate de programe, disponibile pe platforma de date deschise privind fondurile ESI </w:t>
      </w:r>
      <w:r w:rsidRPr="0020752E">
        <w:rPr>
          <w:rStyle w:val="Hyperlink"/>
          <w:i/>
          <w:sz w:val="20"/>
        </w:rPr>
        <w:t>https://cohesiondata.ec.europa.eu/d/99js-gm52</w:t>
      </w:r>
    </w:p>
    <w:p w:rsidR="00DF3EE5" w:rsidRPr="0020752E" w:rsidRDefault="0060410B">
      <w:pPr>
        <w:pStyle w:val="Title"/>
        <w:spacing w:before="0" w:after="240"/>
        <w:rPr>
          <w:rFonts w:ascii="Times New Roman" w:hAnsi="Times New Roman"/>
          <w:i/>
          <w:sz w:val="24"/>
          <w:szCs w:val="24"/>
        </w:rPr>
      </w:pPr>
      <w:r w:rsidRPr="0020752E">
        <w:br w:type="page"/>
      </w:r>
      <w:r w:rsidRPr="0020752E">
        <w:rPr>
          <w:rFonts w:ascii="Times New Roman" w:hAnsi="Times New Roman"/>
          <w:i/>
          <w:sz w:val="24"/>
        </w:rPr>
        <w:lastRenderedPageBreak/>
        <w:t>ANEXA 2.1</w:t>
      </w:r>
    </w:p>
    <w:p w:rsidR="00DF3EE5" w:rsidRPr="0020752E" w:rsidRDefault="0060410B">
      <w:pPr>
        <w:jc w:val="center"/>
        <w:rPr>
          <w:b/>
        </w:rPr>
      </w:pPr>
      <w:r w:rsidRPr="0020752E">
        <w:rPr>
          <w:b/>
        </w:rPr>
        <w:t>Execuția financiară cumulativă a fondurilor ESI per stat membru, raportată în funcție de program</w:t>
      </w:r>
      <w:bookmarkEnd w:id="1"/>
      <w:r w:rsidRPr="0020752E">
        <w:rPr>
          <w:b/>
        </w:rPr>
        <w:t>e</w:t>
      </w:r>
      <w:bookmarkStart w:id="3" w:name="_Toc463018900"/>
      <w:r w:rsidRPr="0020752E">
        <w:rPr>
          <w:b/>
        </w:rPr>
        <w:t xml:space="preserve"> până la 31 decembrie 201</w:t>
      </w:r>
      <w:bookmarkEnd w:id="3"/>
      <w:r w:rsidRPr="0020752E">
        <w:rPr>
          <w:b/>
        </w:rPr>
        <w:t>7 (în cost total, cu volumul selecției și cel al cheltuielilor)</w:t>
      </w:r>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rsidR="00DF3EE5" w:rsidRPr="0020752E">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left"/>
              <w:rPr>
                <w:b/>
                <w:sz w:val="20"/>
              </w:rPr>
            </w:pPr>
            <w:r w:rsidRPr="0020752E">
              <w:rPr>
                <w:b/>
                <w:sz w:val="20"/>
              </w:rPr>
              <w:t> </w:t>
            </w:r>
          </w:p>
        </w:tc>
        <w:tc>
          <w:tcPr>
            <w:tcW w:w="615" w:type="pc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Cuantumul UE alocat</w:t>
            </w:r>
          </w:p>
        </w:tc>
        <w:tc>
          <w:tcPr>
            <w:tcW w:w="768" w:type="pc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Cuantumul total programat</w:t>
            </w:r>
          </w:p>
        </w:tc>
        <w:tc>
          <w:tcPr>
            <w:tcW w:w="848" w:type="pc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Costul total eligibil al proiectelor selectate</w:t>
            </w:r>
          </w:p>
        </w:tc>
        <w:tc>
          <w:tcPr>
            <w:tcW w:w="845" w:type="pct"/>
            <w:vMerge w:val="restart"/>
            <w:tcBorders>
              <w:top w:val="single" w:sz="4" w:space="0" w:color="auto"/>
              <w:left w:val="single" w:sz="4" w:space="0" w:color="auto"/>
              <w:right w:val="single" w:sz="4" w:space="0" w:color="auto"/>
            </w:tcBorders>
            <w:shd w:val="clear" w:color="000000" w:fill="8DB4E2"/>
            <w:hideMark/>
          </w:tcPr>
          <w:p w:rsidR="00DF3EE5" w:rsidRPr="0020752E" w:rsidRDefault="0060410B">
            <w:pPr>
              <w:spacing w:after="0"/>
              <w:jc w:val="center"/>
              <w:rPr>
                <w:b/>
                <w:bCs/>
                <w:sz w:val="20"/>
              </w:rPr>
            </w:pPr>
            <w:r w:rsidRPr="0020752E">
              <w:rPr>
                <w:b/>
                <w:sz w:val="20"/>
              </w:rPr>
              <w:t xml:space="preserve">Cheltuielile totale raportate în funcție de proiectele selectate </w:t>
            </w:r>
          </w:p>
          <w:p w:rsidR="00DF3EE5" w:rsidRPr="0020752E" w:rsidRDefault="0060410B">
            <w:pPr>
              <w:spacing w:after="0"/>
              <w:jc w:val="center"/>
              <w:rPr>
                <w:b/>
                <w:bCs/>
                <w:sz w:val="20"/>
              </w:rPr>
            </w:pPr>
            <w:r w:rsidRPr="0020752E">
              <w:rPr>
                <w:b/>
                <w:sz w:val="20"/>
              </w:rPr>
              <w:t>Sfârșitul anului 2017</w:t>
            </w:r>
          </w:p>
          <w:p w:rsidR="00DF3EE5" w:rsidRPr="0020752E" w:rsidRDefault="00DF3EE5">
            <w:pPr>
              <w:spacing w:after="0"/>
              <w:jc w:val="center"/>
              <w:rPr>
                <w:b/>
                <w:bCs/>
                <w:sz w:val="20"/>
              </w:rPr>
            </w:pPr>
          </w:p>
          <w:p w:rsidR="00DF3EE5" w:rsidRPr="0020752E" w:rsidRDefault="0060410B">
            <w:pPr>
              <w:spacing w:after="0"/>
              <w:jc w:val="center"/>
              <w:rPr>
                <w:b/>
                <w:bCs/>
                <w:sz w:val="20"/>
              </w:rPr>
            </w:pPr>
            <w:r w:rsidRPr="0020752E">
              <w:rPr>
                <w:b/>
                <w:sz w:val="20"/>
              </w:rPr>
              <w:t>milioane EUR</w:t>
            </w:r>
          </w:p>
        </w:tc>
        <w:tc>
          <w:tcPr>
            <w:tcW w:w="539"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Rata de selecție a proiectelor</w:t>
            </w:r>
          </w:p>
        </w:tc>
        <w:tc>
          <w:tcPr>
            <w:tcW w:w="615"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Rata de utilizare</w:t>
            </w:r>
          </w:p>
        </w:tc>
      </w:tr>
      <w:tr w:rsidR="00DF3EE5" w:rsidRPr="0020752E">
        <w:trPr>
          <w:trHeight w:val="260"/>
        </w:trPr>
        <w:tc>
          <w:tcPr>
            <w:tcW w:w="770" w:type="pct"/>
            <w:vMerge/>
            <w:tcBorders>
              <w:left w:val="single" w:sz="4" w:space="0" w:color="auto"/>
              <w:right w:val="single" w:sz="4" w:space="0" w:color="auto"/>
            </w:tcBorders>
            <w:vAlign w:val="center"/>
            <w:hideMark/>
          </w:tcPr>
          <w:p w:rsidR="00DF3EE5" w:rsidRPr="0020752E" w:rsidRDefault="00DF3EE5">
            <w:pPr>
              <w:spacing w:after="0"/>
              <w:jc w:val="left"/>
              <w:rPr>
                <w:b/>
                <w:sz w:val="20"/>
              </w:rPr>
            </w:pPr>
          </w:p>
        </w:tc>
        <w:tc>
          <w:tcPr>
            <w:tcW w:w="615" w:type="pct"/>
            <w:tcBorders>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2014-2020</w:t>
            </w:r>
          </w:p>
        </w:tc>
        <w:tc>
          <w:tcPr>
            <w:tcW w:w="768" w:type="pct"/>
            <w:tcBorders>
              <w:left w:val="single" w:sz="4" w:space="0" w:color="auto"/>
              <w:right w:val="single" w:sz="4" w:space="0" w:color="auto"/>
            </w:tcBorders>
            <w:shd w:val="clear" w:color="000000" w:fill="8DB4E2"/>
            <w:vAlign w:val="center"/>
          </w:tcPr>
          <w:p w:rsidR="00DF3EE5" w:rsidRPr="0020752E" w:rsidRDefault="0060410B">
            <w:pPr>
              <w:spacing w:after="0"/>
              <w:jc w:val="center"/>
              <w:rPr>
                <w:b/>
                <w:bCs/>
                <w:sz w:val="20"/>
              </w:rPr>
            </w:pPr>
            <w:r w:rsidRPr="0020752E">
              <w:rPr>
                <w:b/>
                <w:sz w:val="20"/>
              </w:rPr>
              <w:t>(UE și național)</w:t>
            </w:r>
          </w:p>
        </w:tc>
        <w:tc>
          <w:tcPr>
            <w:tcW w:w="848" w:type="pct"/>
            <w:tcBorders>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 xml:space="preserve">la sfârșitul anului 2017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rsidR="00DF3EE5" w:rsidRPr="0020752E" w:rsidRDefault="00DF3EE5">
            <w:pPr>
              <w:spacing w:after="0"/>
              <w:jc w:val="left"/>
              <w:rPr>
                <w:b/>
                <w:bCs/>
                <w:sz w:val="20"/>
              </w:rPr>
            </w:pPr>
          </w:p>
        </w:tc>
        <w:tc>
          <w:tcPr>
            <w:tcW w:w="539" w:type="pct"/>
            <w:tcBorders>
              <w:left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c>
          <w:tcPr>
            <w:tcW w:w="615" w:type="pct"/>
            <w:tcBorders>
              <w:left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r>
      <w:tr w:rsidR="00DF3EE5" w:rsidRPr="0020752E">
        <w:trPr>
          <w:trHeight w:val="70"/>
        </w:trPr>
        <w:tc>
          <w:tcPr>
            <w:tcW w:w="770" w:type="pct"/>
            <w:vMerge/>
            <w:tcBorders>
              <w:left w:val="single" w:sz="4" w:space="0" w:color="auto"/>
              <w:bottom w:val="single" w:sz="4" w:space="0" w:color="auto"/>
              <w:right w:val="single" w:sz="4" w:space="0" w:color="auto"/>
            </w:tcBorders>
            <w:vAlign w:val="center"/>
            <w:hideMark/>
          </w:tcPr>
          <w:p w:rsidR="00DF3EE5" w:rsidRPr="0020752E" w:rsidRDefault="00DF3EE5">
            <w:pPr>
              <w:spacing w:after="0"/>
              <w:jc w:val="left"/>
              <w:rPr>
                <w:b/>
                <w:sz w:val="20"/>
              </w:rPr>
            </w:pPr>
          </w:p>
        </w:tc>
        <w:tc>
          <w:tcPr>
            <w:tcW w:w="615" w:type="pct"/>
            <w:tcBorders>
              <w:left w:val="single" w:sz="4" w:space="0" w:color="auto"/>
              <w:bottom w:val="single" w:sz="4" w:space="0" w:color="auto"/>
              <w:right w:val="single" w:sz="4" w:space="0" w:color="auto"/>
            </w:tcBorders>
            <w:shd w:val="clear" w:color="000000" w:fill="8DB4E2"/>
            <w:vAlign w:val="center"/>
          </w:tcPr>
          <w:p w:rsidR="00DF3EE5" w:rsidRPr="0020752E" w:rsidRDefault="0060410B">
            <w:pPr>
              <w:spacing w:after="0"/>
              <w:jc w:val="center"/>
              <w:rPr>
                <w:b/>
                <w:bCs/>
                <w:sz w:val="20"/>
              </w:rPr>
            </w:pPr>
            <w:r w:rsidRPr="0020752E">
              <w:rPr>
                <w:b/>
                <w:sz w:val="20"/>
              </w:rPr>
              <w:t>milioane EUR</w:t>
            </w:r>
          </w:p>
        </w:tc>
        <w:tc>
          <w:tcPr>
            <w:tcW w:w="768" w:type="pct"/>
            <w:tcBorders>
              <w:left w:val="single" w:sz="4" w:space="0" w:color="auto"/>
              <w:bottom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milioane EUR</w:t>
            </w:r>
          </w:p>
        </w:tc>
        <w:tc>
          <w:tcPr>
            <w:tcW w:w="848" w:type="pct"/>
            <w:tcBorders>
              <w:left w:val="single" w:sz="4" w:space="0" w:color="auto"/>
              <w:right w:val="single" w:sz="4" w:space="0" w:color="auto"/>
            </w:tcBorders>
            <w:shd w:val="clear" w:color="000000" w:fill="8DB4E2"/>
            <w:vAlign w:val="center"/>
          </w:tcPr>
          <w:p w:rsidR="00DF3EE5" w:rsidRPr="0020752E" w:rsidRDefault="0060410B">
            <w:pPr>
              <w:spacing w:after="0"/>
              <w:jc w:val="center"/>
              <w:rPr>
                <w:b/>
                <w:sz w:val="20"/>
              </w:rPr>
            </w:pPr>
            <w:r w:rsidRPr="0020752E">
              <w:rPr>
                <w:b/>
                <w:sz w:val="20"/>
              </w:rPr>
              <w:t>milioane EUR</w:t>
            </w:r>
          </w:p>
        </w:tc>
        <w:tc>
          <w:tcPr>
            <w:tcW w:w="845" w:type="pct"/>
            <w:vMerge/>
            <w:tcBorders>
              <w:left w:val="single" w:sz="4" w:space="0" w:color="auto"/>
              <w:right w:val="single" w:sz="4" w:space="0" w:color="auto"/>
            </w:tcBorders>
            <w:vAlign w:val="center"/>
            <w:hideMark/>
          </w:tcPr>
          <w:p w:rsidR="00DF3EE5" w:rsidRPr="0020752E" w:rsidRDefault="00DF3EE5">
            <w:pPr>
              <w:spacing w:after="0"/>
              <w:jc w:val="left"/>
              <w:rPr>
                <w:b/>
                <w:bCs/>
                <w:sz w:val="20"/>
              </w:rPr>
            </w:pPr>
          </w:p>
        </w:tc>
        <w:tc>
          <w:tcPr>
            <w:tcW w:w="539" w:type="pct"/>
            <w:tcBorders>
              <w:left w:val="single" w:sz="4" w:space="0" w:color="auto"/>
              <w:right w:val="single" w:sz="4" w:space="0" w:color="auto"/>
            </w:tcBorders>
            <w:shd w:val="clear" w:color="auto" w:fill="8DB3E2" w:themeFill="text2" w:themeFillTint="66"/>
          </w:tcPr>
          <w:p w:rsidR="00DF3EE5" w:rsidRPr="0020752E" w:rsidRDefault="00DF3EE5">
            <w:pPr>
              <w:spacing w:after="0"/>
              <w:jc w:val="left"/>
              <w:rPr>
                <w:b/>
                <w:bCs/>
                <w:sz w:val="20"/>
              </w:rPr>
            </w:pPr>
          </w:p>
        </w:tc>
        <w:tc>
          <w:tcPr>
            <w:tcW w:w="615" w:type="pct"/>
            <w:tcBorders>
              <w:left w:val="single" w:sz="4" w:space="0" w:color="auto"/>
              <w:right w:val="single" w:sz="4" w:space="0" w:color="auto"/>
            </w:tcBorders>
            <w:shd w:val="clear" w:color="auto" w:fill="8DB3E2" w:themeFill="text2" w:themeFillTint="66"/>
          </w:tcPr>
          <w:p w:rsidR="00DF3EE5" w:rsidRPr="0020752E" w:rsidRDefault="00DF3EE5">
            <w:pPr>
              <w:spacing w:after="0"/>
              <w:jc w:val="left"/>
              <w:rPr>
                <w:b/>
                <w:bCs/>
                <w:sz w:val="20"/>
              </w:rPr>
            </w:pP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Austria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4 922,9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10 649,9</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5 362,3</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3 321,2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31,2 %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Belgia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2 741,7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6 088,8</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4 282,9</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795,9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70,3 %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13,1 %</w:t>
            </w:r>
          </w:p>
        </w:tc>
      </w:tr>
      <w:tr w:rsidR="00DF3EE5" w:rsidRPr="0020752E">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Bulgaria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9 876,1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11 734,0</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6 636,0</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1 696,4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56,6 %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14,5 %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Croația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10 727,4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12 653,7</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5 121,8</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1 090,6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8,6 %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Cipru</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917,3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1 169,6</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507,5</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43,4 %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17,5 %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Cehia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23 865,0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32 379,5</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14 951,7</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3 670,5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46,2 %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11,3 %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Danemarca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1 546,8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2 264,8</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1 283,7</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421,0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18,6 %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Estonia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4 423,5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5 966,2</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3 417,8</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1 102,5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18,5 %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Finlanda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3 765,0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8 435,2</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5 765,5</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3 450,2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40,9 %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Franța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27 273,8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45 704,8</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22 078,7</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8 655,5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48,3 %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18,9 %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Germania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27 935,0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44 754,4</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24 941,7</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9 267,5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20,7 %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Grecia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21 382,0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26 221,0</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12 982,9</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4 566,2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49,5 %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17,4 %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Ungaria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25 013,9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29 649,6</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28 404,1</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3 991,2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95,8 %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13,5 %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Irlanda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3 361,6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6 139,7</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3 843,6</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1 824,2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29,7 %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Italia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44 656,1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75 065,7</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32 679,2</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6 598,1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43,5 %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8,8 %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Letonia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5 633,7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6 908,0</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4 052,8</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1 210,7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58,7 %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17,5 %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Lituania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8 385,9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9 947,2</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4 901,9</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1 976,0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49,3 %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19,9 %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Luxemburg</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140,1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456,4</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240,3</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135,0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29,6 %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Malta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827,9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1 023,9</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516,6</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83,8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8,2 %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Țările de Jos</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1 947,4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3 745,1</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2 413,0</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785,3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64,4 %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21,0 %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Polonia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86 111,6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104 921,4</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57 837,9</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13 739,5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13,1 %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Portugalia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25 856,1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32 654,2</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21 394,0</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7 478,7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22,9 %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România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30 882,6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37 564,3</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14 638,8</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4 370,9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39,0 %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11,6 %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Slovacia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15 287,3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19 559,2</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10 001,2</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2 266,9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51,1 %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11,6 %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Slovenia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3 930,6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4 958,0</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2 464,0</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690,4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49,7 %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13,9 %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Spania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39 835,6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56 218,3</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17 641,8</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5 509,9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31,4 %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9,8 %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Suedia</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3 626,7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7 938,6</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4 802,9</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2 020,1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25,4 %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Interreg</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9 335,4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12 441,6</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7 133,6</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607,8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4,9 %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Regatul Unit</w:t>
            </w:r>
          </w:p>
        </w:tc>
        <w:tc>
          <w:tcPr>
            <w:tcW w:w="615" w:type="pct"/>
            <w:tcBorders>
              <w:top w:val="single" w:sz="4" w:space="0" w:color="auto"/>
              <w:bottom w:val="single" w:sz="4" w:space="0" w:color="auto"/>
            </w:tcBorders>
            <w:noWrap/>
            <w:vAlign w:val="center"/>
          </w:tcPr>
          <w:p w:rsidR="00DF3EE5" w:rsidRPr="0020752E" w:rsidRDefault="0060410B">
            <w:pPr>
              <w:spacing w:after="0"/>
              <w:jc w:val="right"/>
              <w:rPr>
                <w:sz w:val="20"/>
              </w:rPr>
            </w:pPr>
            <w:r w:rsidRPr="0020752E">
              <w:rPr>
                <w:sz w:val="20"/>
              </w:rPr>
              <w:t>16 470,8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26 818,5</w:t>
            </w:r>
          </w:p>
        </w:tc>
        <w:tc>
          <w:tcPr>
            <w:tcW w:w="848"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17 890,0</w:t>
            </w:r>
          </w:p>
        </w:tc>
        <w:tc>
          <w:tcPr>
            <w:tcW w:w="845" w:type="pct"/>
            <w:tcBorders>
              <w:top w:val="nil"/>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4 154,3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15,5 %</w:t>
            </w:r>
          </w:p>
        </w:tc>
      </w:tr>
      <w:tr w:rsidR="00DF3EE5" w:rsidRPr="0020752E">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DF3EE5" w:rsidRPr="0020752E" w:rsidRDefault="0060410B">
            <w:pPr>
              <w:spacing w:before="120" w:after="120"/>
              <w:jc w:val="left"/>
              <w:rPr>
                <w:b/>
                <w:bCs/>
                <w:sz w:val="20"/>
              </w:rPr>
            </w:pPr>
            <w:r w:rsidRPr="0020752E">
              <w:rPr>
                <w:b/>
                <w:sz w:val="20"/>
              </w:rPr>
              <w:t>Total general</w:t>
            </w:r>
          </w:p>
        </w:tc>
        <w:tc>
          <w:tcPr>
            <w:tcW w:w="615" w:type="pct"/>
            <w:tcBorders>
              <w:top w:val="single" w:sz="4" w:space="0" w:color="auto"/>
              <w:bottom w:val="single" w:sz="4" w:space="0" w:color="auto"/>
            </w:tcBorders>
            <w:shd w:val="clear" w:color="auto" w:fill="8DB3E2" w:themeFill="text2" w:themeFillTint="66"/>
            <w:noWrap/>
            <w:vAlign w:val="center"/>
          </w:tcPr>
          <w:p w:rsidR="00DF3EE5" w:rsidRPr="0020752E" w:rsidRDefault="0060410B">
            <w:pPr>
              <w:spacing w:before="120" w:after="120"/>
              <w:jc w:val="right"/>
              <w:rPr>
                <w:b/>
                <w:bCs/>
                <w:sz w:val="20"/>
              </w:rPr>
            </w:pPr>
            <w:r w:rsidRPr="0020752E">
              <w:rPr>
                <w:b/>
                <w:sz w:val="20"/>
              </w:rPr>
              <w:t>460 680,0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DF3EE5" w:rsidRPr="0020752E" w:rsidRDefault="0060410B">
            <w:pPr>
              <w:spacing w:before="120" w:after="120"/>
              <w:jc w:val="right"/>
              <w:rPr>
                <w:b/>
                <w:bCs/>
                <w:sz w:val="20"/>
              </w:rPr>
            </w:pPr>
            <w:r w:rsidRPr="0020752E">
              <w:rPr>
                <w:b/>
                <w:sz w:val="20"/>
              </w:rPr>
              <w:t>644 031,6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DF3EE5" w:rsidRPr="0020752E" w:rsidRDefault="0060410B">
            <w:pPr>
              <w:spacing w:before="120" w:after="120"/>
              <w:jc w:val="right"/>
              <w:rPr>
                <w:b/>
                <w:bCs/>
                <w:sz w:val="20"/>
              </w:rPr>
            </w:pPr>
            <w:r w:rsidRPr="0020752E">
              <w:rPr>
                <w:b/>
                <w:color w:val="000000"/>
                <w:sz w:val="20"/>
              </w:rPr>
              <w:t>338 188,2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DF3EE5" w:rsidRPr="0020752E" w:rsidRDefault="0060410B">
            <w:pPr>
              <w:spacing w:before="120" w:after="120"/>
              <w:jc w:val="right"/>
              <w:rPr>
                <w:b/>
                <w:bCs/>
                <w:sz w:val="20"/>
              </w:rPr>
            </w:pPr>
            <w:r w:rsidRPr="0020752E">
              <w:rPr>
                <w:b/>
                <w:color w:val="000000"/>
                <w:sz w:val="20"/>
              </w:rPr>
              <w:t>95 685,3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rsidR="00DF3EE5" w:rsidRPr="0020752E" w:rsidRDefault="0060410B">
            <w:pPr>
              <w:spacing w:before="120" w:after="120"/>
              <w:jc w:val="right"/>
              <w:rPr>
                <w:b/>
                <w:bCs/>
                <w:sz w:val="20"/>
              </w:rPr>
            </w:pPr>
            <w:r w:rsidRPr="0020752E">
              <w:rPr>
                <w:b/>
                <w:color w:val="000000"/>
                <w:sz w:val="20"/>
              </w:rPr>
              <w:t>52,5 %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rsidR="00DF3EE5" w:rsidRPr="0020752E" w:rsidRDefault="0060410B">
            <w:pPr>
              <w:spacing w:before="120" w:after="120"/>
              <w:jc w:val="right"/>
              <w:rPr>
                <w:b/>
                <w:bCs/>
                <w:sz w:val="20"/>
              </w:rPr>
            </w:pPr>
            <w:r w:rsidRPr="0020752E">
              <w:rPr>
                <w:b/>
                <w:color w:val="000000"/>
                <w:sz w:val="20"/>
              </w:rPr>
              <w:t>14,9 %</w:t>
            </w:r>
          </w:p>
        </w:tc>
      </w:tr>
    </w:tbl>
    <w:p w:rsidR="00DF3EE5" w:rsidRPr="0020752E" w:rsidRDefault="0060410B">
      <w:pPr>
        <w:rPr>
          <w:i/>
          <w:sz w:val="20"/>
        </w:rPr>
      </w:pPr>
      <w:bookmarkStart w:id="4" w:name="_Toc463018901"/>
      <w:r w:rsidRPr="0020752E">
        <w:rPr>
          <w:i/>
          <w:sz w:val="20"/>
        </w:rPr>
        <w:t xml:space="preserve">Sursă: Comisia Europeană, pe baza datelor raportate de programe, disponibile pe platforma de date deschise privind fondurile ESI </w:t>
      </w:r>
      <w:r w:rsidRPr="0020752E">
        <w:rPr>
          <w:rStyle w:val="Hyperlink"/>
          <w:i/>
          <w:sz w:val="20"/>
        </w:rPr>
        <w:t>https://cohesiondata.ec.europa.eu/d/99js-gm52</w:t>
      </w:r>
    </w:p>
    <w:p w:rsidR="00DF3EE5" w:rsidRPr="0020752E" w:rsidRDefault="0060410B">
      <w:pPr>
        <w:pStyle w:val="Title"/>
        <w:spacing w:before="0" w:after="240"/>
        <w:rPr>
          <w:rFonts w:ascii="Times New Roman" w:hAnsi="Times New Roman"/>
          <w:i/>
          <w:sz w:val="24"/>
          <w:szCs w:val="24"/>
        </w:rPr>
      </w:pPr>
      <w:r w:rsidRPr="0020752E">
        <w:br w:type="page"/>
      </w:r>
      <w:r w:rsidRPr="0020752E">
        <w:rPr>
          <w:rFonts w:ascii="Times New Roman" w:hAnsi="Times New Roman"/>
          <w:i/>
          <w:sz w:val="24"/>
        </w:rPr>
        <w:lastRenderedPageBreak/>
        <w:t>ANEXA 2.2</w:t>
      </w:r>
    </w:p>
    <w:p w:rsidR="00DF3EE5" w:rsidRPr="0020752E" w:rsidRDefault="0060410B">
      <w:pPr>
        <w:pStyle w:val="ListParagraph"/>
        <w:spacing w:after="120"/>
        <w:ind w:left="0"/>
        <w:contextualSpacing w:val="0"/>
        <w:jc w:val="center"/>
        <w:outlineLvl w:val="0"/>
        <w:rPr>
          <w:b/>
        </w:rPr>
      </w:pPr>
      <w:r w:rsidRPr="0020752E">
        <w:rPr>
          <w:b/>
        </w:rPr>
        <w:t>Execuția financiară cumulativă a fondurilor ESI per stat membru, raportată în funcție de programe până în toamna anului 2018 (în cost total, cu volumul selecției și cel al cheltuielilor) (date până la 8.11.2018)</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rsidR="00DF3EE5" w:rsidRPr="0020752E">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rsidR="00DF3EE5" w:rsidRPr="0020752E" w:rsidRDefault="0060410B">
            <w:pPr>
              <w:spacing w:after="0"/>
              <w:jc w:val="left"/>
              <w:rPr>
                <w:b/>
                <w:sz w:val="20"/>
              </w:rPr>
            </w:pPr>
            <w:r w:rsidRPr="0020752E">
              <w:rPr>
                <w:b/>
                <w:sz w:val="20"/>
              </w:rPr>
              <w:t> </w:t>
            </w:r>
          </w:p>
        </w:tc>
        <w:tc>
          <w:tcPr>
            <w:tcW w:w="692" w:type="pc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Cuantumul UE alocat</w:t>
            </w:r>
          </w:p>
        </w:tc>
        <w:tc>
          <w:tcPr>
            <w:tcW w:w="693" w:type="pc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Cuantumul total programat</w:t>
            </w:r>
          </w:p>
        </w:tc>
        <w:tc>
          <w:tcPr>
            <w:tcW w:w="846" w:type="pct"/>
            <w:tcBorders>
              <w:top w:val="single" w:sz="4" w:space="0" w:color="auto"/>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Costul total eligibil al proiectelor selectate</w:t>
            </w:r>
          </w:p>
        </w:tc>
        <w:tc>
          <w:tcPr>
            <w:tcW w:w="846" w:type="pct"/>
            <w:vMerge w:val="restart"/>
            <w:tcBorders>
              <w:top w:val="single" w:sz="4" w:space="0" w:color="auto"/>
              <w:left w:val="single" w:sz="4" w:space="0" w:color="auto"/>
              <w:right w:val="single" w:sz="4" w:space="0" w:color="auto"/>
            </w:tcBorders>
            <w:shd w:val="clear" w:color="000000" w:fill="8DB4E2"/>
            <w:hideMark/>
          </w:tcPr>
          <w:p w:rsidR="00DF3EE5" w:rsidRPr="0020752E" w:rsidRDefault="0060410B">
            <w:pPr>
              <w:spacing w:after="0"/>
              <w:jc w:val="center"/>
              <w:rPr>
                <w:b/>
                <w:bCs/>
                <w:sz w:val="20"/>
              </w:rPr>
            </w:pPr>
            <w:r w:rsidRPr="0020752E">
              <w:rPr>
                <w:b/>
                <w:sz w:val="20"/>
              </w:rPr>
              <w:t xml:space="preserve">Cheltuielile totale raportate în funcție de proiectele selectate </w:t>
            </w:r>
          </w:p>
          <w:p w:rsidR="00DF3EE5" w:rsidRPr="0020752E" w:rsidRDefault="0060410B">
            <w:pPr>
              <w:spacing w:after="0"/>
              <w:jc w:val="center"/>
              <w:rPr>
                <w:b/>
                <w:bCs/>
                <w:sz w:val="20"/>
              </w:rPr>
            </w:pPr>
            <w:r w:rsidRPr="0020752E">
              <w:rPr>
                <w:b/>
                <w:sz w:val="20"/>
              </w:rPr>
              <w:t>Toamna anului 2018</w:t>
            </w:r>
          </w:p>
          <w:p w:rsidR="00DF3EE5" w:rsidRPr="0020752E" w:rsidRDefault="00DF3EE5">
            <w:pPr>
              <w:spacing w:after="0"/>
              <w:jc w:val="center"/>
              <w:rPr>
                <w:b/>
                <w:bCs/>
                <w:sz w:val="20"/>
              </w:rPr>
            </w:pPr>
          </w:p>
          <w:p w:rsidR="00DF3EE5" w:rsidRPr="0020752E" w:rsidRDefault="0060410B">
            <w:pPr>
              <w:spacing w:after="0"/>
              <w:jc w:val="center"/>
              <w:rPr>
                <w:b/>
                <w:bCs/>
                <w:sz w:val="20"/>
              </w:rPr>
            </w:pPr>
            <w:r w:rsidRPr="0020752E">
              <w:rPr>
                <w:b/>
                <w:sz w:val="20"/>
              </w:rPr>
              <w:t>milioane EUR</w:t>
            </w:r>
          </w:p>
        </w:tc>
        <w:tc>
          <w:tcPr>
            <w:tcW w:w="539"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Rata de selecție a proiectelor</w:t>
            </w:r>
          </w:p>
        </w:tc>
        <w:tc>
          <w:tcPr>
            <w:tcW w:w="615" w:type="pct"/>
            <w:tcBorders>
              <w:top w:val="single" w:sz="4" w:space="0" w:color="auto"/>
              <w:left w:val="single" w:sz="4" w:space="0" w:color="auto"/>
              <w:right w:val="single" w:sz="4" w:space="0" w:color="auto"/>
            </w:tcBorders>
            <w:shd w:val="clear" w:color="000000" w:fill="8DB4E2"/>
          </w:tcPr>
          <w:p w:rsidR="00DF3EE5" w:rsidRPr="0020752E" w:rsidRDefault="0060410B">
            <w:pPr>
              <w:spacing w:after="0"/>
              <w:jc w:val="center"/>
              <w:rPr>
                <w:b/>
                <w:bCs/>
                <w:sz w:val="20"/>
              </w:rPr>
            </w:pPr>
            <w:r w:rsidRPr="0020752E">
              <w:rPr>
                <w:b/>
                <w:sz w:val="20"/>
              </w:rPr>
              <w:t>Rata de utilizare</w:t>
            </w:r>
          </w:p>
        </w:tc>
      </w:tr>
      <w:tr w:rsidR="00DF3EE5" w:rsidRPr="0020752E">
        <w:trPr>
          <w:trHeight w:val="260"/>
        </w:trPr>
        <w:tc>
          <w:tcPr>
            <w:tcW w:w="769" w:type="pct"/>
            <w:vMerge/>
            <w:tcBorders>
              <w:left w:val="single" w:sz="4" w:space="0" w:color="auto"/>
              <w:right w:val="single" w:sz="4" w:space="0" w:color="auto"/>
            </w:tcBorders>
            <w:vAlign w:val="center"/>
            <w:hideMark/>
          </w:tcPr>
          <w:p w:rsidR="00DF3EE5" w:rsidRPr="0020752E" w:rsidRDefault="00DF3EE5">
            <w:pPr>
              <w:spacing w:after="0"/>
              <w:jc w:val="left"/>
              <w:rPr>
                <w:b/>
                <w:sz w:val="20"/>
              </w:rPr>
            </w:pPr>
          </w:p>
        </w:tc>
        <w:tc>
          <w:tcPr>
            <w:tcW w:w="692" w:type="pct"/>
            <w:tcBorders>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2014-2020</w:t>
            </w:r>
          </w:p>
        </w:tc>
        <w:tc>
          <w:tcPr>
            <w:tcW w:w="693" w:type="pct"/>
            <w:tcBorders>
              <w:left w:val="single" w:sz="4" w:space="0" w:color="auto"/>
              <w:right w:val="single" w:sz="4" w:space="0" w:color="auto"/>
            </w:tcBorders>
            <w:shd w:val="clear" w:color="000000" w:fill="8DB4E2"/>
            <w:vAlign w:val="center"/>
          </w:tcPr>
          <w:p w:rsidR="00DF3EE5" w:rsidRPr="0020752E" w:rsidRDefault="0060410B">
            <w:pPr>
              <w:spacing w:after="0"/>
              <w:jc w:val="center"/>
              <w:rPr>
                <w:b/>
                <w:bCs/>
                <w:sz w:val="20"/>
              </w:rPr>
            </w:pPr>
            <w:r w:rsidRPr="0020752E">
              <w:rPr>
                <w:b/>
                <w:sz w:val="20"/>
              </w:rPr>
              <w:t>(UE și național)</w:t>
            </w:r>
          </w:p>
        </w:tc>
        <w:tc>
          <w:tcPr>
            <w:tcW w:w="846" w:type="pct"/>
            <w:tcBorders>
              <w:left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 xml:space="preserve">Toamna anului 2018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rsidR="00DF3EE5" w:rsidRPr="0020752E" w:rsidRDefault="00DF3EE5">
            <w:pPr>
              <w:spacing w:after="0"/>
              <w:jc w:val="left"/>
              <w:rPr>
                <w:b/>
                <w:bCs/>
                <w:sz w:val="20"/>
              </w:rPr>
            </w:pPr>
          </w:p>
        </w:tc>
        <w:tc>
          <w:tcPr>
            <w:tcW w:w="539" w:type="pct"/>
            <w:tcBorders>
              <w:left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c>
          <w:tcPr>
            <w:tcW w:w="615" w:type="pct"/>
            <w:tcBorders>
              <w:left w:val="single" w:sz="4" w:space="0" w:color="auto"/>
              <w:right w:val="single" w:sz="4" w:space="0" w:color="auto"/>
            </w:tcBorders>
            <w:shd w:val="clear" w:color="auto" w:fill="8DB3E2" w:themeFill="text2" w:themeFillTint="66"/>
          </w:tcPr>
          <w:p w:rsidR="00DF3EE5" w:rsidRPr="0020752E" w:rsidRDefault="0060410B">
            <w:pPr>
              <w:spacing w:after="0"/>
              <w:jc w:val="center"/>
              <w:rPr>
                <w:b/>
                <w:bCs/>
                <w:sz w:val="20"/>
              </w:rPr>
            </w:pPr>
            <w:r w:rsidRPr="0020752E">
              <w:rPr>
                <w:b/>
                <w:sz w:val="20"/>
              </w:rPr>
              <w:t>%</w:t>
            </w:r>
          </w:p>
        </w:tc>
      </w:tr>
      <w:tr w:rsidR="00DF3EE5" w:rsidRPr="0020752E">
        <w:trPr>
          <w:trHeight w:val="70"/>
        </w:trPr>
        <w:tc>
          <w:tcPr>
            <w:tcW w:w="769" w:type="pct"/>
            <w:vMerge/>
            <w:tcBorders>
              <w:left w:val="single" w:sz="4" w:space="0" w:color="auto"/>
              <w:bottom w:val="single" w:sz="4" w:space="0" w:color="auto"/>
              <w:right w:val="single" w:sz="4" w:space="0" w:color="auto"/>
            </w:tcBorders>
            <w:vAlign w:val="center"/>
            <w:hideMark/>
          </w:tcPr>
          <w:p w:rsidR="00DF3EE5" w:rsidRPr="0020752E" w:rsidRDefault="00DF3EE5">
            <w:pPr>
              <w:spacing w:after="0"/>
              <w:jc w:val="left"/>
              <w:rPr>
                <w:b/>
                <w:sz w:val="20"/>
              </w:rPr>
            </w:pPr>
          </w:p>
        </w:tc>
        <w:tc>
          <w:tcPr>
            <w:tcW w:w="692" w:type="pct"/>
            <w:tcBorders>
              <w:left w:val="single" w:sz="4" w:space="0" w:color="auto"/>
              <w:bottom w:val="single" w:sz="4" w:space="0" w:color="auto"/>
              <w:right w:val="single" w:sz="4" w:space="0" w:color="auto"/>
            </w:tcBorders>
            <w:shd w:val="clear" w:color="000000" w:fill="8DB4E2"/>
            <w:vAlign w:val="center"/>
          </w:tcPr>
          <w:p w:rsidR="00DF3EE5" w:rsidRPr="0020752E" w:rsidRDefault="0060410B">
            <w:pPr>
              <w:spacing w:after="0"/>
              <w:jc w:val="center"/>
              <w:rPr>
                <w:b/>
                <w:bCs/>
                <w:sz w:val="20"/>
              </w:rPr>
            </w:pPr>
            <w:r w:rsidRPr="0020752E">
              <w:rPr>
                <w:b/>
                <w:sz w:val="20"/>
              </w:rPr>
              <w:t>milioane EUR</w:t>
            </w:r>
          </w:p>
        </w:tc>
        <w:tc>
          <w:tcPr>
            <w:tcW w:w="693" w:type="pct"/>
            <w:tcBorders>
              <w:left w:val="single" w:sz="4" w:space="0" w:color="auto"/>
              <w:bottom w:val="single" w:sz="4" w:space="0" w:color="auto"/>
              <w:right w:val="single" w:sz="4" w:space="0" w:color="auto"/>
            </w:tcBorders>
            <w:shd w:val="clear" w:color="000000" w:fill="8DB4E2"/>
            <w:vAlign w:val="center"/>
            <w:hideMark/>
          </w:tcPr>
          <w:p w:rsidR="00DF3EE5" w:rsidRPr="0020752E" w:rsidRDefault="0060410B">
            <w:pPr>
              <w:spacing w:after="0"/>
              <w:jc w:val="center"/>
              <w:rPr>
                <w:b/>
                <w:bCs/>
                <w:sz w:val="20"/>
              </w:rPr>
            </w:pPr>
            <w:r w:rsidRPr="0020752E">
              <w:rPr>
                <w:b/>
                <w:sz w:val="20"/>
              </w:rPr>
              <w:t>milioane EUR</w:t>
            </w:r>
          </w:p>
        </w:tc>
        <w:tc>
          <w:tcPr>
            <w:tcW w:w="846" w:type="pct"/>
            <w:tcBorders>
              <w:left w:val="single" w:sz="4" w:space="0" w:color="auto"/>
              <w:bottom w:val="single" w:sz="4" w:space="0" w:color="auto"/>
              <w:right w:val="single" w:sz="4" w:space="0" w:color="auto"/>
            </w:tcBorders>
            <w:shd w:val="clear" w:color="000000" w:fill="8DB4E2"/>
            <w:vAlign w:val="center"/>
          </w:tcPr>
          <w:p w:rsidR="00DF3EE5" w:rsidRPr="0020752E" w:rsidRDefault="0060410B">
            <w:pPr>
              <w:spacing w:after="0"/>
              <w:jc w:val="center"/>
              <w:rPr>
                <w:b/>
                <w:sz w:val="20"/>
              </w:rPr>
            </w:pPr>
            <w:r w:rsidRPr="0020752E">
              <w:rPr>
                <w:b/>
                <w:sz w:val="20"/>
              </w:rPr>
              <w:t>milioane EUR</w:t>
            </w:r>
          </w:p>
        </w:tc>
        <w:tc>
          <w:tcPr>
            <w:tcW w:w="846" w:type="pct"/>
            <w:vMerge/>
            <w:tcBorders>
              <w:left w:val="single" w:sz="4" w:space="0" w:color="auto"/>
              <w:bottom w:val="single" w:sz="4" w:space="0" w:color="auto"/>
              <w:right w:val="single" w:sz="4" w:space="0" w:color="auto"/>
            </w:tcBorders>
            <w:vAlign w:val="center"/>
            <w:hideMark/>
          </w:tcPr>
          <w:p w:rsidR="00DF3EE5" w:rsidRPr="0020752E" w:rsidRDefault="00DF3EE5">
            <w:pPr>
              <w:spacing w:after="0"/>
              <w:jc w:val="left"/>
              <w:rPr>
                <w:b/>
                <w:bCs/>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DF3EE5">
            <w:pPr>
              <w:spacing w:after="0"/>
              <w:jc w:val="left"/>
              <w:rPr>
                <w:b/>
                <w:bCs/>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rsidR="00DF3EE5" w:rsidRPr="0020752E" w:rsidRDefault="00DF3EE5">
            <w:pPr>
              <w:spacing w:after="0"/>
              <w:jc w:val="left"/>
              <w:rPr>
                <w:b/>
                <w:bCs/>
                <w:sz w:val="20"/>
              </w:rPr>
            </w:pPr>
          </w:p>
        </w:tc>
      </w:tr>
      <w:tr w:rsidR="00DF3EE5" w:rsidRPr="0020752E">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Austria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4 922,9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10 649,8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5 877,1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3 902,1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55,2 %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36,6 %</w:t>
            </w:r>
          </w:p>
        </w:tc>
      </w:tr>
      <w:tr w:rsidR="00DF3EE5" w:rsidRPr="0020752E">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Belgia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2 741,7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6 088,8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4.600,0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1 264,7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75,5 %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20,8 %</w:t>
            </w:r>
          </w:p>
        </w:tc>
      </w:tr>
      <w:tr w:rsidR="00DF3EE5" w:rsidRPr="0020752E" w:rsidTr="002900D2">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20752E" w:rsidRDefault="0060410B">
            <w:pPr>
              <w:spacing w:after="0"/>
              <w:jc w:val="left"/>
              <w:rPr>
                <w:sz w:val="20"/>
              </w:rPr>
            </w:pPr>
            <w:r w:rsidRPr="0020752E">
              <w:rPr>
                <w:color w:val="000000"/>
                <w:sz w:val="20"/>
              </w:rPr>
              <w:t>Bulgaria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9 876,1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11 726,4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7 787,0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20752E" w:rsidRDefault="0060410B">
            <w:pPr>
              <w:spacing w:after="0"/>
              <w:jc w:val="right"/>
              <w:rPr>
                <w:sz w:val="20"/>
              </w:rPr>
            </w:pPr>
            <w:r w:rsidRPr="0020752E">
              <w:rPr>
                <w:color w:val="000000"/>
                <w:sz w:val="20"/>
              </w:rPr>
              <w:t>2 585,5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66,4 %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20752E" w:rsidRDefault="0060410B">
            <w:pPr>
              <w:spacing w:after="0"/>
              <w:jc w:val="right"/>
              <w:rPr>
                <w:sz w:val="20"/>
              </w:rPr>
            </w:pPr>
            <w:r w:rsidRPr="0020752E">
              <w:rPr>
                <w:color w:val="000000"/>
                <w:sz w:val="20"/>
              </w:rPr>
              <w:t>22,0 %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Croația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10 727,4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12 649,1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7 277,4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1 753,8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57,5 %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13,9 %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Cipru</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917,3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1 169,7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683,2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265,2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22,7 %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Cehia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23 786,3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33 309,7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19 187,0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6 327,1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57,6 %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19,0 %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Danemarca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1 546,8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2 264,8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1 380,7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539,6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23,8 %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Estonia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4 423,5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5 965,7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3 919,6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1 631,7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27,4 %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Finlanda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3 765,0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8 435,2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6 070,1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3 907,6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46,3 %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Franța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27 277,4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46 088,0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25 764,2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12 114,3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26,3 %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Germania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27 935,0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44 742,6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28 170,5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12 675,1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63,0 %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28,3 %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Grecia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21 382,0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26 662,1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16 087,8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5 216,1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19,6 %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Ungaria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25 013,9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29 649,6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29 948,3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6 274,2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101,0 %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21,2 %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Irlanda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3 361,6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6 139,7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4 264,0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2 174,2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69,4 %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35,4 %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Italia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44 656,1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76 108,9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42 318,4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10 848,5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55,6 %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14,3 %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Letonia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5 633,7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6 907,2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4 872,6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1 677,4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70,5 %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24,3 %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Lituania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8 385,9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9 947,2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6 251,2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2 706,0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62,8 %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27,2 %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Luxemburg</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140,1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456,4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249,3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181,4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54,6 %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39,7 %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Malta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827,9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1 023,9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879,0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145,1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85,9 %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14,2 %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Țările de Jos</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1 947,4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3 802,6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2 754,5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1 088,1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72,4 %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28,6 %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Polonia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86 111,6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104 913,3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68 297,0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21 706,6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20,7 %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Portugalia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25 856,1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32 752,8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25 602,6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9 843,2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78,2 %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30,1 %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România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30 882,6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37 527,5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18 919,2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6 299,6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16,8 %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Slovacia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15 260,4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19 519,9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12 678,1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3 217,6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64,9 %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16,5 %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Slovenia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3 930,6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4 958,0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3 076,0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1 081,0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21,8 %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Spania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39 589,2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55 795,8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24 438,0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7 295,3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43,8 %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13,1 %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Suedia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3 626,7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8 052,7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5 023,8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2 556,0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62,4 %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31,7 %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9 335,4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12 540,0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9 024,9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1 416,3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11,3 %</w:t>
            </w:r>
          </w:p>
        </w:tc>
      </w:tr>
      <w:tr w:rsidR="004D50F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20752E" w:rsidRDefault="004D50F5" w:rsidP="004D50F5">
            <w:pPr>
              <w:spacing w:after="0"/>
              <w:jc w:val="left"/>
              <w:rPr>
                <w:sz w:val="20"/>
              </w:rPr>
            </w:pPr>
            <w:r w:rsidRPr="0020752E">
              <w:rPr>
                <w:color w:val="000000"/>
                <w:sz w:val="20"/>
              </w:rPr>
              <w:t>Regatul Unit</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16 470,8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26 810,6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19 243,1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20752E" w:rsidRDefault="004D50F5" w:rsidP="004D50F5">
            <w:pPr>
              <w:spacing w:after="0"/>
              <w:jc w:val="right"/>
              <w:rPr>
                <w:sz w:val="20"/>
              </w:rPr>
            </w:pPr>
            <w:r w:rsidRPr="0020752E">
              <w:rPr>
                <w:color w:val="000000"/>
                <w:sz w:val="20"/>
              </w:rPr>
              <w:t>6 719,0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71,8 %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20752E" w:rsidRDefault="004D50F5" w:rsidP="004D50F5">
            <w:pPr>
              <w:spacing w:after="0"/>
              <w:jc w:val="right"/>
              <w:rPr>
                <w:sz w:val="20"/>
              </w:rPr>
            </w:pPr>
            <w:r w:rsidRPr="0020752E">
              <w:rPr>
                <w:color w:val="000000"/>
                <w:sz w:val="20"/>
              </w:rPr>
              <w:t>25,1 %</w:t>
            </w:r>
          </w:p>
        </w:tc>
      </w:tr>
      <w:tr w:rsidR="00DF3EE5" w:rsidRPr="0020752E"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DF3EE5" w:rsidRPr="0020752E" w:rsidRDefault="0060410B">
            <w:pPr>
              <w:spacing w:before="120" w:after="120"/>
              <w:jc w:val="left"/>
              <w:rPr>
                <w:b/>
                <w:bCs/>
                <w:sz w:val="20"/>
              </w:rPr>
            </w:pPr>
            <w:r w:rsidRPr="0020752E">
              <w:rPr>
                <w:b/>
                <w:sz w:val="20"/>
              </w:rPr>
              <w:t>Total general</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rsidR="00DF3EE5" w:rsidRPr="0020752E" w:rsidRDefault="0060410B">
            <w:pPr>
              <w:spacing w:before="120" w:after="120"/>
              <w:jc w:val="left"/>
              <w:rPr>
                <w:b/>
                <w:bCs/>
                <w:sz w:val="20"/>
              </w:rPr>
            </w:pPr>
            <w:r w:rsidRPr="0020752E">
              <w:rPr>
                <w:b/>
                <w:sz w:val="20"/>
              </w:rPr>
              <w:t>460 331,4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F3EE5" w:rsidRPr="0020752E" w:rsidRDefault="0060410B">
            <w:pPr>
              <w:spacing w:before="120" w:after="120"/>
              <w:jc w:val="left"/>
              <w:rPr>
                <w:b/>
                <w:bCs/>
                <w:sz w:val="20"/>
              </w:rPr>
            </w:pPr>
            <w:r w:rsidRPr="0020752E">
              <w:rPr>
                <w:b/>
                <w:sz w:val="20"/>
              </w:rPr>
              <w:t>646 657,9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F3EE5" w:rsidRPr="0020752E" w:rsidRDefault="0060410B">
            <w:pPr>
              <w:spacing w:before="120" w:after="120"/>
              <w:jc w:val="left"/>
              <w:rPr>
                <w:b/>
                <w:bCs/>
                <w:sz w:val="20"/>
              </w:rPr>
            </w:pPr>
            <w:r w:rsidRPr="0020752E">
              <w:rPr>
                <w:b/>
                <w:sz w:val="20"/>
              </w:rPr>
              <w:t>404 644,6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F3EE5" w:rsidRPr="0020752E" w:rsidRDefault="0060410B">
            <w:pPr>
              <w:spacing w:before="120" w:after="120"/>
              <w:jc w:val="left"/>
              <w:rPr>
                <w:b/>
                <w:bCs/>
                <w:sz w:val="20"/>
              </w:rPr>
            </w:pPr>
            <w:r w:rsidRPr="0020752E">
              <w:rPr>
                <w:b/>
                <w:sz w:val="20"/>
              </w:rPr>
              <w:t>137 412,5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F3EE5" w:rsidRPr="0020752E" w:rsidRDefault="0060410B" w:rsidP="002900D2">
            <w:pPr>
              <w:spacing w:before="120" w:after="120"/>
              <w:jc w:val="right"/>
              <w:rPr>
                <w:b/>
                <w:bCs/>
                <w:sz w:val="20"/>
              </w:rPr>
            </w:pPr>
            <w:r w:rsidRPr="0020752E">
              <w:rPr>
                <w:b/>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F3EE5" w:rsidRPr="0020752E" w:rsidRDefault="0060410B" w:rsidP="002900D2">
            <w:pPr>
              <w:spacing w:before="120" w:after="120"/>
              <w:jc w:val="right"/>
              <w:rPr>
                <w:b/>
                <w:bCs/>
                <w:sz w:val="20"/>
              </w:rPr>
            </w:pPr>
            <w:r w:rsidRPr="0020752E">
              <w:rPr>
                <w:b/>
                <w:sz w:val="20"/>
              </w:rPr>
              <w:t>21,2 %</w:t>
            </w:r>
          </w:p>
        </w:tc>
      </w:tr>
    </w:tbl>
    <w:p w:rsidR="00DF3EE5" w:rsidRPr="0020752E" w:rsidRDefault="0060410B">
      <w:pPr>
        <w:rPr>
          <w:i/>
          <w:sz w:val="20"/>
        </w:rPr>
      </w:pPr>
      <w:r w:rsidRPr="0020752E">
        <w:rPr>
          <w:i/>
          <w:sz w:val="20"/>
        </w:rPr>
        <w:t xml:space="preserve">Sursă: Comisia Europeană, pe baza datelor raportate de programe, disponibile pe platforma de date deschise privind fondurile ESI </w:t>
      </w:r>
      <w:r w:rsidRPr="0020752E">
        <w:rPr>
          <w:rStyle w:val="Hyperlink"/>
          <w:i/>
          <w:sz w:val="20"/>
        </w:rPr>
        <w:t>https://cohesiondata.ec.europa.eu/d/99js-gm52</w:t>
      </w:r>
    </w:p>
    <w:p w:rsidR="00DF3EE5" w:rsidRPr="0020752E" w:rsidRDefault="0060410B">
      <w:pPr>
        <w:pStyle w:val="Title"/>
        <w:spacing w:before="0" w:after="240"/>
        <w:rPr>
          <w:rFonts w:ascii="Times New Roman" w:hAnsi="Times New Roman"/>
          <w:i/>
          <w:sz w:val="24"/>
          <w:szCs w:val="24"/>
        </w:rPr>
      </w:pPr>
      <w:r w:rsidRPr="0020752E">
        <w:br w:type="page"/>
      </w:r>
      <w:r w:rsidRPr="0020752E">
        <w:rPr>
          <w:rFonts w:ascii="Times New Roman" w:hAnsi="Times New Roman"/>
          <w:i/>
          <w:sz w:val="24"/>
        </w:rPr>
        <w:lastRenderedPageBreak/>
        <w:t>ANEXA 3</w:t>
      </w:r>
    </w:p>
    <w:p w:rsidR="00DF3EE5" w:rsidRPr="0020752E" w:rsidRDefault="0060410B">
      <w:pPr>
        <w:pStyle w:val="ListParagraph"/>
        <w:spacing w:after="0"/>
        <w:ind w:left="0"/>
        <w:contextualSpacing w:val="0"/>
        <w:jc w:val="center"/>
        <w:outlineLvl w:val="0"/>
        <w:rPr>
          <w:b/>
        </w:rPr>
      </w:pPr>
      <w:r w:rsidRPr="0020752E">
        <w:rPr>
          <w:b/>
        </w:rPr>
        <w:t>Fondurile ESI – cuantumurile planificate pentru obiective climatice și ratele de selecție până la sfârșitul anului 2017</w:t>
      </w:r>
    </w:p>
    <w:p w:rsidR="00DF3EE5" w:rsidRPr="0020752E" w:rsidRDefault="00DF3EE5">
      <w:pPr>
        <w:rPr>
          <w:sz w:val="20"/>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rsidR="00DF3EE5" w:rsidRPr="0020752E">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F3EE5" w:rsidRPr="0020752E" w:rsidRDefault="0060410B">
            <w:pPr>
              <w:spacing w:after="0"/>
              <w:jc w:val="center"/>
              <w:rPr>
                <w:b/>
                <w:color w:val="000000"/>
                <w:sz w:val="22"/>
                <w:szCs w:val="22"/>
              </w:rPr>
            </w:pPr>
            <w:r w:rsidRPr="0020752E">
              <w:rPr>
                <w:b/>
                <w:color w:val="000000"/>
                <w:sz w:val="22"/>
              </w:rPr>
              <w:t>Fond</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Totalul cuantumului alocat din partea UE</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Totalul cuantumului planificat din partea UE pentru acțiunile de combatere a schimbărilor climatice</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Total selectat la sfârșitul anului 2017 (estimare a cotei UE)</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Din care cuantum alocat pentru acțiunile de combatere a schimbărilor climatice</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Rata de selecție a acțiunilor climatice din toate operațiunile selectate (2017)</w:t>
            </w:r>
          </w:p>
        </w:tc>
      </w:tr>
      <w:tr w:rsidR="00DF3EE5" w:rsidRPr="0020752E">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after="0"/>
              <w:jc w:val="left"/>
              <w:rPr>
                <w:b/>
                <w:color w:val="000000"/>
                <w:sz w:val="22"/>
                <w:szCs w:val="22"/>
              </w:rPr>
            </w:pPr>
            <w:r w:rsidRPr="0020752E">
              <w:rPr>
                <w:b/>
                <w:color w:val="000000"/>
                <w:sz w:val="22"/>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miliarde EUR</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miliarde EUR</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miliarde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miliarde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DF3EE5" w:rsidRPr="0020752E" w:rsidRDefault="0060410B">
            <w:pPr>
              <w:spacing w:after="0"/>
              <w:jc w:val="center"/>
              <w:rPr>
                <w:b/>
                <w:color w:val="000000"/>
                <w:sz w:val="22"/>
                <w:szCs w:val="22"/>
              </w:rPr>
            </w:pPr>
            <w:r w:rsidRPr="0020752E">
              <w:rPr>
                <w:b/>
                <w:color w:val="000000"/>
                <w:sz w:val="22"/>
              </w:rPr>
              <w:t>%</w:t>
            </w:r>
          </w:p>
        </w:tc>
      </w:tr>
      <w:tr w:rsidR="00DF3EE5" w:rsidRPr="0020752E">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Pr="0020752E" w:rsidRDefault="0060410B">
            <w:pPr>
              <w:spacing w:after="0"/>
              <w:jc w:val="left"/>
              <w:rPr>
                <w:color w:val="000000"/>
                <w:sz w:val="22"/>
                <w:szCs w:val="22"/>
              </w:rPr>
            </w:pPr>
            <w:r w:rsidRPr="0020752E">
              <w:rPr>
                <w:color w:val="000000"/>
                <w:sz w:val="22"/>
              </w:rPr>
              <w:t>FC</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63,3</w:t>
            </w:r>
          </w:p>
        </w:tc>
        <w:tc>
          <w:tcPr>
            <w:tcW w:w="1134"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17,4</w:t>
            </w:r>
          </w:p>
        </w:tc>
        <w:tc>
          <w:tcPr>
            <w:tcW w:w="992"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iCs/>
                <w:color w:val="000000"/>
                <w:sz w:val="22"/>
                <w:szCs w:val="22"/>
              </w:rPr>
            </w:pPr>
            <w:r w:rsidRPr="0020752E">
              <w:rPr>
                <w:sz w:val="22"/>
              </w:rPr>
              <w:t>28 %</w:t>
            </w:r>
          </w:p>
        </w:tc>
        <w:tc>
          <w:tcPr>
            <w:tcW w:w="1559"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40,4</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10,5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sz w:val="22"/>
                <w:szCs w:val="22"/>
              </w:rPr>
            </w:pPr>
            <w:r w:rsidRPr="0020752E">
              <w:rPr>
                <w:sz w:val="22"/>
              </w:rPr>
              <w:t>26 %</w:t>
            </w:r>
          </w:p>
        </w:tc>
      </w:tr>
      <w:tr w:rsidR="00DF3EE5" w:rsidRPr="0020752E">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Pr="0020752E" w:rsidRDefault="0060410B">
            <w:pPr>
              <w:spacing w:after="0"/>
              <w:jc w:val="left"/>
              <w:rPr>
                <w:color w:val="000000"/>
                <w:sz w:val="22"/>
                <w:szCs w:val="22"/>
              </w:rPr>
            </w:pPr>
            <w:r w:rsidRPr="0020752E">
              <w:rPr>
                <w:color w:val="000000"/>
                <w:sz w:val="22"/>
              </w:rPr>
              <w:t>FEADR</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99,8</w:t>
            </w:r>
          </w:p>
        </w:tc>
        <w:tc>
          <w:tcPr>
            <w:tcW w:w="1134"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57,5</w:t>
            </w:r>
          </w:p>
        </w:tc>
        <w:tc>
          <w:tcPr>
            <w:tcW w:w="992"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iCs/>
                <w:color w:val="000000"/>
                <w:sz w:val="22"/>
                <w:szCs w:val="22"/>
              </w:rPr>
            </w:pPr>
            <w:r w:rsidRPr="0020752E">
              <w:rPr>
                <w:sz w:val="22"/>
              </w:rPr>
              <w:t>58 %</w:t>
            </w:r>
          </w:p>
        </w:tc>
        <w:tc>
          <w:tcPr>
            <w:tcW w:w="1559"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50,0</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21,5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sz w:val="22"/>
                <w:szCs w:val="22"/>
              </w:rPr>
            </w:pPr>
            <w:r w:rsidRPr="0020752E">
              <w:rPr>
                <w:sz w:val="22"/>
              </w:rPr>
              <w:t>43 %</w:t>
            </w:r>
          </w:p>
        </w:tc>
      </w:tr>
      <w:tr w:rsidR="00DF3EE5" w:rsidRPr="0020752E">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Pr="0020752E" w:rsidRDefault="0060410B">
            <w:pPr>
              <w:spacing w:after="0"/>
              <w:jc w:val="left"/>
              <w:rPr>
                <w:color w:val="000000"/>
                <w:sz w:val="22"/>
                <w:szCs w:val="22"/>
              </w:rPr>
            </w:pPr>
            <w:r w:rsidRPr="0020752E">
              <w:rPr>
                <w:color w:val="000000"/>
                <w:sz w:val="22"/>
              </w:rPr>
              <w:t>FEPAM</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5,7</w:t>
            </w:r>
          </w:p>
        </w:tc>
        <w:tc>
          <w:tcPr>
            <w:tcW w:w="1134"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1,0</w:t>
            </w:r>
          </w:p>
        </w:tc>
        <w:tc>
          <w:tcPr>
            <w:tcW w:w="992"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iCs/>
                <w:color w:val="000000"/>
                <w:sz w:val="22"/>
                <w:szCs w:val="22"/>
              </w:rPr>
            </w:pPr>
            <w:r w:rsidRPr="0020752E">
              <w:rPr>
                <w:sz w:val="22"/>
              </w:rPr>
              <w:t>18 %</w:t>
            </w:r>
          </w:p>
        </w:tc>
        <w:tc>
          <w:tcPr>
            <w:tcW w:w="1559"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1,3</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0,95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sz w:val="22"/>
                <w:szCs w:val="22"/>
              </w:rPr>
            </w:pPr>
            <w:r w:rsidRPr="0020752E">
              <w:rPr>
                <w:sz w:val="22"/>
              </w:rPr>
              <w:t>72 %</w:t>
            </w:r>
          </w:p>
        </w:tc>
      </w:tr>
      <w:tr w:rsidR="00DF3EE5" w:rsidRPr="0020752E">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Pr="0020752E" w:rsidRDefault="0060410B">
            <w:pPr>
              <w:spacing w:after="0"/>
              <w:jc w:val="left"/>
              <w:rPr>
                <w:color w:val="000000"/>
                <w:sz w:val="22"/>
                <w:szCs w:val="22"/>
              </w:rPr>
            </w:pPr>
            <w:r w:rsidRPr="0020752E">
              <w:rPr>
                <w:color w:val="000000"/>
                <w:sz w:val="22"/>
              </w:rPr>
              <w:t>FEDR</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199,0</w:t>
            </w:r>
          </w:p>
        </w:tc>
        <w:tc>
          <w:tcPr>
            <w:tcW w:w="1134" w:type="dxa"/>
            <w:tcBorders>
              <w:top w:val="nil"/>
              <w:left w:val="nil"/>
              <w:bottom w:val="single" w:sz="4" w:space="0" w:color="auto"/>
              <w:right w:val="single" w:sz="4" w:space="0" w:color="auto"/>
            </w:tcBorders>
            <w:shd w:val="clear" w:color="auto" w:fill="auto"/>
            <w:noWrap/>
            <w:hideMark/>
          </w:tcPr>
          <w:p w:rsidR="00DF3EE5" w:rsidRPr="0020752E" w:rsidRDefault="0060410B">
            <w:pPr>
              <w:tabs>
                <w:tab w:val="center" w:pos="459"/>
                <w:tab w:val="right" w:pos="918"/>
              </w:tabs>
              <w:spacing w:after="0"/>
              <w:jc w:val="right"/>
              <w:rPr>
                <w:color w:val="000000"/>
                <w:sz w:val="22"/>
                <w:szCs w:val="22"/>
              </w:rPr>
            </w:pPr>
            <w:r w:rsidRPr="0020752E">
              <w:rPr>
                <w:color w:val="000000"/>
                <w:sz w:val="22"/>
              </w:rPr>
              <w:t>38,2</w:t>
            </w:r>
          </w:p>
        </w:tc>
        <w:tc>
          <w:tcPr>
            <w:tcW w:w="992"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iCs/>
                <w:color w:val="000000"/>
                <w:sz w:val="22"/>
                <w:szCs w:val="22"/>
              </w:rPr>
            </w:pPr>
            <w:r w:rsidRPr="0020752E">
              <w:rPr>
                <w:sz w:val="22"/>
              </w:rPr>
              <w:t>19 %</w:t>
            </w:r>
          </w:p>
        </w:tc>
        <w:tc>
          <w:tcPr>
            <w:tcW w:w="1559"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105,0</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15,4</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sz w:val="22"/>
                <w:szCs w:val="22"/>
              </w:rPr>
            </w:pPr>
            <w:r w:rsidRPr="0020752E">
              <w:rPr>
                <w:sz w:val="22"/>
              </w:rPr>
              <w:t>15 %</w:t>
            </w:r>
          </w:p>
        </w:tc>
      </w:tr>
      <w:tr w:rsidR="00DF3EE5" w:rsidRPr="0020752E">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Pr="0020752E" w:rsidRDefault="0060410B">
            <w:pPr>
              <w:spacing w:after="0"/>
              <w:jc w:val="left"/>
              <w:rPr>
                <w:color w:val="000000"/>
                <w:sz w:val="22"/>
                <w:szCs w:val="22"/>
              </w:rPr>
            </w:pPr>
            <w:r w:rsidRPr="0020752E">
              <w:rPr>
                <w:color w:val="000000"/>
                <w:sz w:val="22"/>
              </w:rPr>
              <w:t>FSE/YEI</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92,8</w:t>
            </w:r>
          </w:p>
        </w:tc>
        <w:tc>
          <w:tcPr>
            <w:tcW w:w="1134"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1,1</w:t>
            </w:r>
          </w:p>
        </w:tc>
        <w:tc>
          <w:tcPr>
            <w:tcW w:w="992"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iCs/>
                <w:color w:val="000000"/>
                <w:sz w:val="22"/>
                <w:szCs w:val="22"/>
              </w:rPr>
            </w:pPr>
            <w:r w:rsidRPr="0020752E">
              <w:rPr>
                <w:sz w:val="22"/>
              </w:rPr>
              <w:t>1 %</w:t>
            </w:r>
          </w:p>
        </w:tc>
        <w:tc>
          <w:tcPr>
            <w:tcW w:w="1559" w:type="dxa"/>
            <w:tcBorders>
              <w:top w:val="nil"/>
              <w:left w:val="nil"/>
              <w:bottom w:val="single" w:sz="4" w:space="0" w:color="auto"/>
              <w:right w:val="single" w:sz="4" w:space="0" w:color="auto"/>
            </w:tcBorders>
            <w:shd w:val="clear" w:color="auto" w:fill="auto"/>
            <w:noWrap/>
            <w:hideMark/>
          </w:tcPr>
          <w:p w:rsidR="00DF3EE5" w:rsidRPr="0020752E" w:rsidRDefault="0060410B">
            <w:pPr>
              <w:spacing w:after="0"/>
              <w:jc w:val="right"/>
              <w:rPr>
                <w:color w:val="000000"/>
                <w:sz w:val="22"/>
                <w:szCs w:val="22"/>
              </w:rPr>
            </w:pPr>
            <w:r w:rsidRPr="0020752E">
              <w:rPr>
                <w:color w:val="000000"/>
                <w:sz w:val="22"/>
              </w:rPr>
              <w:t>54,5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color w:val="000000"/>
                <w:sz w:val="22"/>
                <w:szCs w:val="22"/>
              </w:rPr>
            </w:pPr>
            <w:r w:rsidRPr="0020752E">
              <w:rPr>
                <w:color w:val="000000"/>
                <w:sz w:val="22"/>
              </w:rPr>
              <w:t>2,9</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Pr="0020752E" w:rsidRDefault="0060410B">
            <w:pPr>
              <w:spacing w:after="0"/>
              <w:jc w:val="right"/>
              <w:rPr>
                <w:sz w:val="22"/>
                <w:szCs w:val="22"/>
              </w:rPr>
            </w:pPr>
            <w:r w:rsidRPr="0020752E">
              <w:rPr>
                <w:sz w:val="22"/>
              </w:rPr>
              <w:t>5 %</w:t>
            </w:r>
          </w:p>
        </w:tc>
      </w:tr>
      <w:tr w:rsidR="00DF3EE5" w:rsidRPr="0020752E">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left"/>
              <w:rPr>
                <w:b/>
                <w:bCs/>
                <w:sz w:val="20"/>
              </w:rPr>
            </w:pPr>
            <w:r w:rsidRPr="0020752E">
              <w:rPr>
                <w:b/>
                <w:sz w:val="20"/>
              </w:rPr>
              <w:t>Total</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right"/>
              <w:rPr>
                <w:b/>
                <w:bCs/>
                <w:sz w:val="20"/>
              </w:rPr>
            </w:pPr>
            <w:r w:rsidRPr="0020752E">
              <w:rPr>
                <w:b/>
                <w:sz w:val="20"/>
              </w:rPr>
              <w:t>460,7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right"/>
              <w:rPr>
                <w:b/>
                <w:bCs/>
                <w:sz w:val="20"/>
              </w:rPr>
            </w:pPr>
            <w:r w:rsidRPr="0020752E">
              <w:rPr>
                <w:b/>
                <w:sz w:val="20"/>
              </w:rPr>
              <w:t>115,3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right"/>
              <w:rPr>
                <w:b/>
                <w:bCs/>
                <w:sz w:val="20"/>
              </w:rPr>
            </w:pPr>
            <w:r w:rsidRPr="0020752E">
              <w:rPr>
                <w:b/>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right"/>
              <w:rPr>
                <w:b/>
                <w:bCs/>
                <w:sz w:val="20"/>
              </w:rPr>
            </w:pPr>
            <w:r w:rsidRPr="0020752E">
              <w:rPr>
                <w:b/>
                <w:sz w:val="20"/>
              </w:rPr>
              <w:t>251,2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right"/>
              <w:rPr>
                <w:b/>
                <w:bCs/>
                <w:sz w:val="20"/>
              </w:rPr>
            </w:pPr>
            <w:r w:rsidRPr="0020752E">
              <w:rPr>
                <w:b/>
                <w:sz w:val="20"/>
              </w:rPr>
              <w:t>51,3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Pr="0020752E" w:rsidRDefault="0060410B">
            <w:pPr>
              <w:spacing w:before="120" w:after="120"/>
              <w:jc w:val="right"/>
              <w:rPr>
                <w:b/>
                <w:bCs/>
                <w:sz w:val="20"/>
              </w:rPr>
            </w:pPr>
            <w:r w:rsidRPr="0020752E">
              <w:rPr>
                <w:b/>
                <w:sz w:val="20"/>
              </w:rPr>
              <w:t>20 %</w:t>
            </w:r>
          </w:p>
        </w:tc>
      </w:tr>
    </w:tbl>
    <w:p w:rsidR="00DF3EE5" w:rsidRPr="0020752E" w:rsidRDefault="0060410B">
      <w:pPr>
        <w:rPr>
          <w:i/>
          <w:sz w:val="20"/>
        </w:rPr>
      </w:pPr>
      <w:r w:rsidRPr="0020752E">
        <w:rPr>
          <w:i/>
          <w:sz w:val="20"/>
        </w:rPr>
        <w:t>Sursă: Comisia Europeană</w:t>
      </w:r>
    </w:p>
    <w:sectPr w:rsidR="00DF3EE5" w:rsidRPr="0020752E">
      <w:headerReference w:type="even" r:id="rId18"/>
      <w:headerReference w:type="default" r:id="rId19"/>
      <w:footerReference w:type="even" r:id="rId20"/>
      <w:footerReference w:type="default" r:id="rId21"/>
      <w:headerReference w:type="first" r:id="rId22"/>
      <w:footerReference w:type="first" r:id="rId23"/>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E5" w:rsidRDefault="0060410B">
      <w:pPr>
        <w:spacing w:after="0"/>
      </w:pPr>
      <w:r>
        <w:separator/>
      </w:r>
    </w:p>
  </w:endnote>
  <w:endnote w:type="continuationSeparator" w:id="0">
    <w:p w:rsidR="00DF3EE5" w:rsidRDefault="0060410B">
      <w:pPr>
        <w:spacing w:after="0"/>
      </w:pPr>
      <w:r>
        <w:continuationSeparator/>
      </w:r>
    </w:p>
  </w:endnote>
  <w:endnote w:type="continuationNotice" w:id="1">
    <w:p w:rsidR="00DF3EE5" w:rsidRDefault="00DF3E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9D" w:rsidRPr="00B8459D" w:rsidRDefault="00B8459D" w:rsidP="00B8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9D" w:rsidRPr="00B8459D" w:rsidRDefault="00B8459D" w:rsidP="00B8459D">
    <w:pPr>
      <w:pStyle w:val="FooterCoverPage"/>
      <w:rPr>
        <w:rFonts w:ascii="Arial" w:hAnsi="Arial" w:cs="Arial"/>
        <w:b/>
        <w:sz w:val="48"/>
      </w:rPr>
    </w:pPr>
    <w:r w:rsidRPr="00B8459D">
      <w:rPr>
        <w:rFonts w:ascii="Arial" w:hAnsi="Arial" w:cs="Arial"/>
        <w:b/>
        <w:sz w:val="48"/>
      </w:rPr>
      <w:t>RO</w:t>
    </w:r>
    <w:r w:rsidRPr="00B8459D">
      <w:rPr>
        <w:rFonts w:ascii="Arial" w:hAnsi="Arial" w:cs="Arial"/>
        <w:b/>
        <w:sz w:val="48"/>
      </w:rPr>
      <w:tab/>
    </w:r>
    <w:r w:rsidRPr="00B8459D">
      <w:rPr>
        <w:rFonts w:ascii="Arial" w:hAnsi="Arial" w:cs="Arial"/>
        <w:b/>
        <w:sz w:val="48"/>
      </w:rPr>
      <w:tab/>
    </w:r>
    <w:r w:rsidRPr="00B8459D">
      <w:tab/>
    </w:r>
    <w:r w:rsidRPr="00B8459D">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9D" w:rsidRPr="00B8459D" w:rsidRDefault="00B8459D" w:rsidP="00B8459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60410B">
    <w:pPr>
      <w:pStyle w:val="Footer"/>
      <w:jc w:val="center"/>
    </w:pPr>
    <w:r>
      <w:fldChar w:fldCharType="begin"/>
    </w:r>
    <w:r>
      <w:instrText>PAGE</w:instrText>
    </w:r>
    <w:r>
      <w:fldChar w:fldCharType="separate"/>
    </w:r>
    <w:r w:rsidR="00B8459D">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2577"/>
      <w:docPartObj>
        <w:docPartGallery w:val="Page Numbers (Bottom of Page)"/>
        <w:docPartUnique/>
      </w:docPartObj>
    </w:sdtPr>
    <w:sdtEndPr>
      <w:rPr>
        <w:noProof/>
      </w:rPr>
    </w:sdtEndPr>
    <w:sdtContent>
      <w:p w:rsidR="00DF3EE5" w:rsidRDefault="0060410B">
        <w:pPr>
          <w:pStyle w:val="Footer"/>
          <w:jc w:val="center"/>
        </w:pPr>
        <w:r>
          <w:fldChar w:fldCharType="begin"/>
        </w:r>
        <w:r>
          <w:instrText xml:space="preserve"> PAGE   \* MERGEFORMAT </w:instrText>
        </w:r>
        <w:r>
          <w:fldChar w:fldCharType="separate"/>
        </w:r>
        <w:r w:rsidR="00B8459D">
          <w:rPr>
            <w:noProof/>
          </w:rPr>
          <w:t>1</w:t>
        </w:r>
        <w:r>
          <w:rPr>
            <w:noProof/>
          </w:rPr>
          <w:fldChar w:fldCharType="end"/>
        </w:r>
      </w:p>
    </w:sdtContent>
  </w:sdt>
  <w:p w:rsidR="00DF3EE5" w:rsidRDefault="00DF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E5" w:rsidRDefault="0060410B">
      <w:pPr>
        <w:spacing w:after="0"/>
      </w:pPr>
      <w:r>
        <w:separator/>
      </w:r>
    </w:p>
  </w:footnote>
  <w:footnote w:type="continuationSeparator" w:id="0">
    <w:p w:rsidR="00DF3EE5" w:rsidRDefault="0060410B">
      <w:pPr>
        <w:spacing w:after="0"/>
      </w:pPr>
      <w:r>
        <w:continuationSeparator/>
      </w:r>
    </w:p>
  </w:footnote>
  <w:footnote w:type="continuationNotice" w:id="1">
    <w:p w:rsidR="00DF3EE5" w:rsidRDefault="00DF3E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9D" w:rsidRPr="00B8459D" w:rsidRDefault="00B8459D" w:rsidP="00B84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9D" w:rsidRPr="00B8459D" w:rsidRDefault="00B8459D" w:rsidP="00B8459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9D" w:rsidRPr="00B8459D" w:rsidRDefault="00B8459D" w:rsidP="00B8459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la"/>
    <w:docVar w:name="LW_ANNEX_NBR_FIRST" w:val="1"/>
    <w:docVar w:name="LW_ANNEX_NBR_LAST" w:val="3"/>
    <w:docVar w:name="LW_ANNEX_UNIQUE" w:val="0"/>
    <w:docVar w:name="LW_CORRIGENDUM" w:val="&lt;UNUSED&gt;"/>
    <w:docVar w:name="LW_COVERPAGE_EXISTS" w:val="True"/>
    <w:docVar w:name="LW_COVERPAGE_GUID" w:val="54C9CE89-4583-484E-A458-DE03B398C003"/>
    <w:docVar w:name="LW_COVERPAGE_TYPE" w:val="1"/>
    <w:docVar w:name="LW_CROSSREFERENCE" w:val="&lt;UNUSED&gt;"/>
    <w:docVar w:name="LW_DocType" w:val="NOT"/>
    <w:docVar w:name="LW_EMISSION" w:val="1.4.2019"/>
    <w:docVar w:name="LW_EMISSION_ISODATE" w:val="2019-04-01"/>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Fonduri structurale \u537?i de investi\u539?ii europene 2014-2020_x000b_Raportul din 2018 de sintetizare a rapoartelor anuale de implementare a programelor _x000b_care vizeaz\u259? implementarea în perioada 2014-2017"/>
    <w:docVar w:name="LW_PART_NBR" w:val="&lt;UNUSED&gt;"/>
    <w:docVar w:name="LW_PART_NBR_TOTAL" w:val="&lt;UNUSED&gt;"/>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E_x000b_"/>
    <w:docVar w:name="LW_TYPEACTEPRINCIPAL.CP" w:val="RAPORTUL COMISIEI C\u258?TRE PARLAMENTUL EUROPEAN, CONSILIU, COMITETUL ECONOMIC \u536?I SOCIAL EUROPEAN \u536?I COMITETUL REGIUNILOR"/>
  </w:docVars>
  <w:rsids>
    <w:rsidRoot w:val="00DF3EE5"/>
    <w:rsid w:val="0020752E"/>
    <w:rsid w:val="002900D2"/>
    <w:rsid w:val="003232DD"/>
    <w:rsid w:val="004D50F5"/>
    <w:rsid w:val="0060410B"/>
    <w:rsid w:val="00874E13"/>
    <w:rsid w:val="00A732E3"/>
    <w:rsid w:val="00B8459D"/>
    <w:rsid w:val="00BB389E"/>
    <w:rsid w:val="00DF3EE5"/>
    <w:rsid w:val="00F3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A541662-AD94-43C6-8422-09DEE753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ro-RO"/>
    </w:rPr>
  </w:style>
  <w:style w:type="character" w:customStyle="1" w:styleId="DateChar">
    <w:name w:val="Date Char"/>
    <w:link w:val="Date"/>
    <w:uiPriority w:val="99"/>
    <w:rPr>
      <w:sz w:val="24"/>
      <w:lang w:eastAsia="ro-RO"/>
    </w:rPr>
  </w:style>
  <w:style w:type="character" w:customStyle="1" w:styleId="SignatureChar">
    <w:name w:val="Signature Char"/>
    <w:link w:val="Signature"/>
    <w:uiPriority w:val="99"/>
    <w:rPr>
      <w:sz w:val="24"/>
      <w:lang w:eastAsia="ro-RO"/>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ro-RO"/>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ro-RO"/>
    </w:rPr>
  </w:style>
  <w:style w:type="character" w:customStyle="1" w:styleId="CommentSubjectChar">
    <w:name w:val="Comment Subject Char"/>
    <w:link w:val="CommentSubject"/>
    <w:uiPriority w:val="99"/>
    <w:semiHidden/>
    <w:rPr>
      <w:b/>
      <w:bCs/>
      <w:lang w:eastAsia="ro-RO"/>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ro-RO"/>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ro-RO"/>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4.5</Version>
    <Date>2018-09-10T09:03:48</Date>
    <Language>EN</Language>
  </Created>
  <Edited>
    <Version>10.0.37613.0</Version>
    <Date>2019-01-15T15:33:08</Date>
  </Edited>
  <DocumentModel>
    <Id>0b054141-88b1-4efb-8c91-2905cb0bed6c</Id>
    <Name>Note</Name>
  </DocumentModel>
  <DocumentDate/>
  <DocumentVersion/>
  <CompatibilityMode>Eurolook4x</CompatibilityMode>
  <Address/>
</EurolookProperties>
</file>

<file path=customXml/item3.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A1EA-6ED9-4F36-842C-55C6CBFB857B}">
  <ds:schemaRefs/>
</ds:datastoreItem>
</file>

<file path=customXml/itemProps2.xml><?xml version="1.0" encoding="utf-8"?>
<ds:datastoreItem xmlns:ds="http://schemas.openxmlformats.org/officeDocument/2006/customXml" ds:itemID="{8A11F063-8246-4FF1-B7DF-B4CC6A242F21}">
  <ds:schemaRefs/>
</ds:datastoreItem>
</file>

<file path=customXml/itemProps3.xml><?xml version="1.0" encoding="utf-8"?>
<ds:datastoreItem xmlns:ds="http://schemas.openxmlformats.org/officeDocument/2006/customXml" ds:itemID="{0A06F639-654D-4C65-97FC-85BDAC2CD0B6}">
  <ds:schemaRefs/>
</ds:datastoreItem>
</file>

<file path=customXml/itemProps4.xml><?xml version="1.0" encoding="utf-8"?>
<ds:datastoreItem xmlns:ds="http://schemas.openxmlformats.org/officeDocument/2006/customXml" ds:itemID="{E3D84468-9D9C-4DF9-86BF-DE33ED0C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6</Pages>
  <Words>1400</Words>
  <Characters>8953</Characters>
  <Application>Microsoft Office Word</Application>
  <DocSecurity>0</DocSecurity>
  <PresentationFormat>Microsoft Word 14.0</PresentationFormat>
  <Lines>497</Lines>
  <Paragraphs>240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10113</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Fesus</dc:creator>
  <cp:keywords>EL4</cp:keywords>
  <cp:lastModifiedBy>KUDRYK Katarzyna (SG)</cp:lastModifiedBy>
  <cp:revision>7</cp:revision>
  <cp:lastPrinted>2018-11-16T14:45:00Z</cp:lastPrinted>
  <dcterms:created xsi:type="dcterms:W3CDTF">2019-02-22T16:19:00Z</dcterms:created>
  <dcterms:modified xsi:type="dcterms:W3CDTF">2019-04-01T13:22:00Z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