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6F44E22A-E9A3-40EB-9936-78D0FF05C3F4" style="width:450.75pt;height:37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Satura rādītājs</w:t>
          </w:r>
        </w:p>
        <w:p>
          <w:pPr>
            <w:pStyle w:val="TOC1"/>
            <w:rPr>
              <w:rFonts w:asciiTheme="minorHAnsi" w:eastAsiaTheme="minorEastAsia" w:hAnsiTheme="minorHAnsi" w:cstheme="minorBidi"/>
              <w:caps w:val="0"/>
              <w:noProof/>
              <w:sz w:val="22"/>
              <w:szCs w:val="22"/>
              <w:lang w:val="en-US" w:eastAsia="en-US" w:bidi="ar-SA"/>
            </w:rPr>
          </w:pPr>
          <w:r>
            <w:rPr>
              <w:noProof/>
            </w:rPr>
            <w:fldChar w:fldCharType="begin"/>
          </w:r>
          <w:r>
            <w:rPr>
              <w:noProof/>
            </w:rPr>
            <w:instrText xml:space="preserve"> TOC \o "1-3" \h \z \u </w:instrText>
          </w:r>
          <w:r>
            <w:rPr>
              <w:noProof/>
            </w:rPr>
            <w:fldChar w:fldCharType="separate"/>
          </w:r>
          <w:hyperlink w:anchor="_Toc765035" w:history="1">
            <w:r>
              <w:rPr>
                <w:rStyle w:val="Hyperlink"/>
                <w:noProof/>
              </w:rPr>
              <w:t>Kopsavilkums</w:t>
            </w:r>
            <w:r>
              <w:rPr>
                <w:noProof/>
                <w:webHidden/>
              </w:rPr>
              <w:tab/>
            </w:r>
            <w:r>
              <w:rPr>
                <w:noProof/>
                <w:webHidden/>
              </w:rPr>
              <w:fldChar w:fldCharType="begin"/>
            </w:r>
            <w:r>
              <w:rPr>
                <w:noProof/>
                <w:webHidden/>
              </w:rPr>
              <w:instrText xml:space="preserve"> PAGEREF _Toc765035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bidi="ar-SA"/>
            </w:rPr>
          </w:pPr>
          <w:hyperlink w:anchor="_Toc765036" w:history="1">
            <w:r>
              <w:rPr>
                <w:rStyle w:val="Hyperlink"/>
                <w:noProof/>
              </w:rPr>
              <w:t>1.</w:t>
            </w:r>
            <w:r>
              <w:rPr>
                <w:rFonts w:asciiTheme="minorHAnsi" w:eastAsiaTheme="minorEastAsia" w:hAnsiTheme="minorHAnsi" w:cstheme="minorBidi"/>
                <w:caps w:val="0"/>
                <w:noProof/>
                <w:sz w:val="22"/>
                <w:szCs w:val="22"/>
                <w:lang w:val="en-US" w:eastAsia="en-US" w:bidi="ar-SA"/>
              </w:rPr>
              <w:tab/>
            </w:r>
            <w:r>
              <w:rPr>
                <w:rStyle w:val="Hyperlink"/>
                <w:noProof/>
              </w:rPr>
              <w:t>Ievads</w:t>
            </w:r>
            <w:r>
              <w:rPr>
                <w:noProof/>
                <w:webHidden/>
              </w:rPr>
              <w:tab/>
            </w:r>
            <w:r>
              <w:rPr>
                <w:noProof/>
                <w:webHidden/>
              </w:rPr>
              <w:fldChar w:fldCharType="begin"/>
            </w:r>
            <w:r>
              <w:rPr>
                <w:noProof/>
                <w:webHidden/>
              </w:rPr>
              <w:instrText xml:space="preserve"> PAGEREF _Toc765036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37" w:history="1">
            <w:r>
              <w:rPr>
                <w:rStyle w:val="Hyperlink"/>
                <w:noProof/>
              </w:rPr>
              <w:t>1.1.</w:t>
            </w:r>
            <w:r>
              <w:rPr>
                <w:rFonts w:asciiTheme="minorHAnsi" w:eastAsiaTheme="minorEastAsia" w:hAnsiTheme="minorHAnsi" w:cstheme="minorBidi"/>
                <w:noProof/>
                <w:sz w:val="22"/>
                <w:szCs w:val="22"/>
                <w:lang w:val="en-US" w:eastAsia="en-US" w:bidi="ar-SA"/>
              </w:rPr>
              <w:tab/>
            </w:r>
            <w:r>
              <w:rPr>
                <w:rStyle w:val="Hyperlink"/>
                <w:noProof/>
              </w:rPr>
              <w:t xml:space="preserve">Kas ir </w:t>
            </w:r>
            <w:r>
              <w:rPr>
                <w:rStyle w:val="Hyperlink"/>
                <w:i/>
                <w:noProof/>
              </w:rPr>
              <w:t>EURES</w:t>
            </w:r>
            <w:r>
              <w:rPr>
                <w:rStyle w:val="Hyperlink"/>
                <w:noProof/>
              </w:rPr>
              <w:t>?</w:t>
            </w:r>
            <w:r>
              <w:rPr>
                <w:noProof/>
                <w:webHidden/>
              </w:rPr>
              <w:tab/>
            </w:r>
            <w:r>
              <w:rPr>
                <w:noProof/>
                <w:webHidden/>
              </w:rPr>
              <w:fldChar w:fldCharType="begin"/>
            </w:r>
            <w:r>
              <w:rPr>
                <w:noProof/>
                <w:webHidden/>
              </w:rPr>
              <w:instrText xml:space="preserve"> PAGEREF _Toc765037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38" w:history="1">
            <w:r>
              <w:rPr>
                <w:rStyle w:val="Hyperlink"/>
                <w:noProof/>
              </w:rPr>
              <w:t>1.1.1.</w:t>
            </w:r>
            <w:r>
              <w:rPr>
                <w:rFonts w:asciiTheme="minorHAnsi" w:eastAsiaTheme="minorEastAsia" w:hAnsiTheme="minorHAnsi" w:cstheme="minorBidi"/>
                <w:noProof/>
                <w:sz w:val="22"/>
                <w:szCs w:val="22"/>
                <w:lang w:val="en-US" w:eastAsia="en-US" w:bidi="ar-SA"/>
              </w:rPr>
              <w:tab/>
            </w:r>
            <w:r>
              <w:rPr>
                <w:rStyle w:val="Hyperlink"/>
                <w:noProof/>
              </w:rPr>
              <w:t>EURES pakalpojumi darba meklētājiem un darba devējiem</w:t>
            </w:r>
            <w:r>
              <w:rPr>
                <w:noProof/>
                <w:webHidden/>
              </w:rPr>
              <w:tab/>
            </w:r>
            <w:r>
              <w:rPr>
                <w:noProof/>
                <w:webHidden/>
              </w:rPr>
              <w:fldChar w:fldCharType="begin"/>
            </w:r>
            <w:r>
              <w:rPr>
                <w:noProof/>
                <w:webHidden/>
              </w:rPr>
              <w:instrText xml:space="preserve"> PAGEREF _Toc765038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39" w:history="1">
            <w:r>
              <w:rPr>
                <w:rStyle w:val="Hyperlink"/>
                <w:noProof/>
              </w:rPr>
              <w:t>1.1.2.</w:t>
            </w:r>
            <w:r>
              <w:rPr>
                <w:rFonts w:asciiTheme="minorHAnsi" w:eastAsiaTheme="minorEastAsia" w:hAnsiTheme="minorHAnsi" w:cstheme="minorBidi"/>
                <w:noProof/>
                <w:sz w:val="22"/>
                <w:szCs w:val="22"/>
                <w:lang w:val="en-US" w:eastAsia="en-US" w:bidi="ar-SA"/>
              </w:rPr>
              <w:tab/>
            </w:r>
            <w:r>
              <w:rPr>
                <w:rStyle w:val="Hyperlink"/>
                <w:noProof/>
              </w:rPr>
              <w:t>Divi pīlāri: EURES darbvietu mobilitātes portāls un cilvēku tīkls</w:t>
            </w:r>
            <w:r>
              <w:rPr>
                <w:noProof/>
                <w:webHidden/>
              </w:rPr>
              <w:tab/>
            </w:r>
            <w:r>
              <w:rPr>
                <w:noProof/>
                <w:webHidden/>
              </w:rPr>
              <w:fldChar w:fldCharType="begin"/>
            </w:r>
            <w:r>
              <w:rPr>
                <w:noProof/>
                <w:webHidden/>
              </w:rPr>
              <w:instrText xml:space="preserve"> PAGEREF _Toc765039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0" w:history="1">
            <w:r>
              <w:rPr>
                <w:rStyle w:val="Hyperlink"/>
                <w:noProof/>
              </w:rPr>
              <w:t>1.1.3.</w:t>
            </w:r>
            <w:r>
              <w:rPr>
                <w:rFonts w:asciiTheme="minorHAnsi" w:eastAsiaTheme="minorEastAsia" w:hAnsiTheme="minorHAnsi" w:cstheme="minorBidi"/>
                <w:noProof/>
                <w:sz w:val="22"/>
                <w:szCs w:val="22"/>
                <w:lang w:val="en-US" w:eastAsia="en-US" w:bidi="ar-SA"/>
              </w:rPr>
              <w:tab/>
            </w:r>
            <w:r>
              <w:rPr>
                <w:rStyle w:val="Hyperlink"/>
                <w:noProof/>
              </w:rPr>
              <w:t>EURES tīkla organizēšana</w:t>
            </w:r>
            <w:r>
              <w:rPr>
                <w:noProof/>
                <w:webHidden/>
              </w:rPr>
              <w:tab/>
            </w:r>
            <w:r>
              <w:rPr>
                <w:noProof/>
                <w:webHidden/>
              </w:rPr>
              <w:fldChar w:fldCharType="begin"/>
            </w:r>
            <w:r>
              <w:rPr>
                <w:noProof/>
                <w:webHidden/>
              </w:rPr>
              <w:instrText xml:space="preserve"> PAGEREF _Toc765040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41" w:history="1">
            <w:r>
              <w:rPr>
                <w:rStyle w:val="Hyperlink"/>
                <w:noProof/>
              </w:rPr>
              <w:t>1.2.</w:t>
            </w:r>
            <w:r>
              <w:rPr>
                <w:rFonts w:asciiTheme="minorHAnsi" w:eastAsiaTheme="minorEastAsia" w:hAnsiTheme="minorHAnsi" w:cstheme="minorBidi"/>
                <w:noProof/>
                <w:sz w:val="22"/>
                <w:szCs w:val="22"/>
                <w:lang w:val="en-US" w:eastAsia="en-US" w:bidi="ar-SA"/>
              </w:rPr>
              <w:tab/>
            </w:r>
            <w:r>
              <w:rPr>
                <w:rStyle w:val="Hyperlink"/>
                <w:noProof/>
              </w:rPr>
              <w:t>2016. gada regula</w:t>
            </w:r>
            <w:r>
              <w:rPr>
                <w:noProof/>
                <w:webHidden/>
              </w:rPr>
              <w:tab/>
            </w:r>
            <w:r>
              <w:rPr>
                <w:noProof/>
                <w:webHidden/>
              </w:rPr>
              <w:fldChar w:fldCharType="begin"/>
            </w:r>
            <w:r>
              <w:rPr>
                <w:noProof/>
                <w:webHidden/>
              </w:rPr>
              <w:instrText xml:space="preserve"> PAGEREF _Toc765041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2" w:history="1">
            <w:r>
              <w:rPr>
                <w:rStyle w:val="Hyperlink"/>
                <w:noProof/>
              </w:rPr>
              <w:t>1.2.1.</w:t>
            </w:r>
            <w:r>
              <w:rPr>
                <w:rFonts w:asciiTheme="minorHAnsi" w:eastAsiaTheme="minorEastAsia" w:hAnsiTheme="minorHAnsi" w:cstheme="minorBidi"/>
                <w:noProof/>
                <w:sz w:val="22"/>
                <w:szCs w:val="22"/>
                <w:lang w:val="en-US" w:eastAsia="en-US" w:bidi="ar-SA"/>
              </w:rPr>
              <w:tab/>
            </w:r>
            <w:r>
              <w:rPr>
                <w:rStyle w:val="Hyperlink"/>
                <w:noProof/>
              </w:rPr>
              <w:t>Kāpēc bija vajadzīga regulējuma reforma?</w:t>
            </w:r>
            <w:r>
              <w:rPr>
                <w:noProof/>
                <w:webHidden/>
              </w:rPr>
              <w:tab/>
            </w:r>
            <w:r>
              <w:rPr>
                <w:noProof/>
                <w:webHidden/>
              </w:rPr>
              <w:fldChar w:fldCharType="begin"/>
            </w:r>
            <w:r>
              <w:rPr>
                <w:noProof/>
                <w:webHidden/>
              </w:rPr>
              <w:instrText xml:space="preserve"> PAGEREF _Toc765042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3" w:history="1">
            <w:r>
              <w:rPr>
                <w:rStyle w:val="Hyperlink"/>
                <w:noProof/>
              </w:rPr>
              <w:t>1.2.2.</w:t>
            </w:r>
            <w:r>
              <w:rPr>
                <w:rFonts w:asciiTheme="minorHAnsi" w:eastAsiaTheme="minorEastAsia" w:hAnsiTheme="minorHAnsi" w:cstheme="minorBidi"/>
                <w:noProof/>
                <w:sz w:val="22"/>
                <w:szCs w:val="22"/>
                <w:lang w:val="en-US" w:eastAsia="en-US" w:bidi="ar-SA"/>
              </w:rPr>
              <w:tab/>
            </w:r>
            <w:r>
              <w:rPr>
                <w:rStyle w:val="Hyperlink"/>
                <w:noProof/>
              </w:rPr>
              <w:t>Reformas galvenie elementi un grafiks</w:t>
            </w:r>
            <w:r>
              <w:rPr>
                <w:noProof/>
                <w:webHidden/>
              </w:rPr>
              <w:tab/>
            </w:r>
            <w:r>
              <w:rPr>
                <w:noProof/>
                <w:webHidden/>
              </w:rPr>
              <w:fldChar w:fldCharType="begin"/>
            </w:r>
            <w:r>
              <w:rPr>
                <w:noProof/>
                <w:webHidden/>
              </w:rPr>
              <w:instrText xml:space="preserve"> PAGEREF _Toc765043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bidi="ar-SA"/>
            </w:rPr>
          </w:pPr>
          <w:hyperlink w:anchor="_Toc765044" w:history="1">
            <w:r>
              <w:rPr>
                <w:rStyle w:val="Hyperlink"/>
                <w:noProof/>
              </w:rPr>
              <w:t>2.</w:t>
            </w:r>
            <w:r>
              <w:rPr>
                <w:rFonts w:asciiTheme="minorHAnsi" w:eastAsiaTheme="minorEastAsia" w:hAnsiTheme="minorHAnsi" w:cstheme="minorBidi"/>
                <w:caps w:val="0"/>
                <w:noProof/>
                <w:sz w:val="22"/>
                <w:szCs w:val="22"/>
                <w:lang w:val="en-US" w:eastAsia="en-US" w:bidi="ar-SA"/>
              </w:rPr>
              <w:tab/>
            </w:r>
            <w:r>
              <w:rPr>
                <w:rStyle w:val="Hyperlink"/>
                <w:noProof/>
              </w:rPr>
              <w:t xml:space="preserve">Galvenās darbības </w:t>
            </w:r>
            <w:r>
              <w:rPr>
                <w:rStyle w:val="Hyperlink"/>
                <w:i/>
                <w:noProof/>
              </w:rPr>
              <w:t>EURES</w:t>
            </w:r>
            <w:r>
              <w:rPr>
                <w:rStyle w:val="Hyperlink"/>
                <w:noProof/>
              </w:rPr>
              <w:t xml:space="preserve"> tīklā: 2016. gada janvāris – 2018. gada jūnijs</w:t>
            </w:r>
            <w:r>
              <w:rPr>
                <w:noProof/>
                <w:webHidden/>
              </w:rPr>
              <w:tab/>
            </w:r>
            <w:r>
              <w:rPr>
                <w:noProof/>
                <w:webHidden/>
              </w:rPr>
              <w:fldChar w:fldCharType="begin"/>
            </w:r>
            <w:r>
              <w:rPr>
                <w:noProof/>
                <w:webHidden/>
              </w:rPr>
              <w:instrText xml:space="preserve"> PAGEREF _Toc765044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45" w:history="1">
            <w:r>
              <w:rPr>
                <w:rStyle w:val="Hyperlink"/>
                <w:noProof/>
              </w:rPr>
              <w:t>2.1.</w:t>
            </w:r>
            <w:r>
              <w:rPr>
                <w:rFonts w:asciiTheme="minorHAnsi" w:eastAsiaTheme="minorEastAsia" w:hAnsiTheme="minorHAnsi" w:cstheme="minorBidi"/>
                <w:noProof/>
                <w:sz w:val="22"/>
                <w:szCs w:val="22"/>
                <w:lang w:val="en-US" w:eastAsia="en-US" w:bidi="ar-SA"/>
              </w:rPr>
              <w:tab/>
            </w:r>
            <w:r>
              <w:rPr>
                <w:rStyle w:val="Hyperlink"/>
                <w:noProof/>
              </w:rPr>
              <w:t xml:space="preserve">Darbības </w:t>
            </w:r>
            <w:r>
              <w:rPr>
                <w:rStyle w:val="Hyperlink"/>
                <w:i/>
                <w:noProof/>
              </w:rPr>
              <w:t>EURES</w:t>
            </w:r>
            <w:r>
              <w:rPr>
                <w:rStyle w:val="Hyperlink"/>
                <w:noProof/>
              </w:rPr>
              <w:t xml:space="preserve"> dalībvalstīs</w:t>
            </w:r>
            <w:r>
              <w:rPr>
                <w:noProof/>
                <w:webHidden/>
              </w:rPr>
              <w:tab/>
            </w:r>
            <w:r>
              <w:rPr>
                <w:noProof/>
                <w:webHidden/>
              </w:rPr>
              <w:fldChar w:fldCharType="begin"/>
            </w:r>
            <w:r>
              <w:rPr>
                <w:noProof/>
                <w:webHidden/>
              </w:rPr>
              <w:instrText xml:space="preserve"> PAGEREF _Toc765045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6" w:history="1">
            <w:r>
              <w:rPr>
                <w:rStyle w:val="Hyperlink"/>
                <w:noProof/>
              </w:rPr>
              <w:t>2.1.1.</w:t>
            </w:r>
            <w:r>
              <w:rPr>
                <w:rFonts w:asciiTheme="minorHAnsi" w:eastAsiaTheme="minorEastAsia" w:hAnsiTheme="minorHAnsi" w:cstheme="minorBidi"/>
                <w:noProof/>
                <w:sz w:val="22"/>
                <w:szCs w:val="22"/>
                <w:lang w:val="en-US" w:eastAsia="en-US" w:bidi="ar-SA"/>
              </w:rPr>
              <w:tab/>
            </w:r>
            <w:r>
              <w:rPr>
                <w:rStyle w:val="Hyperlink"/>
                <w:noProof/>
              </w:rPr>
              <w:t>Vispārīgi atbalsta pakalpojumi darba ņēmējiem un darba devējiem</w:t>
            </w:r>
            <w:r>
              <w:rPr>
                <w:noProof/>
                <w:webHidden/>
              </w:rPr>
              <w:tab/>
            </w:r>
            <w:r>
              <w:rPr>
                <w:noProof/>
                <w:webHidden/>
              </w:rPr>
              <w:fldChar w:fldCharType="begin"/>
            </w:r>
            <w:r>
              <w:rPr>
                <w:noProof/>
                <w:webHidden/>
              </w:rPr>
              <w:instrText xml:space="preserve"> PAGEREF _Toc765046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7" w:history="1">
            <w:r>
              <w:rPr>
                <w:rStyle w:val="Hyperlink"/>
                <w:noProof/>
              </w:rPr>
              <w:t>2.1.2.</w:t>
            </w:r>
            <w:r>
              <w:rPr>
                <w:rFonts w:asciiTheme="minorHAnsi" w:eastAsiaTheme="minorEastAsia" w:hAnsiTheme="minorHAnsi" w:cstheme="minorBidi"/>
                <w:noProof/>
                <w:sz w:val="22"/>
                <w:szCs w:val="22"/>
                <w:lang w:val="en-US" w:eastAsia="en-US" w:bidi="ar-SA"/>
              </w:rPr>
              <w:tab/>
            </w:r>
            <w:r>
              <w:rPr>
                <w:rStyle w:val="Hyperlink"/>
                <w:noProof/>
              </w:rPr>
              <w:t>Īpaši atbalsta pakalpojumi</w:t>
            </w:r>
            <w:r>
              <w:rPr>
                <w:noProof/>
                <w:webHidden/>
              </w:rPr>
              <w:tab/>
            </w:r>
            <w:r>
              <w:rPr>
                <w:noProof/>
                <w:webHidden/>
              </w:rPr>
              <w:fldChar w:fldCharType="begin"/>
            </w:r>
            <w:r>
              <w:rPr>
                <w:noProof/>
                <w:webHidden/>
              </w:rPr>
              <w:instrText xml:space="preserve"> PAGEREF _Toc765047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48" w:history="1">
            <w:r>
              <w:rPr>
                <w:rStyle w:val="Hyperlink"/>
                <w:noProof/>
              </w:rPr>
              <w:t>2.1.3.</w:t>
            </w:r>
            <w:r>
              <w:rPr>
                <w:rFonts w:asciiTheme="minorHAnsi" w:eastAsiaTheme="minorEastAsia" w:hAnsiTheme="minorHAnsi" w:cstheme="minorBidi"/>
                <w:noProof/>
                <w:sz w:val="22"/>
                <w:szCs w:val="22"/>
                <w:lang w:val="en-US" w:eastAsia="en-US" w:bidi="ar-SA"/>
              </w:rPr>
              <w:tab/>
            </w:r>
            <w:r>
              <w:rPr>
                <w:rStyle w:val="Hyperlink"/>
                <w:noProof/>
              </w:rPr>
              <w:t>Resursi un pārvaldība</w:t>
            </w:r>
            <w:r>
              <w:rPr>
                <w:noProof/>
                <w:webHidden/>
              </w:rPr>
              <w:tab/>
            </w:r>
            <w:r>
              <w:rPr>
                <w:noProof/>
                <w:webHidden/>
              </w:rPr>
              <w:fldChar w:fldCharType="begin"/>
            </w:r>
            <w:r>
              <w:rPr>
                <w:noProof/>
                <w:webHidden/>
              </w:rPr>
              <w:instrText xml:space="preserve"> PAGEREF _Toc765048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49" w:history="1">
            <w:r>
              <w:rPr>
                <w:rStyle w:val="Hyperlink"/>
                <w:noProof/>
              </w:rPr>
              <w:t>2.2.</w:t>
            </w:r>
            <w:r>
              <w:rPr>
                <w:rFonts w:asciiTheme="minorHAnsi" w:eastAsiaTheme="minorEastAsia" w:hAnsiTheme="minorHAnsi" w:cstheme="minorBidi"/>
                <w:noProof/>
                <w:sz w:val="22"/>
                <w:szCs w:val="22"/>
                <w:lang w:val="en-US" w:eastAsia="en-US" w:bidi="ar-SA"/>
              </w:rPr>
              <w:tab/>
            </w:r>
            <w:r>
              <w:rPr>
                <w:rStyle w:val="Hyperlink"/>
                <w:noProof/>
              </w:rPr>
              <w:t>Eiropas Koordinācijas biroja (EKB) sniegtie horizontālā atbalsta pasākumi</w:t>
            </w:r>
            <w:r>
              <w:rPr>
                <w:noProof/>
                <w:webHidden/>
              </w:rPr>
              <w:tab/>
            </w:r>
            <w:r>
              <w:rPr>
                <w:noProof/>
                <w:webHidden/>
              </w:rPr>
              <w:fldChar w:fldCharType="begin"/>
            </w:r>
            <w:r>
              <w:rPr>
                <w:noProof/>
                <w:webHidden/>
              </w:rPr>
              <w:instrText xml:space="preserve"> PAGEREF _Toc765049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0" w:history="1">
            <w:r>
              <w:rPr>
                <w:rStyle w:val="Hyperlink"/>
                <w:noProof/>
              </w:rPr>
              <w:t>2.2.1.</w:t>
            </w:r>
            <w:r>
              <w:rPr>
                <w:rFonts w:asciiTheme="minorHAnsi" w:eastAsiaTheme="minorEastAsia" w:hAnsiTheme="minorHAnsi" w:cstheme="minorBidi"/>
                <w:noProof/>
                <w:sz w:val="22"/>
                <w:szCs w:val="22"/>
                <w:lang w:val="en-US" w:eastAsia="en-US" w:bidi="ar-SA"/>
              </w:rPr>
              <w:tab/>
            </w:r>
            <w:r>
              <w:rPr>
                <w:rStyle w:val="Hyperlink"/>
                <w:noProof/>
              </w:rPr>
              <w:t>Koordinācijas un pārvaldības atbalsts</w:t>
            </w:r>
            <w:r>
              <w:rPr>
                <w:noProof/>
                <w:webHidden/>
              </w:rPr>
              <w:tab/>
            </w:r>
            <w:r>
              <w:rPr>
                <w:noProof/>
                <w:webHidden/>
              </w:rPr>
              <w:fldChar w:fldCharType="begin"/>
            </w:r>
            <w:r>
              <w:rPr>
                <w:noProof/>
                <w:webHidden/>
              </w:rPr>
              <w:instrText xml:space="preserve"> PAGEREF _Toc765050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1" w:history="1">
            <w:r>
              <w:rPr>
                <w:rStyle w:val="Hyperlink"/>
                <w:noProof/>
              </w:rPr>
              <w:t>2.2.2.</w:t>
            </w:r>
            <w:r>
              <w:rPr>
                <w:rFonts w:asciiTheme="minorHAnsi" w:eastAsiaTheme="minorEastAsia" w:hAnsiTheme="minorHAnsi" w:cstheme="minorBidi"/>
                <w:noProof/>
                <w:sz w:val="22"/>
                <w:szCs w:val="22"/>
                <w:lang w:val="en-US" w:eastAsia="en-US" w:bidi="ar-SA"/>
              </w:rPr>
              <w:tab/>
            </w:r>
            <w:r>
              <w:rPr>
                <w:rStyle w:val="Hyperlink"/>
                <w:noProof/>
              </w:rPr>
              <w:t>EURES portāla pārvaldīšana un attīstība un saistītie IT pakalpojumi</w:t>
            </w:r>
            <w:r>
              <w:rPr>
                <w:noProof/>
                <w:webHidden/>
              </w:rPr>
              <w:tab/>
            </w:r>
            <w:r>
              <w:rPr>
                <w:noProof/>
                <w:webHidden/>
              </w:rPr>
              <w:fldChar w:fldCharType="begin"/>
            </w:r>
            <w:r>
              <w:rPr>
                <w:noProof/>
                <w:webHidden/>
              </w:rPr>
              <w:instrText xml:space="preserve"> PAGEREF _Toc765051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2" w:history="1">
            <w:r>
              <w:rPr>
                <w:rStyle w:val="Hyperlink"/>
                <w:noProof/>
              </w:rPr>
              <w:t>2.2.3.</w:t>
            </w:r>
            <w:r>
              <w:rPr>
                <w:rFonts w:asciiTheme="minorHAnsi" w:eastAsiaTheme="minorEastAsia" w:hAnsiTheme="minorHAnsi" w:cstheme="minorBidi"/>
                <w:noProof/>
                <w:sz w:val="22"/>
                <w:szCs w:val="22"/>
                <w:lang w:val="en-US" w:eastAsia="en-US" w:bidi="ar-SA"/>
              </w:rPr>
              <w:tab/>
            </w:r>
            <w:r>
              <w:rPr>
                <w:rStyle w:val="Hyperlink"/>
                <w:noProof/>
              </w:rPr>
              <w:t>Apmācības un profesionālā attīstība</w:t>
            </w:r>
            <w:r>
              <w:rPr>
                <w:noProof/>
                <w:webHidden/>
              </w:rPr>
              <w:tab/>
            </w:r>
            <w:r>
              <w:rPr>
                <w:noProof/>
                <w:webHidden/>
              </w:rPr>
              <w:fldChar w:fldCharType="begin"/>
            </w:r>
            <w:r>
              <w:rPr>
                <w:noProof/>
                <w:webHidden/>
              </w:rPr>
              <w:instrText xml:space="preserve"> PAGEREF _Toc765052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3" w:history="1">
            <w:r>
              <w:rPr>
                <w:rStyle w:val="Hyperlink"/>
                <w:noProof/>
              </w:rPr>
              <w:t>2.2.4.</w:t>
            </w:r>
            <w:r>
              <w:rPr>
                <w:rFonts w:asciiTheme="minorHAnsi" w:eastAsiaTheme="minorEastAsia" w:hAnsiTheme="minorHAnsi" w:cstheme="minorBidi"/>
                <w:noProof/>
                <w:sz w:val="22"/>
                <w:szCs w:val="22"/>
                <w:lang w:val="en-US" w:eastAsia="en-US" w:bidi="ar-SA"/>
              </w:rPr>
              <w:tab/>
            </w:r>
            <w:r>
              <w:rPr>
                <w:rStyle w:val="Hyperlink"/>
                <w:noProof/>
              </w:rPr>
              <w:t>Palīdzības dienests</w:t>
            </w:r>
            <w:r>
              <w:rPr>
                <w:noProof/>
                <w:webHidden/>
              </w:rPr>
              <w:tab/>
            </w:r>
            <w:r>
              <w:rPr>
                <w:noProof/>
                <w:webHidden/>
              </w:rPr>
              <w:fldChar w:fldCharType="begin"/>
            </w:r>
            <w:r>
              <w:rPr>
                <w:noProof/>
                <w:webHidden/>
              </w:rPr>
              <w:instrText xml:space="preserve"> PAGEREF _Toc765053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4" w:history="1">
            <w:r>
              <w:rPr>
                <w:rStyle w:val="Hyperlink"/>
                <w:noProof/>
              </w:rPr>
              <w:t>2.2.5.</w:t>
            </w:r>
            <w:r>
              <w:rPr>
                <w:rFonts w:asciiTheme="minorHAnsi" w:eastAsiaTheme="minorEastAsia" w:hAnsiTheme="minorHAnsi" w:cstheme="minorBidi"/>
                <w:noProof/>
                <w:sz w:val="22"/>
                <w:szCs w:val="22"/>
                <w:lang w:val="en-US" w:eastAsia="en-US" w:bidi="ar-SA"/>
              </w:rPr>
              <w:tab/>
            </w:r>
            <w:r>
              <w:rPr>
                <w:rStyle w:val="Hyperlink"/>
                <w:noProof/>
              </w:rPr>
              <w:t>Tīklošana, paraugprakses apmaiņa un savstarpēja mācīšanās</w:t>
            </w:r>
            <w:r>
              <w:rPr>
                <w:noProof/>
                <w:webHidden/>
              </w:rPr>
              <w:tab/>
            </w:r>
            <w:r>
              <w:rPr>
                <w:noProof/>
                <w:webHidden/>
              </w:rPr>
              <w:fldChar w:fldCharType="begin"/>
            </w:r>
            <w:r>
              <w:rPr>
                <w:noProof/>
                <w:webHidden/>
              </w:rPr>
              <w:instrText xml:space="preserve"> PAGEREF _Toc765054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5" w:history="1">
            <w:r>
              <w:rPr>
                <w:rStyle w:val="Hyperlink"/>
                <w:noProof/>
              </w:rPr>
              <w:t>2.2.6.</w:t>
            </w:r>
            <w:r>
              <w:rPr>
                <w:rFonts w:asciiTheme="minorHAnsi" w:eastAsiaTheme="minorEastAsia" w:hAnsiTheme="minorHAnsi" w:cstheme="minorBidi"/>
                <w:noProof/>
                <w:sz w:val="22"/>
                <w:szCs w:val="22"/>
                <w:lang w:val="en-US" w:eastAsia="en-US" w:bidi="ar-SA"/>
              </w:rPr>
              <w:tab/>
            </w:r>
            <w:r>
              <w:rPr>
                <w:rStyle w:val="Hyperlink"/>
                <w:noProof/>
              </w:rPr>
              <w:t>Informācijas un komunikācijas pasākumi</w:t>
            </w:r>
            <w:r>
              <w:rPr>
                <w:noProof/>
                <w:webHidden/>
              </w:rPr>
              <w:tab/>
            </w:r>
            <w:r>
              <w:rPr>
                <w:noProof/>
                <w:webHidden/>
              </w:rPr>
              <w:fldChar w:fldCharType="begin"/>
            </w:r>
            <w:r>
              <w:rPr>
                <w:noProof/>
                <w:webHidden/>
              </w:rPr>
              <w:instrText xml:space="preserve"> PAGEREF _Toc765055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6" w:history="1">
            <w:r>
              <w:rPr>
                <w:rStyle w:val="Hyperlink"/>
                <w:noProof/>
              </w:rPr>
              <w:t>2.2.7.</w:t>
            </w:r>
            <w:r>
              <w:rPr>
                <w:rFonts w:asciiTheme="minorHAnsi" w:eastAsiaTheme="minorEastAsia" w:hAnsiTheme="minorHAnsi" w:cstheme="minorBidi"/>
                <w:noProof/>
                <w:sz w:val="22"/>
                <w:szCs w:val="22"/>
                <w:lang w:val="en-US" w:eastAsia="en-US" w:bidi="ar-SA"/>
              </w:rPr>
              <w:tab/>
            </w:r>
            <w:r>
              <w:rPr>
                <w:rStyle w:val="Hyperlink"/>
                <w:noProof/>
              </w:rPr>
              <w:t>Ģeogrāfiskās un profesionālās mobilitātes analīze</w:t>
            </w:r>
            <w:r>
              <w:rPr>
                <w:noProof/>
                <w:webHidden/>
              </w:rPr>
              <w:tab/>
            </w:r>
            <w:r>
              <w:rPr>
                <w:noProof/>
                <w:webHidden/>
              </w:rPr>
              <w:fldChar w:fldCharType="begin"/>
            </w:r>
            <w:r>
              <w:rPr>
                <w:noProof/>
                <w:webHidden/>
              </w:rPr>
              <w:instrText xml:space="preserve"> PAGEREF _Toc765056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7" w:history="1">
            <w:r>
              <w:rPr>
                <w:rStyle w:val="Hyperlink"/>
                <w:noProof/>
              </w:rPr>
              <w:t>2.2.8.</w:t>
            </w:r>
            <w:r>
              <w:rPr>
                <w:rFonts w:asciiTheme="minorHAnsi" w:eastAsiaTheme="minorEastAsia" w:hAnsiTheme="minorHAnsi" w:cstheme="minorBidi"/>
                <w:noProof/>
                <w:sz w:val="22"/>
                <w:szCs w:val="22"/>
                <w:lang w:val="en-US" w:eastAsia="en-US" w:bidi="ar-SA"/>
              </w:rPr>
              <w:tab/>
            </w:r>
            <w:r>
              <w:rPr>
                <w:rStyle w:val="Hyperlink"/>
                <w:noProof/>
              </w:rPr>
              <w:t>Atbilstošas sadarbības un informācijas apkopošanas un izplatīšanas struktūras izstrāde attiecībā uz māceklību un stažēšanos</w:t>
            </w:r>
            <w:r>
              <w:rPr>
                <w:noProof/>
                <w:webHidden/>
              </w:rPr>
              <w:tab/>
            </w:r>
            <w:r>
              <w:rPr>
                <w:noProof/>
                <w:webHidden/>
              </w:rPr>
              <w:fldChar w:fldCharType="begin"/>
            </w:r>
            <w:r>
              <w:rPr>
                <w:noProof/>
                <w:webHidden/>
              </w:rPr>
              <w:instrText xml:space="preserve"> PAGEREF _Toc765057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58" w:history="1">
            <w:r>
              <w:rPr>
                <w:rStyle w:val="Hyperlink"/>
                <w:noProof/>
              </w:rPr>
              <w:t>2.2.9.</w:t>
            </w:r>
            <w:r>
              <w:rPr>
                <w:rFonts w:asciiTheme="minorHAnsi" w:eastAsiaTheme="minorEastAsia" w:hAnsiTheme="minorHAnsi" w:cstheme="minorBidi"/>
                <w:noProof/>
                <w:sz w:val="22"/>
                <w:szCs w:val="22"/>
                <w:lang w:val="en-US" w:eastAsia="en-US" w:bidi="ar-SA"/>
              </w:rPr>
              <w:tab/>
            </w:r>
            <w:r>
              <w:rPr>
                <w:rStyle w:val="Hyperlink"/>
                <w:noProof/>
              </w:rPr>
              <w:t>Finanšu resursi</w:t>
            </w:r>
            <w:r>
              <w:rPr>
                <w:noProof/>
                <w:webHidden/>
              </w:rPr>
              <w:tab/>
            </w:r>
            <w:r>
              <w:rPr>
                <w:noProof/>
                <w:webHidden/>
              </w:rPr>
              <w:fldChar w:fldCharType="begin"/>
            </w:r>
            <w:r>
              <w:rPr>
                <w:noProof/>
                <w:webHidden/>
              </w:rPr>
              <w:instrText xml:space="preserve"> PAGEREF _Toc765058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bidi="ar-SA"/>
            </w:rPr>
          </w:pPr>
          <w:hyperlink w:anchor="_Toc765059" w:history="1">
            <w:r>
              <w:rPr>
                <w:rStyle w:val="Hyperlink"/>
                <w:noProof/>
              </w:rPr>
              <w:t>3.</w:t>
            </w:r>
            <w:r>
              <w:rPr>
                <w:rFonts w:asciiTheme="minorHAnsi" w:eastAsiaTheme="minorEastAsia" w:hAnsiTheme="minorHAnsi" w:cstheme="minorBidi"/>
                <w:caps w:val="0"/>
                <w:noProof/>
                <w:sz w:val="22"/>
                <w:szCs w:val="22"/>
                <w:lang w:val="en-US" w:eastAsia="en-US" w:bidi="ar-SA"/>
              </w:rPr>
              <w:tab/>
            </w:r>
            <w:r>
              <w:rPr>
                <w:rStyle w:val="Hyperlink"/>
                <w:noProof/>
              </w:rPr>
              <w:t>Regulas īstenošana dalībvalstīs</w:t>
            </w:r>
            <w:r>
              <w:rPr>
                <w:noProof/>
                <w:webHidden/>
              </w:rPr>
              <w:tab/>
            </w:r>
            <w:r>
              <w:rPr>
                <w:noProof/>
                <w:webHidden/>
              </w:rPr>
              <w:fldChar w:fldCharType="begin"/>
            </w:r>
            <w:r>
              <w:rPr>
                <w:noProof/>
                <w:webHidden/>
              </w:rPr>
              <w:instrText xml:space="preserve"> PAGEREF _Toc765059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60" w:history="1">
            <w:r>
              <w:rPr>
                <w:rStyle w:val="Hyperlink"/>
                <w:noProof/>
              </w:rPr>
              <w:t>3.1.</w:t>
            </w:r>
            <w:r>
              <w:rPr>
                <w:rFonts w:asciiTheme="minorHAnsi" w:eastAsiaTheme="minorEastAsia" w:hAnsiTheme="minorHAnsi" w:cstheme="minorBidi"/>
                <w:noProof/>
                <w:sz w:val="22"/>
                <w:szCs w:val="22"/>
                <w:lang w:val="en-US" w:eastAsia="en-US" w:bidi="ar-SA"/>
              </w:rPr>
              <w:tab/>
            </w:r>
            <w:r>
              <w:rPr>
                <w:rStyle w:val="Hyperlink"/>
                <w:noProof/>
              </w:rPr>
              <w:t>Tīkla sastāvs un organizatoriski jautājumi</w:t>
            </w:r>
            <w:r>
              <w:rPr>
                <w:noProof/>
                <w:webHidden/>
              </w:rPr>
              <w:tab/>
            </w:r>
            <w:r>
              <w:rPr>
                <w:noProof/>
                <w:webHidden/>
              </w:rPr>
              <w:fldChar w:fldCharType="begin"/>
            </w:r>
            <w:r>
              <w:rPr>
                <w:noProof/>
                <w:webHidden/>
              </w:rPr>
              <w:instrText xml:space="preserve"> PAGEREF _Toc765060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1" w:history="1">
            <w:r>
              <w:rPr>
                <w:rStyle w:val="Hyperlink"/>
                <w:noProof/>
              </w:rPr>
              <w:t>3.1.1.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_Toc765061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2" w:history="1">
            <w:r>
              <w:rPr>
                <w:rStyle w:val="Hyperlink"/>
                <w:noProof/>
              </w:rPr>
              <w:t>3.1.2.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_Toc765062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3" w:history="1">
            <w:r>
              <w:rPr>
                <w:rStyle w:val="Hyperlink"/>
                <w:noProof/>
              </w:rPr>
              <w:t>3.1.3.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_Toc765063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64" w:history="1">
            <w:r>
              <w:rPr>
                <w:rStyle w:val="Hyperlink"/>
                <w:noProof/>
              </w:rPr>
              <w:t>3.2.</w:t>
            </w:r>
            <w:r>
              <w:rPr>
                <w:rFonts w:asciiTheme="minorHAnsi" w:eastAsiaTheme="minorEastAsia" w:hAnsiTheme="minorHAnsi" w:cstheme="minorBidi"/>
                <w:noProof/>
                <w:sz w:val="22"/>
                <w:szCs w:val="22"/>
                <w:lang w:val="en-US" w:eastAsia="en-US" w:bidi="ar-SA"/>
              </w:rPr>
              <w:tab/>
            </w:r>
            <w:r>
              <w:rPr>
                <w:rStyle w:val="Hyperlink"/>
                <w:noProof/>
              </w:rPr>
              <w:t xml:space="preserve">Pārvaldība un mijiedarbība ar organizācijām ārpus </w:t>
            </w:r>
            <w:r>
              <w:rPr>
                <w:rStyle w:val="Hyperlink"/>
                <w:i/>
                <w:noProof/>
              </w:rPr>
              <w:t>EURES</w:t>
            </w:r>
            <w:r>
              <w:rPr>
                <w:rStyle w:val="Hyperlink"/>
                <w:noProof/>
              </w:rPr>
              <w:t xml:space="preserve"> tīkla</w:t>
            </w:r>
            <w:r>
              <w:rPr>
                <w:noProof/>
                <w:webHidden/>
              </w:rPr>
              <w:tab/>
            </w:r>
            <w:r>
              <w:rPr>
                <w:noProof/>
                <w:webHidden/>
              </w:rPr>
              <w:fldChar w:fldCharType="begin"/>
            </w:r>
            <w:r>
              <w:rPr>
                <w:noProof/>
                <w:webHidden/>
              </w:rPr>
              <w:instrText xml:space="preserve"> PAGEREF _Toc765064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5" w:history="1">
            <w:r>
              <w:rPr>
                <w:rStyle w:val="Hyperlink"/>
                <w:noProof/>
              </w:rPr>
              <w:t>3.2.1.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_Toc765065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6" w:history="1">
            <w:r>
              <w:rPr>
                <w:rStyle w:val="Hyperlink"/>
                <w:noProof/>
              </w:rPr>
              <w:t>3.2.2.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_Toc765066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7" w:history="1">
            <w:r>
              <w:rPr>
                <w:rStyle w:val="Hyperlink"/>
                <w:noProof/>
              </w:rPr>
              <w:t>3.2.3.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_Toc765067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68" w:history="1">
            <w:r>
              <w:rPr>
                <w:rStyle w:val="Hyperlink"/>
                <w:noProof/>
              </w:rPr>
              <w:t>3.3.</w:t>
            </w:r>
            <w:r>
              <w:rPr>
                <w:rFonts w:asciiTheme="minorHAnsi" w:eastAsiaTheme="minorEastAsia" w:hAnsiTheme="minorHAnsi" w:cstheme="minorBidi"/>
                <w:noProof/>
                <w:sz w:val="22"/>
                <w:szCs w:val="22"/>
                <w:lang w:val="en-US" w:eastAsia="en-US" w:bidi="ar-SA"/>
              </w:rPr>
              <w:tab/>
            </w:r>
            <w:r>
              <w:rPr>
                <w:rStyle w:val="Hyperlink"/>
                <w:noProof/>
              </w:rPr>
              <w:t>Tīkla paplašināšana</w:t>
            </w:r>
            <w:r>
              <w:rPr>
                <w:noProof/>
                <w:webHidden/>
              </w:rPr>
              <w:tab/>
            </w:r>
            <w:r>
              <w:rPr>
                <w:noProof/>
                <w:webHidden/>
              </w:rPr>
              <w:fldChar w:fldCharType="begin"/>
            </w:r>
            <w:r>
              <w:rPr>
                <w:noProof/>
                <w:webHidden/>
              </w:rPr>
              <w:instrText xml:space="preserve"> PAGEREF _Toc765068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69" w:history="1">
            <w:r>
              <w:rPr>
                <w:rStyle w:val="Hyperlink"/>
                <w:noProof/>
              </w:rPr>
              <w:t>3.3.1.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_Toc765069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0" w:history="1">
            <w:r>
              <w:rPr>
                <w:rStyle w:val="Hyperlink"/>
                <w:noProof/>
              </w:rPr>
              <w:t>3.3.2.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_Toc765070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1" w:history="1">
            <w:r>
              <w:rPr>
                <w:rStyle w:val="Hyperlink"/>
                <w:noProof/>
              </w:rPr>
              <w:t>3.3.3.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_Toc765071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72" w:history="1">
            <w:r>
              <w:rPr>
                <w:rStyle w:val="Hyperlink"/>
                <w:noProof/>
              </w:rPr>
              <w:t>3.4.</w:t>
            </w:r>
            <w:r>
              <w:rPr>
                <w:rFonts w:asciiTheme="minorHAnsi" w:eastAsiaTheme="minorEastAsia" w:hAnsiTheme="minorHAnsi" w:cstheme="minorBidi"/>
                <w:noProof/>
                <w:sz w:val="22"/>
                <w:szCs w:val="22"/>
                <w:lang w:val="en-US" w:eastAsia="en-US" w:bidi="ar-SA"/>
              </w:rPr>
              <w:tab/>
            </w:r>
            <w:r>
              <w:rPr>
                <w:rStyle w:val="Hyperlink"/>
                <w:noProof/>
              </w:rPr>
              <w:t>Informācijas par brīvajām darbvietām un CV apmaiņa</w:t>
            </w:r>
            <w:r>
              <w:rPr>
                <w:noProof/>
                <w:webHidden/>
              </w:rPr>
              <w:tab/>
            </w:r>
            <w:r>
              <w:rPr>
                <w:noProof/>
                <w:webHidden/>
              </w:rPr>
              <w:fldChar w:fldCharType="begin"/>
            </w:r>
            <w:r>
              <w:rPr>
                <w:noProof/>
                <w:webHidden/>
              </w:rPr>
              <w:instrText xml:space="preserve"> PAGEREF _Toc765072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3" w:history="1">
            <w:r>
              <w:rPr>
                <w:rStyle w:val="Hyperlink"/>
                <w:noProof/>
              </w:rPr>
              <w:t>3.4.1.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_Toc765073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4" w:history="1">
            <w:r>
              <w:rPr>
                <w:rStyle w:val="Hyperlink"/>
                <w:noProof/>
              </w:rPr>
              <w:t>3.4.2.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_Toc765074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5" w:history="1">
            <w:r>
              <w:rPr>
                <w:rStyle w:val="Hyperlink"/>
                <w:noProof/>
              </w:rPr>
              <w:t>3.4.3.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_Toc765075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76" w:history="1">
            <w:r>
              <w:rPr>
                <w:rStyle w:val="Hyperlink"/>
                <w:noProof/>
              </w:rPr>
              <w:t>3.5.</w:t>
            </w:r>
            <w:r>
              <w:rPr>
                <w:rFonts w:asciiTheme="minorHAnsi" w:eastAsiaTheme="minorEastAsia" w:hAnsiTheme="minorHAnsi" w:cstheme="minorBidi"/>
                <w:noProof/>
                <w:sz w:val="22"/>
                <w:szCs w:val="22"/>
                <w:lang w:val="en-US" w:eastAsia="en-US" w:bidi="ar-SA"/>
              </w:rPr>
              <w:tab/>
            </w:r>
            <w:r>
              <w:rPr>
                <w:rStyle w:val="Hyperlink"/>
                <w:noProof/>
              </w:rPr>
              <w:t>Atbalsta pakalpojumi</w:t>
            </w:r>
            <w:r>
              <w:rPr>
                <w:noProof/>
                <w:webHidden/>
              </w:rPr>
              <w:tab/>
            </w:r>
            <w:r>
              <w:rPr>
                <w:noProof/>
                <w:webHidden/>
              </w:rPr>
              <w:fldChar w:fldCharType="begin"/>
            </w:r>
            <w:r>
              <w:rPr>
                <w:noProof/>
                <w:webHidden/>
              </w:rPr>
              <w:instrText xml:space="preserve"> PAGEREF _Toc765076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7" w:history="1">
            <w:r>
              <w:rPr>
                <w:rStyle w:val="Hyperlink"/>
                <w:noProof/>
              </w:rPr>
              <w:t>3.5.1.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_Toc765077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8" w:history="1">
            <w:r>
              <w:rPr>
                <w:rStyle w:val="Hyperlink"/>
                <w:noProof/>
              </w:rPr>
              <w:t>3.5.2.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_Toc765078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79" w:history="1">
            <w:r>
              <w:rPr>
                <w:rStyle w:val="Hyperlink"/>
                <w:noProof/>
              </w:rPr>
              <w:t>3.5.3.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_Toc765079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80" w:history="1">
            <w:r>
              <w:rPr>
                <w:rStyle w:val="Hyperlink"/>
                <w:noProof/>
              </w:rPr>
              <w:t>3.6.</w:t>
            </w:r>
            <w:r>
              <w:rPr>
                <w:rFonts w:asciiTheme="minorHAnsi" w:eastAsiaTheme="minorEastAsia" w:hAnsiTheme="minorHAnsi" w:cstheme="minorBidi"/>
                <w:noProof/>
                <w:sz w:val="22"/>
                <w:szCs w:val="22"/>
                <w:lang w:val="en-US" w:eastAsia="en-US" w:bidi="ar-SA"/>
              </w:rPr>
              <w:tab/>
            </w:r>
            <w:r>
              <w:rPr>
                <w:rStyle w:val="Hyperlink"/>
                <w:noProof/>
              </w:rPr>
              <w:t>Informācijas apmaiņa, plānošana un izpildes novērtēšana</w:t>
            </w:r>
            <w:r>
              <w:rPr>
                <w:noProof/>
                <w:webHidden/>
              </w:rPr>
              <w:tab/>
            </w:r>
            <w:r>
              <w:rPr>
                <w:noProof/>
                <w:webHidden/>
              </w:rPr>
              <w:fldChar w:fldCharType="begin"/>
            </w:r>
            <w:r>
              <w:rPr>
                <w:noProof/>
                <w:webHidden/>
              </w:rPr>
              <w:instrText xml:space="preserve"> PAGEREF _Toc765080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1" w:history="1">
            <w:r>
              <w:rPr>
                <w:rStyle w:val="Hyperlink"/>
                <w:noProof/>
              </w:rPr>
              <w:t>3.6.1.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_Toc765081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2" w:history="1">
            <w:r>
              <w:rPr>
                <w:rStyle w:val="Hyperlink"/>
                <w:noProof/>
              </w:rPr>
              <w:t>3.6.2.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_Toc765082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3" w:history="1">
            <w:r>
              <w:rPr>
                <w:rStyle w:val="Hyperlink"/>
                <w:noProof/>
              </w:rPr>
              <w:t>3.6.3.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_Toc765083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bidi="ar-SA"/>
            </w:rPr>
          </w:pPr>
          <w:hyperlink w:anchor="_Toc765084" w:history="1">
            <w:r>
              <w:rPr>
                <w:rStyle w:val="Hyperlink"/>
                <w:noProof/>
              </w:rPr>
              <w:t>4.</w:t>
            </w:r>
            <w:r>
              <w:rPr>
                <w:rFonts w:asciiTheme="minorHAnsi" w:eastAsiaTheme="minorEastAsia" w:hAnsiTheme="minorHAnsi" w:cstheme="minorBidi"/>
                <w:caps w:val="0"/>
                <w:noProof/>
                <w:sz w:val="22"/>
                <w:szCs w:val="22"/>
                <w:lang w:val="en-US" w:eastAsia="en-US" w:bidi="ar-SA"/>
              </w:rPr>
              <w:tab/>
            </w:r>
            <w:r>
              <w:rPr>
                <w:rStyle w:val="Hyperlink"/>
                <w:noProof/>
              </w:rPr>
              <w:t>Kā Eiropas Komisija īsteno Regulu</w:t>
            </w:r>
            <w:r>
              <w:rPr>
                <w:noProof/>
                <w:webHidden/>
              </w:rPr>
              <w:tab/>
            </w:r>
            <w:r>
              <w:rPr>
                <w:noProof/>
                <w:webHidden/>
              </w:rPr>
              <w:fldChar w:fldCharType="begin"/>
            </w:r>
            <w:r>
              <w:rPr>
                <w:noProof/>
                <w:webHidden/>
              </w:rPr>
              <w:instrText xml:space="preserve"> PAGEREF _Toc765084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5" w:history="1">
            <w:r>
              <w:rPr>
                <w:rStyle w:val="Hyperlink"/>
                <w:noProof/>
              </w:rPr>
              <w:t>4.1.1.</w:t>
            </w:r>
            <w:r>
              <w:rPr>
                <w:rFonts w:asciiTheme="minorHAnsi" w:eastAsiaTheme="minorEastAsia" w:hAnsiTheme="minorHAnsi" w:cstheme="minorBidi"/>
                <w:noProof/>
                <w:sz w:val="22"/>
                <w:szCs w:val="22"/>
                <w:lang w:val="en-US" w:eastAsia="en-US" w:bidi="ar-SA"/>
              </w:rPr>
              <w:tab/>
            </w:r>
            <w:r>
              <w:rPr>
                <w:rStyle w:val="Hyperlink"/>
                <w:noProof/>
              </w:rPr>
              <w:t>Regulas prasības</w:t>
            </w:r>
            <w:r>
              <w:rPr>
                <w:noProof/>
                <w:webHidden/>
              </w:rPr>
              <w:tab/>
            </w:r>
            <w:r>
              <w:rPr>
                <w:noProof/>
                <w:webHidden/>
              </w:rPr>
              <w:fldChar w:fldCharType="begin"/>
            </w:r>
            <w:r>
              <w:rPr>
                <w:noProof/>
                <w:webHidden/>
              </w:rPr>
              <w:instrText xml:space="preserve"> PAGEREF _Toc765085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6" w:history="1">
            <w:r>
              <w:rPr>
                <w:rStyle w:val="Hyperlink"/>
                <w:noProof/>
              </w:rPr>
              <w:t>4.1.2.</w:t>
            </w:r>
            <w:r>
              <w:rPr>
                <w:rFonts w:asciiTheme="minorHAnsi" w:eastAsiaTheme="minorEastAsia" w:hAnsiTheme="minorHAnsi" w:cstheme="minorBidi"/>
                <w:noProof/>
                <w:sz w:val="22"/>
                <w:szCs w:val="22"/>
                <w:lang w:val="en-US" w:eastAsia="en-US" w:bidi="ar-SA"/>
              </w:rPr>
              <w:tab/>
            </w:r>
            <w:r>
              <w:rPr>
                <w:rStyle w:val="Hyperlink"/>
                <w:noProof/>
              </w:rPr>
              <w:t>Īstenošana</w:t>
            </w:r>
            <w:r>
              <w:rPr>
                <w:noProof/>
                <w:webHidden/>
              </w:rPr>
              <w:tab/>
            </w:r>
            <w:r>
              <w:rPr>
                <w:noProof/>
                <w:webHidden/>
              </w:rPr>
              <w:fldChar w:fldCharType="begin"/>
            </w:r>
            <w:r>
              <w:rPr>
                <w:noProof/>
                <w:webHidden/>
              </w:rPr>
              <w:instrText xml:space="preserve"> PAGEREF _Toc765086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US" w:eastAsia="en-US" w:bidi="ar-SA"/>
            </w:rPr>
          </w:pPr>
          <w:hyperlink w:anchor="_Toc765087" w:history="1">
            <w:r>
              <w:rPr>
                <w:rStyle w:val="Hyperlink"/>
                <w:noProof/>
              </w:rPr>
              <w:t>4.1.3.</w:t>
            </w:r>
            <w:r>
              <w:rPr>
                <w:rFonts w:asciiTheme="minorHAnsi" w:eastAsiaTheme="minorEastAsia" w:hAnsiTheme="minorHAnsi" w:cstheme="minorBidi"/>
                <w:noProof/>
                <w:sz w:val="22"/>
                <w:szCs w:val="22"/>
                <w:lang w:val="en-US" w:eastAsia="en-US" w:bidi="ar-SA"/>
              </w:rPr>
              <w:tab/>
            </w:r>
            <w:r>
              <w:rPr>
                <w:rStyle w:val="Hyperlink"/>
                <w:noProof/>
              </w:rPr>
              <w:t>Problēmas</w:t>
            </w:r>
            <w:r>
              <w:rPr>
                <w:noProof/>
                <w:webHidden/>
              </w:rPr>
              <w:tab/>
            </w:r>
            <w:r>
              <w:rPr>
                <w:noProof/>
                <w:webHidden/>
              </w:rPr>
              <w:fldChar w:fldCharType="begin"/>
            </w:r>
            <w:r>
              <w:rPr>
                <w:noProof/>
                <w:webHidden/>
              </w:rPr>
              <w:instrText xml:space="preserve"> PAGEREF _Toc765087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val="en-US" w:eastAsia="en-US" w:bidi="ar-SA"/>
            </w:rPr>
          </w:pPr>
          <w:hyperlink w:anchor="_Toc765088" w:history="1">
            <w:r>
              <w:rPr>
                <w:rStyle w:val="Hyperlink"/>
                <w:noProof/>
              </w:rPr>
              <w:t>5.</w:t>
            </w:r>
            <w:r>
              <w:rPr>
                <w:rFonts w:asciiTheme="minorHAnsi" w:eastAsiaTheme="minorEastAsia" w:hAnsiTheme="minorHAnsi" w:cstheme="minorBidi"/>
                <w:caps w:val="0"/>
                <w:noProof/>
                <w:sz w:val="22"/>
                <w:szCs w:val="22"/>
                <w:lang w:val="en-US" w:eastAsia="en-US" w:bidi="ar-SA"/>
              </w:rPr>
              <w:tab/>
            </w:r>
            <w:r>
              <w:rPr>
                <w:rStyle w:val="Hyperlink"/>
                <w:noProof/>
              </w:rPr>
              <w:t>Secinājumi un ieteikumi</w:t>
            </w:r>
            <w:r>
              <w:rPr>
                <w:noProof/>
                <w:webHidden/>
              </w:rPr>
              <w:tab/>
            </w:r>
            <w:r>
              <w:rPr>
                <w:noProof/>
                <w:webHidden/>
              </w:rPr>
              <w:fldChar w:fldCharType="begin"/>
            </w:r>
            <w:r>
              <w:rPr>
                <w:noProof/>
                <w:webHidden/>
              </w:rPr>
              <w:instrText xml:space="preserve"> PAGEREF _Toc765088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89" w:history="1">
            <w:r>
              <w:rPr>
                <w:rStyle w:val="Hyperlink"/>
                <w:noProof/>
              </w:rPr>
              <w:t>5.1.</w:t>
            </w:r>
            <w:r>
              <w:rPr>
                <w:rFonts w:asciiTheme="minorHAnsi" w:eastAsiaTheme="minorEastAsia" w:hAnsiTheme="minorHAnsi" w:cstheme="minorBidi"/>
                <w:noProof/>
                <w:sz w:val="22"/>
                <w:szCs w:val="22"/>
                <w:lang w:val="en-US" w:eastAsia="en-US" w:bidi="ar-SA"/>
              </w:rPr>
              <w:tab/>
            </w:r>
            <w:r>
              <w:rPr>
                <w:rStyle w:val="Hyperlink"/>
                <w:noProof/>
              </w:rPr>
              <w:t>Secinājumi</w:t>
            </w:r>
            <w:r>
              <w:rPr>
                <w:noProof/>
                <w:webHidden/>
              </w:rPr>
              <w:tab/>
            </w:r>
            <w:r>
              <w:rPr>
                <w:noProof/>
                <w:webHidden/>
              </w:rPr>
              <w:fldChar w:fldCharType="begin"/>
            </w:r>
            <w:r>
              <w:rPr>
                <w:noProof/>
                <w:webHidden/>
              </w:rPr>
              <w:instrText xml:space="preserve"> PAGEREF _Toc765089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90" w:history="1">
            <w:r>
              <w:rPr>
                <w:rStyle w:val="Hyperlink"/>
                <w:noProof/>
              </w:rPr>
              <w:t>5.2.</w:t>
            </w:r>
            <w:r>
              <w:rPr>
                <w:rFonts w:asciiTheme="minorHAnsi" w:eastAsiaTheme="minorEastAsia" w:hAnsiTheme="minorHAnsi" w:cstheme="minorBidi"/>
                <w:noProof/>
                <w:sz w:val="22"/>
                <w:szCs w:val="22"/>
                <w:lang w:val="en-US" w:eastAsia="en-US" w:bidi="ar-SA"/>
              </w:rPr>
              <w:tab/>
            </w:r>
            <w:r>
              <w:rPr>
                <w:rStyle w:val="Hyperlink"/>
                <w:noProof/>
              </w:rPr>
              <w:t>Ieteikumi dalībvalstīm nākamajam pārskata periodam</w:t>
            </w:r>
            <w:r>
              <w:rPr>
                <w:noProof/>
                <w:webHidden/>
              </w:rPr>
              <w:tab/>
            </w:r>
            <w:r>
              <w:rPr>
                <w:noProof/>
                <w:webHidden/>
              </w:rPr>
              <w:fldChar w:fldCharType="begin"/>
            </w:r>
            <w:r>
              <w:rPr>
                <w:noProof/>
                <w:webHidden/>
              </w:rPr>
              <w:instrText xml:space="preserve"> PAGEREF _Toc765090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US" w:eastAsia="en-US" w:bidi="ar-SA"/>
            </w:rPr>
          </w:pPr>
          <w:hyperlink w:anchor="_Toc765091" w:history="1">
            <w:r>
              <w:rPr>
                <w:rStyle w:val="Hyperlink"/>
                <w:noProof/>
              </w:rPr>
              <w:t>5.3.</w:t>
            </w:r>
            <w:r>
              <w:rPr>
                <w:rFonts w:asciiTheme="minorHAnsi" w:eastAsiaTheme="minorEastAsia" w:hAnsiTheme="minorHAnsi" w:cstheme="minorBidi"/>
                <w:noProof/>
                <w:sz w:val="22"/>
                <w:szCs w:val="22"/>
                <w:lang w:val="en-US" w:eastAsia="en-US" w:bidi="ar-SA"/>
              </w:rPr>
              <w:tab/>
            </w:r>
            <w:r>
              <w:rPr>
                <w:rStyle w:val="Hyperlink"/>
                <w:noProof/>
              </w:rPr>
              <w:t>Darbības, kuras jāturpina Eiropas Komisijai</w:t>
            </w:r>
            <w:r>
              <w:rPr>
                <w:noProof/>
                <w:webHidden/>
              </w:rPr>
              <w:tab/>
            </w:r>
            <w:r>
              <w:rPr>
                <w:noProof/>
                <w:webHidden/>
              </w:rPr>
              <w:fldChar w:fldCharType="begin"/>
            </w:r>
            <w:r>
              <w:rPr>
                <w:noProof/>
                <w:webHidden/>
              </w:rPr>
              <w:instrText xml:space="preserve"> PAGEREF _Toc765091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rPr>
          </w:pPr>
          <w:hyperlink w:anchor="_Toc765092" w:history="1">
            <w:r>
              <w:rPr>
                <w:rStyle w:val="Hyperlink"/>
                <w:b/>
                <w:smallCaps/>
                <w:noProof/>
              </w:rPr>
              <w:t>Pielikums. Atbilstošie rādītāji</w:t>
            </w:r>
            <w:r>
              <w:rPr>
                <w:noProof/>
                <w:webHidden/>
              </w:rPr>
              <w:tab/>
            </w:r>
            <w:r>
              <w:rPr>
                <w:noProof/>
                <w:webHidden/>
              </w:rPr>
              <w:fldChar w:fldCharType="begin"/>
            </w:r>
            <w:r>
              <w:rPr>
                <w:noProof/>
                <w:webHidden/>
              </w:rPr>
              <w:instrText xml:space="preserve"> PAGEREF _Toc765092 \h </w:instrText>
            </w:r>
            <w:r>
              <w:rPr>
                <w:noProof/>
                <w:webHidden/>
              </w:rPr>
            </w:r>
            <w:r>
              <w:rPr>
                <w:noProof/>
                <w:webHidden/>
              </w:rPr>
              <w:fldChar w:fldCharType="separate"/>
            </w:r>
            <w:r>
              <w:rPr>
                <w:noProof/>
                <w:webHidden/>
              </w:rPr>
              <w:t>29</w:t>
            </w:r>
            <w:r>
              <w:rPr>
                <w:noProof/>
                <w:webHidden/>
              </w:rPr>
              <w:fldChar w:fldCharType="end"/>
            </w:r>
          </w:hyperlink>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765035"/>
            <w:r>
              <w:rPr>
                <w:rFonts w:ascii="Times New Roman" w:hAnsi="Times New Roman"/>
                <w:noProof/>
              </w:rPr>
              <w:t>Kopsavilkums</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Šajā </w:t>
            </w:r>
            <w:r>
              <w:rPr>
                <w:rFonts w:ascii="Times New Roman" w:hAnsi="Times New Roman"/>
                <w:b/>
                <w:noProof/>
              </w:rPr>
              <w:t>darbības pārskatā</w:t>
            </w:r>
            <w:r>
              <w:rPr>
                <w:rFonts w:ascii="Times New Roman" w:hAnsi="Times New Roman"/>
                <w:noProof/>
              </w:rPr>
              <w:t xml:space="preserve"> ir sniegts pārskats par </w:t>
            </w:r>
            <w:r>
              <w:rPr>
                <w:rFonts w:ascii="Times New Roman" w:hAnsi="Times New Roman"/>
                <w:b/>
                <w:noProof/>
              </w:rPr>
              <w:t>Eiropas Nodarbinātības dienestu tīkla</w:t>
            </w:r>
            <w:r>
              <w:rPr>
                <w:rFonts w:ascii="Times New Roman" w:hAnsi="Times New Roman"/>
                <w:noProof/>
              </w:rPr>
              <w:t xml:space="preserve"> </w:t>
            </w:r>
            <w:r>
              <w:rPr>
                <w:rFonts w:ascii="Times New Roman" w:hAnsi="Times New Roman"/>
                <w:b/>
                <w:noProof/>
              </w:rPr>
              <w:t>(</w:t>
            </w:r>
            <w:r>
              <w:rPr>
                <w:rFonts w:ascii="Times New Roman" w:hAnsi="Times New Roman"/>
                <w:b/>
                <w:i/>
                <w:noProof/>
              </w:rPr>
              <w:t>EURES</w:t>
            </w:r>
            <w:r>
              <w:rPr>
                <w:rFonts w:ascii="Times New Roman" w:hAnsi="Times New Roman"/>
                <w:b/>
                <w:noProof/>
              </w:rPr>
              <w:t xml:space="preserve"> tīkla)</w:t>
            </w:r>
            <w:r>
              <w:rPr>
                <w:rFonts w:ascii="Times New Roman" w:hAnsi="Times New Roman"/>
                <w:noProof/>
              </w:rPr>
              <w:t xml:space="preserve"> darbību laikposmā </w:t>
            </w:r>
            <w:r>
              <w:rPr>
                <w:rFonts w:ascii="Times New Roman" w:hAnsi="Times New Roman"/>
                <w:b/>
                <w:noProof/>
              </w:rPr>
              <w:t xml:space="preserve">no 2016. gada janvāra līdz 2018. gada jūnijam, kā arī ir aprakstīts stāvoklis </w:t>
            </w:r>
            <w:r>
              <w:rPr>
                <w:rFonts w:ascii="Times New Roman" w:hAnsi="Times New Roman"/>
                <w:b/>
                <w:i/>
                <w:noProof/>
              </w:rPr>
              <w:t>EURES</w:t>
            </w:r>
            <w:r>
              <w:rPr>
                <w:rFonts w:ascii="Times New Roman" w:hAnsi="Times New Roman"/>
                <w:b/>
                <w:noProof/>
              </w:rPr>
              <w:t xml:space="preserve"> regulas (ES) 2016/589 piemērošanas jomā 2018. gada jūlijā</w:t>
            </w:r>
            <w:r>
              <w:rPr>
                <w:noProof/>
              </w:rPr>
              <w:t xml:space="preserve">, </w:t>
            </w:r>
            <w:r>
              <w:rPr>
                <w:rFonts w:ascii="Times New Roman" w:hAnsi="Times New Roman" w:cs="Times New Roman"/>
                <w:noProof/>
              </w:rPr>
              <w:t>kā noteikts minētās regulas 33. pantā</w:t>
            </w:r>
            <w:r>
              <w:rPr>
                <w:noProof/>
              </w:rPr>
              <w:t>.</w:t>
            </w:r>
            <w:r>
              <w:rPr>
                <w:rFonts w:ascii="Times New Roman" w:hAnsi="Times New Roman"/>
                <w:b/>
                <w:noProof/>
              </w:rPr>
              <w:t xml:space="preserve"> </w:t>
            </w:r>
            <w:r>
              <w:rPr>
                <w:rFonts w:ascii="Times New Roman" w:hAnsi="Times New Roman"/>
                <w:i/>
                <w:noProof/>
              </w:rPr>
              <w:t>EURES</w:t>
            </w:r>
            <w:r>
              <w:rPr>
                <w:rFonts w:ascii="Times New Roman" w:hAnsi="Times New Roman"/>
                <w:noProof/>
              </w:rPr>
              <w:t xml:space="preserve"> tīklu veido nodarbinātības pakalpojumu sniedzēji un citas partneru organizācijas ES un EEZ dalībvalstīs un Šveicē, kuru mērķis ir pastiprināt iekšējā darbaspēka mobilitāti ES un izveidot integrētu Eiropas darba tirgu. </w:t>
            </w:r>
          </w:p>
          <w:p>
            <w:pPr>
              <w:widowControl w:val="0"/>
              <w:spacing w:afterLines="30" w:after="72"/>
              <w:rPr>
                <w:rFonts w:ascii="Times New Roman" w:eastAsia="Times New Roman" w:hAnsi="Times New Roman" w:cs="Times New Roman"/>
                <w:noProof/>
                <w:szCs w:val="20"/>
              </w:rPr>
            </w:pPr>
            <w:r>
              <w:rPr>
                <w:rFonts w:ascii="Times New Roman" w:hAnsi="Times New Roman"/>
                <w:i/>
                <w:noProof/>
              </w:rPr>
              <w:t>EURES</w:t>
            </w:r>
            <w:r>
              <w:rPr>
                <w:rFonts w:ascii="Times New Roman" w:hAnsi="Times New Roman"/>
                <w:noProof/>
              </w:rPr>
              <w:t xml:space="preserve"> tīkla </w:t>
            </w:r>
            <w:r>
              <w:rPr>
                <w:rFonts w:ascii="Times New Roman" w:hAnsi="Times New Roman"/>
                <w:b/>
                <w:noProof/>
              </w:rPr>
              <w:t>galvenās iezīmes</w:t>
            </w:r>
            <w:r>
              <w:rPr>
                <w:rFonts w:ascii="Times New Roman" w:hAnsi="Times New Roman"/>
                <w:noProof/>
              </w:rPr>
              <w:t xml:space="preserve"> ir divējādas. Katru dienu tūkstošiem darba meklētāju un darba devēju visā Eiropā gūst labumu no </w:t>
            </w:r>
            <w:r>
              <w:rPr>
                <w:rFonts w:ascii="Times New Roman" w:hAnsi="Times New Roman"/>
                <w:i/>
                <w:noProof/>
              </w:rPr>
              <w:t>EURES</w:t>
            </w:r>
            <w:r>
              <w:rPr>
                <w:rFonts w:ascii="Times New Roman" w:hAnsi="Times New Roman"/>
                <w:noProof/>
              </w:rPr>
              <w:t xml:space="preserve"> tīklā sniegtajiem </w:t>
            </w:r>
            <w:r>
              <w:rPr>
                <w:rFonts w:ascii="Times New Roman" w:hAnsi="Times New Roman"/>
                <w:b/>
                <w:noProof/>
              </w:rPr>
              <w:t>darbā iekārtošanas un darba piemeklēšanas pakalpojumiem</w:t>
            </w:r>
            <w:r>
              <w:rPr>
                <w:rFonts w:ascii="Times New Roman" w:hAnsi="Times New Roman"/>
                <w:noProof/>
              </w:rPr>
              <w:t xml:space="preserve">. Apmācīti </w:t>
            </w:r>
            <w:r>
              <w:rPr>
                <w:rFonts w:ascii="Times New Roman" w:hAnsi="Times New Roman"/>
                <w:i/>
                <w:noProof/>
              </w:rPr>
              <w:t>EURES</w:t>
            </w:r>
            <w:r>
              <w:rPr>
                <w:rFonts w:ascii="Times New Roman" w:hAnsi="Times New Roman"/>
                <w:noProof/>
              </w:rPr>
              <w:t xml:space="preserve"> darbinieki piedāvā </w:t>
            </w:r>
            <w:r>
              <w:rPr>
                <w:rFonts w:ascii="Times New Roman" w:hAnsi="Times New Roman"/>
                <w:b/>
                <w:noProof/>
              </w:rPr>
              <w:t>atbalsta pakalpojumus un norādījumus</w:t>
            </w:r>
            <w:r>
              <w:rPr>
                <w:rFonts w:ascii="Times New Roman" w:hAnsi="Times New Roman"/>
                <w:noProof/>
              </w:rPr>
              <w:t xml:space="preserve"> par darba apstākļiem citās Eiropas valstīs, lai palīdzētu darba meklētājiem un darba devējiem izdarīt izvēli. </w:t>
            </w:r>
          </w:p>
          <w:p>
            <w:pPr>
              <w:widowControl w:val="0"/>
              <w:spacing w:afterLines="30" w:after="72"/>
              <w:rPr>
                <w:rFonts w:ascii="Times New Roman" w:eastAsia="Times New Roman" w:hAnsi="Times New Roman" w:cs="Times New Roman"/>
                <w:noProof/>
                <w:szCs w:val="20"/>
              </w:rPr>
            </w:pPr>
            <w:r>
              <w:rPr>
                <w:rFonts w:ascii="Times New Roman" w:hAnsi="Times New Roman"/>
                <w:i/>
                <w:noProof/>
              </w:rPr>
              <w:t>EURES</w:t>
            </w:r>
            <w:r>
              <w:rPr>
                <w:rFonts w:ascii="Times New Roman" w:hAnsi="Times New Roman"/>
                <w:noProof/>
              </w:rPr>
              <w:t xml:space="preserve"> darbības pārrauga Valsts koordinācijas biroji (VKB), un tās ietver mērķtiecīgas mobilitātes shēmas (MMS), kas paredzētas tam, lai novērstu specifiskas problēmas saistībā ar darbaspēka trūkumu un darbaspēka pārpalikumu. </w:t>
            </w:r>
            <w:r>
              <w:rPr>
                <w:rFonts w:ascii="Times New Roman" w:hAnsi="Times New Roman"/>
                <w:i/>
                <w:noProof/>
              </w:rPr>
              <w:t>EURES</w:t>
            </w:r>
            <w:r>
              <w:rPr>
                <w:rFonts w:ascii="Times New Roman" w:hAnsi="Times New Roman"/>
                <w:noProof/>
              </w:rPr>
              <w:t xml:space="preserve"> palīdz arī pārrobežu darba ņēmējiem un darba devējiem gan pārrobežu partnerību ietvaros, gan citu darbību kontekstā pārrobežu reģionos.</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Reglamentējošā līmenī </w:t>
            </w:r>
            <w:r>
              <w:rPr>
                <w:rFonts w:ascii="Times New Roman" w:hAnsi="Times New Roman"/>
                <w:b/>
                <w:i/>
                <w:noProof/>
              </w:rPr>
              <w:t>EURES</w:t>
            </w:r>
            <w:r>
              <w:rPr>
                <w:rFonts w:ascii="Times New Roman" w:hAnsi="Times New Roman"/>
                <w:b/>
                <w:noProof/>
              </w:rPr>
              <w:t xml:space="preserve"> regulas</w:t>
            </w:r>
            <w:r>
              <w:rPr>
                <w:rFonts w:ascii="Times New Roman" w:hAnsi="Times New Roman"/>
                <w:noProof/>
              </w:rPr>
              <w:t xml:space="preserve"> (kas stājās spēkā 2016. gadā) </w:t>
            </w:r>
            <w:r>
              <w:rPr>
                <w:rFonts w:ascii="Times New Roman" w:hAnsi="Times New Roman"/>
                <w:b/>
                <w:noProof/>
              </w:rPr>
              <w:t>īstenošana</w:t>
            </w:r>
            <w:r>
              <w:rPr>
                <w:rFonts w:ascii="Times New Roman" w:hAnsi="Times New Roman"/>
                <w:noProof/>
              </w:rPr>
              <w:t xml:space="preserve"> ir pabeigta lielākajā daļā jomu. VKB ir noteikti, valsts nodarbinātības dienesti (VND) ir iecelti par valsts </w:t>
            </w:r>
            <w:r>
              <w:rPr>
                <w:rFonts w:ascii="Times New Roman" w:hAnsi="Times New Roman"/>
                <w:i/>
                <w:noProof/>
              </w:rPr>
              <w:t>EURES</w:t>
            </w:r>
            <w:r>
              <w:rPr>
                <w:rFonts w:ascii="Times New Roman" w:hAnsi="Times New Roman"/>
                <w:noProof/>
              </w:rPr>
              <w:t xml:space="preserve"> tīklu dalībniekiem, un ir ieviestas jaunu dalībnieku un partneru uzņemšanas sistēmas. IT jomā — brīvo darbvietu un CV pārredzamas apmaiņas īstenošana starp valstu datubāzēm un </w:t>
            </w:r>
            <w:r>
              <w:rPr>
                <w:rFonts w:ascii="Times New Roman" w:hAnsi="Times New Roman"/>
                <w:i/>
                <w:noProof/>
              </w:rPr>
              <w:t>EURES</w:t>
            </w:r>
            <w:r>
              <w:rPr>
                <w:rFonts w:ascii="Times New Roman" w:hAnsi="Times New Roman"/>
                <w:noProof/>
              </w:rPr>
              <w:t xml:space="preserve"> ir liels sasniegums, kas veicina darba piemeklēšanu Eiropas līmenī. </w:t>
            </w:r>
            <w:hyperlink r:id="rId19">
              <w:r>
                <w:rPr>
                  <w:rStyle w:val="Hyperlink"/>
                  <w:rFonts w:ascii="Times New Roman" w:hAnsi="Times New Roman"/>
                  <w:i/>
                  <w:noProof/>
                </w:rPr>
                <w:t>EURES</w:t>
              </w:r>
              <w:r>
                <w:rPr>
                  <w:rStyle w:val="Hyperlink"/>
                  <w:rFonts w:ascii="Times New Roman" w:hAnsi="Times New Roman"/>
                  <w:noProof/>
                </w:rPr>
                <w:t xml:space="preserve"> portālā</w:t>
              </w:r>
            </w:hyperlink>
            <w:r>
              <w:rPr>
                <w:rFonts w:ascii="Times New Roman" w:hAnsi="Times New Roman"/>
                <w:noProof/>
              </w:rPr>
              <w:t>, ko pārvalda Eiropas Koordinācijas birojs (EKB), katru dienu ir piemeklēšanai gatavi 3 miljoni darba piedāvājumu un vairāk nekā 400 000 CV. Eiropas prasmju/kompetenču, kvalifikāciju un profesiju klasifikācijas (</w:t>
            </w:r>
            <w:r>
              <w:rPr>
                <w:rFonts w:ascii="Times New Roman" w:hAnsi="Times New Roman"/>
                <w:i/>
                <w:noProof/>
              </w:rPr>
              <w:t>ESCO</w:t>
            </w:r>
            <w:r>
              <w:rPr>
                <w:rFonts w:ascii="Times New Roman" w:hAnsi="Times New Roman"/>
                <w:noProof/>
              </w:rPr>
              <w:t xml:space="preserve">) ieviešana vēl vairāk uzlabos digitālu darba piemeklēšanu un mērķtiecīgu darbā iekārtošanu ārzemēs. Turklāt ir pastiprināta tīkla pārvaldība, izmantojot jaunus uzraudzības un izpildes instrumentus. </w:t>
            </w:r>
          </w:p>
          <w:p>
            <w:pPr>
              <w:widowControl w:val="0"/>
              <w:spacing w:afterLines="30" w:after="72"/>
              <w:rPr>
                <w:rFonts w:ascii="Times New Roman" w:eastAsia="Times New Roman" w:hAnsi="Times New Roman" w:cs="Times New Roman"/>
                <w:noProof/>
                <w:szCs w:val="20"/>
              </w:rPr>
            </w:pPr>
            <w:r>
              <w:rPr>
                <w:rFonts w:ascii="Times New Roman" w:hAnsi="Times New Roman"/>
                <w:i/>
                <w:noProof/>
              </w:rPr>
              <w:t>EURES</w:t>
            </w:r>
            <w:r>
              <w:rPr>
                <w:rFonts w:ascii="Times New Roman" w:hAnsi="Times New Roman"/>
                <w:noProof/>
              </w:rPr>
              <w:t xml:space="preserve"> tīkla </w:t>
            </w:r>
            <w:r>
              <w:rPr>
                <w:rFonts w:ascii="Times New Roman" w:hAnsi="Times New Roman"/>
                <w:b/>
                <w:noProof/>
              </w:rPr>
              <w:t>svarīgākie uzdevumi</w:t>
            </w:r>
            <w:r>
              <w:rPr>
                <w:rFonts w:ascii="Times New Roman" w:hAnsi="Times New Roman"/>
                <w:noProof/>
              </w:rPr>
              <w:t xml:space="preserve"> joprojām ir pabeigt īstenot informācijas apmaiņu par CV un brīvajām darbvietām, iesaistot visas dalībvalstis. Jaunu dalībnieku un partneru uzņemšana, kas ļaus paplašināt </w:t>
            </w:r>
            <w:r>
              <w:rPr>
                <w:rFonts w:ascii="Times New Roman" w:hAnsi="Times New Roman"/>
                <w:i/>
                <w:noProof/>
              </w:rPr>
              <w:t>EURES</w:t>
            </w:r>
            <w:r>
              <w:rPr>
                <w:rFonts w:ascii="Times New Roman" w:hAnsi="Times New Roman"/>
                <w:noProof/>
              </w:rPr>
              <w:t xml:space="preserve"> tīklu un ietver privātā sektora dalībniekus nodarbinātības kontekstā, pārskata perioda beigās ir tikai uzsākta. Saistībā ar turpmāku attīstību svarīgas jomas joprojām ir arī sinerģiju veidošana ar tādām papildinošām iniciatīvām kā </w:t>
            </w:r>
            <w:r>
              <w:rPr>
                <w:rFonts w:ascii="Times New Roman" w:hAnsi="Times New Roman"/>
                <w:i/>
                <w:noProof/>
              </w:rPr>
              <w:t>EUROPASS2</w:t>
            </w:r>
            <w:r>
              <w:rPr>
                <w:rFonts w:ascii="Times New Roman" w:hAnsi="Times New Roman"/>
                <w:noProof/>
              </w:rPr>
              <w:t xml:space="preserve"> un vienotā digitālā vārteja, kā arī sadarbības racionalizēšana. Labāka </w:t>
            </w:r>
            <w:r>
              <w:rPr>
                <w:rFonts w:ascii="Times New Roman" w:hAnsi="Times New Roman"/>
                <w:i/>
                <w:noProof/>
              </w:rPr>
              <w:t>EURES</w:t>
            </w:r>
            <w:r>
              <w:rPr>
                <w:rFonts w:ascii="Times New Roman" w:hAnsi="Times New Roman"/>
                <w:noProof/>
              </w:rPr>
              <w:t xml:space="preserve"> mobilitātes shēmu integrēšana un pārrobežu partnerības tīkla vispārējās stratēģijas ietvaros, jo īpaši īstenojot sistemātiskāku informācijas apmaiņu starp </w:t>
            </w:r>
            <w:r>
              <w:rPr>
                <w:rFonts w:ascii="Times New Roman" w:hAnsi="Times New Roman"/>
                <w:i/>
                <w:noProof/>
              </w:rPr>
              <w:t>EURES</w:t>
            </w:r>
            <w:r>
              <w:rPr>
                <w:rFonts w:ascii="Times New Roman" w:hAnsi="Times New Roman"/>
                <w:noProof/>
              </w:rPr>
              <w:t xml:space="preserve"> dalībniekiem un partneriem, radīs papildu ietekmi tīkla izmantošanas kontekstā. </w:t>
            </w:r>
          </w:p>
          <w:p>
            <w:pPr>
              <w:widowControl w:val="0"/>
              <w:spacing w:afterLines="30" w:after="72"/>
              <w:rPr>
                <w:rFonts w:ascii="Times New Roman" w:hAnsi="Times New Roman"/>
                <w:noProof/>
              </w:rPr>
            </w:pPr>
            <w:r>
              <w:rPr>
                <w:rFonts w:ascii="Times New Roman" w:hAnsi="Times New Roman"/>
                <w:i/>
                <w:noProof/>
              </w:rPr>
              <w:t>EURES</w:t>
            </w:r>
            <w:r>
              <w:rPr>
                <w:rFonts w:ascii="Times New Roman" w:hAnsi="Times New Roman"/>
                <w:noProof/>
              </w:rPr>
              <w:t xml:space="preserve"> tīkla </w:t>
            </w:r>
            <w:r>
              <w:rPr>
                <w:rFonts w:ascii="Times New Roman" w:hAnsi="Times New Roman"/>
                <w:b/>
                <w:noProof/>
              </w:rPr>
              <w:t>turpmākās attīstības virziens</w:t>
            </w:r>
            <w:r>
              <w:rPr>
                <w:rFonts w:ascii="Times New Roman" w:hAnsi="Times New Roman"/>
                <w:noProof/>
              </w:rPr>
              <w:t xml:space="preserve"> ir nodrošināt, lai </w:t>
            </w:r>
            <w:r>
              <w:rPr>
                <w:rFonts w:ascii="Times New Roman" w:hAnsi="Times New Roman"/>
                <w:i/>
                <w:noProof/>
              </w:rPr>
              <w:t>EURES</w:t>
            </w:r>
            <w:r>
              <w:rPr>
                <w:rFonts w:ascii="Times New Roman" w:hAnsi="Times New Roman"/>
                <w:noProof/>
              </w:rPr>
              <w:t xml:space="preserve"> darbotos kā dinamisks tīkls, kurā ir palielināts dalībnieku skaits, vairāk darbību un pakalpojumu un uzlabota komunikācija, tostarp sociālajos plašsaziņas līdzekļos. Pāreja uz jaunu datu apmaiņas sistēmu attiecībā uz brīvajām darbvietām un CV ir būtiski pavirzījusies uz priekšu, lai galu galā izveidotos par pilnvērtīgu piemeklēšanas sistēmu un darbā iekārtošanas instrumentu. </w:t>
            </w:r>
            <w:r>
              <w:rPr>
                <w:rFonts w:ascii="Times New Roman" w:hAnsi="Times New Roman"/>
                <w:i/>
                <w:noProof/>
              </w:rPr>
              <w:t>EURES</w:t>
            </w:r>
            <w:r>
              <w:rPr>
                <w:rFonts w:ascii="Times New Roman" w:hAnsi="Times New Roman"/>
                <w:noProof/>
              </w:rPr>
              <w:t xml:space="preserve"> tīkla pamatā ir cieša sadarbība starp VND un citiem </w:t>
            </w:r>
            <w:r>
              <w:rPr>
                <w:rFonts w:ascii="Times New Roman" w:hAnsi="Times New Roman"/>
                <w:i/>
                <w:noProof/>
              </w:rPr>
              <w:t>EURES</w:t>
            </w:r>
            <w:r>
              <w:rPr>
                <w:rFonts w:ascii="Times New Roman" w:hAnsi="Times New Roman"/>
                <w:noProof/>
              </w:rPr>
              <w:t xml:space="preserve"> dalībniekiem un partneriem, kuri regulāri satiekas, lai apmainītos ar paraugpraksi savstarpējas apmācības pasākumos. Lai varētu turpināt </w:t>
            </w:r>
            <w:r>
              <w:rPr>
                <w:rFonts w:ascii="Times New Roman" w:hAnsi="Times New Roman"/>
                <w:i/>
                <w:noProof/>
              </w:rPr>
              <w:t>EURES</w:t>
            </w:r>
            <w:r>
              <w:rPr>
                <w:rFonts w:ascii="Times New Roman" w:hAnsi="Times New Roman"/>
                <w:noProof/>
              </w:rPr>
              <w:t xml:space="preserve"> tīkla integrāciju, būtiska nozīme ir atbalstam, ko sniedz EKB, nosakot </w:t>
            </w:r>
            <w:r>
              <w:rPr>
                <w:rFonts w:ascii="Times New Roman" w:hAnsi="Times New Roman"/>
                <w:i/>
                <w:noProof/>
              </w:rPr>
              <w:t>EURES</w:t>
            </w:r>
            <w:r>
              <w:rPr>
                <w:rFonts w:ascii="Times New Roman" w:hAnsi="Times New Roman"/>
                <w:noProof/>
              </w:rPr>
              <w:t xml:space="preserve"> darbību sinerģijas un pārklāšanos ar citām Eiropas iniciatīvām, izstrādājot norādījumus un uzlabojot tīklu, jo īpaši ar </w:t>
            </w:r>
            <w:r>
              <w:rPr>
                <w:rFonts w:ascii="Times New Roman" w:hAnsi="Times New Roman"/>
                <w:i/>
                <w:noProof/>
              </w:rPr>
              <w:t>EURES</w:t>
            </w:r>
            <w:r>
              <w:rPr>
                <w:rFonts w:ascii="Times New Roman" w:hAnsi="Times New Roman"/>
                <w:noProof/>
              </w:rPr>
              <w:t xml:space="preserve"> portāla starpniecību.</w:t>
            </w:r>
          </w:p>
          <w:p>
            <w:pPr>
              <w:widowControl w:val="0"/>
              <w:spacing w:afterLines="30" w:after="72"/>
              <w:rPr>
                <w:rFonts w:ascii="Times New Roman" w:eastAsia="Times New Roman" w:hAnsi="Times New Roman" w:cs="Times New Roman"/>
                <w:noProof/>
                <w:szCs w:val="20"/>
              </w:rPr>
            </w:pPr>
            <w:r>
              <w:rPr>
                <w:rFonts w:ascii="Times New Roman" w:eastAsia="Times New Roman" w:hAnsi="Times New Roman" w:cs="Times New Roman"/>
                <w:noProof/>
                <w:szCs w:val="20"/>
              </w:rPr>
              <w:t xml:space="preserve">Vidējā termiņā par </w:t>
            </w:r>
            <w:r>
              <w:rPr>
                <w:rFonts w:ascii="Times New Roman" w:eastAsia="Times New Roman" w:hAnsi="Times New Roman" w:cs="Times New Roman"/>
                <w:i/>
                <w:noProof/>
                <w:szCs w:val="20"/>
              </w:rPr>
              <w:t>EURES</w:t>
            </w:r>
            <w:r>
              <w:rPr>
                <w:rFonts w:ascii="Times New Roman" w:eastAsia="Times New Roman" w:hAnsi="Times New Roman" w:cs="Times New Roman"/>
                <w:noProof/>
                <w:szCs w:val="20"/>
              </w:rPr>
              <w:t xml:space="preserve"> koordinēšanas darbībām būs atbildīga </w:t>
            </w:r>
            <w:r>
              <w:rPr>
                <w:rFonts w:ascii="Times New Roman" w:hAnsi="Times New Roman" w:cs="Times New Roman"/>
                <w:noProof/>
                <w:szCs w:val="24"/>
              </w:rPr>
              <w:t xml:space="preserve">Eiropas Darba iestāde (EDI), kuru 2018. gada martā ierosināja </w:t>
            </w:r>
            <w:r>
              <w:rPr>
                <w:rFonts w:ascii="Times New Roman" w:eastAsia="Times New Roman" w:hAnsi="Times New Roman" w:cs="Times New Roman"/>
                <w:noProof/>
                <w:szCs w:val="20"/>
              </w:rPr>
              <w:t xml:space="preserve">Komisija un par ko Eiropas Parlaments un Padome 2019. gada februārī </w:t>
            </w:r>
            <w:r>
              <w:rPr>
                <w:rFonts w:ascii="Times New Roman" w:eastAsia="Times New Roman" w:hAnsi="Times New Roman" w:cs="Times New Roman"/>
                <w:noProof/>
                <w:szCs w:val="24"/>
              </w:rPr>
              <w:t xml:space="preserve">panāca </w:t>
            </w:r>
            <w:r>
              <w:rPr>
                <w:rFonts w:ascii="Times New Roman" w:hAnsi="Times New Roman" w:cs="Times New Roman"/>
                <w:noProof/>
                <w:szCs w:val="24"/>
              </w:rPr>
              <w:t xml:space="preserve">pagaidu vienošanos. Tas tiks panākts, oficiāli pārceļot </w:t>
            </w:r>
            <w:r>
              <w:rPr>
                <w:rFonts w:ascii="Times New Roman" w:hAnsi="Times New Roman" w:cs="Times New Roman"/>
                <w:i/>
                <w:noProof/>
                <w:szCs w:val="24"/>
              </w:rPr>
              <w:t>EURES</w:t>
            </w:r>
            <w:r>
              <w:rPr>
                <w:rFonts w:ascii="Times New Roman" w:hAnsi="Times New Roman" w:cs="Times New Roman"/>
                <w:noProof/>
                <w:szCs w:val="24"/>
              </w:rPr>
              <w:t xml:space="preserve"> </w:t>
            </w:r>
            <w:r>
              <w:rPr>
                <w:rFonts w:ascii="Times New Roman" w:hAnsi="Times New Roman"/>
                <w:noProof/>
              </w:rPr>
              <w:t xml:space="preserve">Eiropas Koordinācijas biroju (EKB) </w:t>
            </w:r>
            <w:r>
              <w:rPr>
                <w:rFonts w:ascii="Times New Roman" w:hAnsi="Times New Roman" w:cs="Times New Roman"/>
                <w:noProof/>
                <w:szCs w:val="24"/>
              </w:rPr>
              <w:t xml:space="preserve">uz EDI. Esot EDI paspārnē, EKB stiprinās </w:t>
            </w:r>
            <w:r>
              <w:rPr>
                <w:rFonts w:ascii="Times New Roman" w:hAnsi="Times New Roman" w:cs="Times New Roman"/>
                <w:i/>
                <w:noProof/>
                <w:szCs w:val="24"/>
              </w:rPr>
              <w:t>EURES</w:t>
            </w:r>
            <w:r>
              <w:rPr>
                <w:rFonts w:ascii="Times New Roman" w:hAnsi="Times New Roman" w:cs="Times New Roman"/>
                <w:noProof/>
                <w:szCs w:val="24"/>
              </w:rPr>
              <w:t xml:space="preserve"> nozīmi taisnīgas mobilitātes nosacījumu sekmēšanā. Tādējādi tiks gūts labumu no ES </w:t>
            </w:r>
            <w:r>
              <w:rPr>
                <w:rFonts w:ascii="Times New Roman" w:hAnsi="Times New Roman"/>
                <w:noProof/>
              </w:rPr>
              <w:t xml:space="preserve">darbaspēka </w:t>
            </w:r>
            <w:r>
              <w:rPr>
                <w:rFonts w:ascii="Times New Roman" w:hAnsi="Times New Roman" w:cs="Times New Roman"/>
                <w:noProof/>
                <w:szCs w:val="24"/>
              </w:rPr>
              <w:t>mobilitātei veltītas visaptverošas darbības struktūras, kā arī no dažādu nozaru specializētām zināšanām, kas var sniegt idejas par turpmāk risināmiem jautājumiem vai inovatīvām politikas pieejām un rīkiem. Savukārt, EKB sniegs zinošu ieguldījumu iestādes darbībā.</w:t>
            </w:r>
          </w:p>
        </w:tc>
      </w:tr>
    </w:tbl>
    <w:p>
      <w:pPr>
        <w:pStyle w:val="Heading1"/>
        <w:widowControl w:val="0"/>
        <w:spacing w:before="1080"/>
        <w:ind w:left="482" w:hanging="482"/>
        <w:rPr>
          <w:noProof/>
        </w:rPr>
      </w:pPr>
      <w:bookmarkStart w:id="4" w:name="_Toc534893423"/>
      <w:bookmarkStart w:id="5" w:name="_Toc765036"/>
      <w:r>
        <w:rPr>
          <w:noProof/>
        </w:rPr>
        <w:t>Ievads</w:t>
      </w:r>
      <w:bookmarkEnd w:id="4"/>
      <w:bookmarkEnd w:id="5"/>
    </w:p>
    <w:p>
      <w:pPr>
        <w:pStyle w:val="Heading2"/>
        <w:keepNext w:val="0"/>
        <w:widowControl w:val="0"/>
        <w:spacing w:after="120"/>
        <w:rPr>
          <w:noProof/>
        </w:rPr>
      </w:pPr>
      <w:bookmarkStart w:id="6" w:name="_Toc534893424"/>
      <w:bookmarkStart w:id="7" w:name="_Toc765037"/>
      <w:r>
        <w:rPr>
          <w:noProof/>
        </w:rPr>
        <w:t xml:space="preserve">Kas ir </w:t>
      </w:r>
      <w:r>
        <w:rPr>
          <w:i/>
          <w:noProof/>
        </w:rPr>
        <w:t>EURES</w:t>
      </w:r>
      <w:r>
        <w:rPr>
          <w:noProof/>
        </w:rPr>
        <w:t>?</w:t>
      </w:r>
      <w:bookmarkEnd w:id="6"/>
      <w:bookmarkEnd w:id="7"/>
    </w:p>
    <w:p>
      <w:pPr>
        <w:widowControl w:val="0"/>
        <w:spacing w:afterLines="40" w:after="96"/>
        <w:rPr>
          <w:noProof/>
        </w:rPr>
      </w:pPr>
      <w:r>
        <w:rPr>
          <w:i/>
          <w:noProof/>
        </w:rPr>
        <w:t>EURES</w:t>
      </w:r>
      <w:r>
        <w:rPr>
          <w:noProof/>
        </w:rPr>
        <w:t xml:space="preserve"> ir </w:t>
      </w:r>
      <w:r>
        <w:rPr>
          <w:b/>
          <w:noProof/>
        </w:rPr>
        <w:t>sadarbības tīkls</w:t>
      </w:r>
      <w:r>
        <w:rPr>
          <w:noProof/>
        </w:rPr>
        <w:t>, kurā piedalās Eiropas Komisija un citi dalībnieki un partneri (piem., valsts nodarbinātības dienesti (VND)) no visām ES valstīm, kā arī Islandes, Lihtenšteinas, Norvēģijas un Šveices (turpmāk tekstā “</w:t>
      </w:r>
      <w:r>
        <w:rPr>
          <w:i/>
          <w:noProof/>
        </w:rPr>
        <w:t>EURES</w:t>
      </w:r>
      <w:r>
        <w:rPr>
          <w:noProof/>
        </w:rPr>
        <w:t xml:space="preserve"> dalībvalstis”). Kopš savas darbības sākuma 1994. gadā </w:t>
      </w:r>
      <w:r>
        <w:rPr>
          <w:i/>
          <w:noProof/>
        </w:rPr>
        <w:t xml:space="preserve">EURES </w:t>
      </w:r>
      <w:r>
        <w:rPr>
          <w:noProof/>
        </w:rPr>
        <w:t xml:space="preserve">ir palīdzējis cilvēkiem gūt labumu no tā, ka tiek īstenots viens no Eiropas Savienības pamatprincipiem — </w:t>
      </w:r>
      <w:r>
        <w:rPr>
          <w:b/>
          <w:noProof/>
        </w:rPr>
        <w:t>darba ņēmēju pārvietošanās brīvība</w:t>
      </w:r>
      <w:r>
        <w:rPr>
          <w:noProof/>
        </w:rPr>
        <w:t xml:space="preserve">. </w:t>
      </w:r>
      <w:r>
        <w:rPr>
          <w:i/>
          <w:noProof/>
        </w:rPr>
        <w:t>EURES</w:t>
      </w:r>
      <w:r>
        <w:rPr>
          <w:noProof/>
        </w:rPr>
        <w:t xml:space="preserve"> sniedz unikālu informācijas un nodarbinātības pakalpojumu klāstu darba meklētājiem un darba devējiem, kuriem ir interese par nodarbinātības iespējām vai darba meklētāju pieņemšanu darbā visā Eiropā</w:t>
      </w:r>
      <w:r>
        <w:rPr>
          <w:rStyle w:val="FootnoteReference"/>
          <w:noProof/>
        </w:rPr>
        <w:footnoteReference w:id="1"/>
      </w:r>
      <w:r>
        <w:rPr>
          <w:noProof/>
        </w:rPr>
        <w:t>.</w:t>
      </w:r>
    </w:p>
    <w:p>
      <w:pPr>
        <w:widowControl w:val="0"/>
        <w:spacing w:beforeLines="60" w:before="144" w:afterLines="60" w:after="144"/>
        <w:rPr>
          <w:i/>
          <w:noProof/>
        </w:rPr>
      </w:pPr>
      <w:r>
        <w:rPr>
          <w:b/>
          <w:noProof/>
        </w:rPr>
        <w:t xml:space="preserve">Jaunā </w:t>
      </w:r>
      <w:r>
        <w:rPr>
          <w:b/>
          <w:i/>
          <w:noProof/>
        </w:rPr>
        <w:t>EURES</w:t>
      </w:r>
      <w:r>
        <w:rPr>
          <w:b/>
          <w:noProof/>
        </w:rPr>
        <w:t xml:space="preserve"> regula — Regula (ES) 2016/589</w:t>
      </w:r>
      <w:r>
        <w:rPr>
          <w:noProof/>
        </w:rPr>
        <w:t> — stājās spēkā 2016. gadā nolūkā izveidot plašāku un spēcīgāku tīklu, kurā ņem dalību Eiropas nodarbinātības dienesti — gan publiski, gan privāti —, lai nodrošinātu efektīvāku informācijas apmaiņu par darba tirgus aspektiem pārrobežu līmenī, atbalstot darbā iekārtošanu visā ES/EEZ teritorijā</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765038"/>
      <w:r>
        <w:rPr>
          <w:noProof/>
        </w:rPr>
        <w:t>EURES pakalpojumi darba meklētājiem un darba devējiem</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Palīdzēt darba meklētājiem </w:t>
            </w:r>
            <w:r>
              <w:rPr>
                <w:rFonts w:ascii="Times New Roman" w:hAnsi="Times New Roman"/>
                <w:b/>
                <w:noProof/>
                <w:sz w:val="22"/>
              </w:rPr>
              <w:t>atrast darbu</w:t>
            </w:r>
            <w:r>
              <w:rPr>
                <w:rFonts w:ascii="Times New Roman" w:hAnsi="Times New Roman"/>
                <w:noProof/>
                <w:sz w:val="22"/>
              </w:rPr>
              <w:t xml:space="preserve"> un darba devējiem </w:t>
            </w:r>
            <w:r>
              <w:rPr>
                <w:rFonts w:ascii="Times New Roman" w:hAnsi="Times New Roman"/>
                <w:b/>
                <w:noProof/>
                <w:sz w:val="22"/>
              </w:rPr>
              <w:t>atrast kandidātus</w:t>
            </w:r>
            <w:r>
              <w:rPr>
                <w:rFonts w:ascii="Times New Roman" w:hAnsi="Times New Roman"/>
                <w:noProof/>
                <w:sz w:val="22"/>
              </w:rPr>
              <w:t xml:space="preserve"> visā Eiropā;</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i/>
                <w:noProof/>
                <w:sz w:val="22"/>
              </w:rPr>
              <w:t>EURES</w:t>
            </w:r>
            <w:r>
              <w:rPr>
                <w:rFonts w:ascii="Times New Roman" w:hAnsi="Times New Roman" w:cs="Times New Roman"/>
                <w:noProof/>
                <w:sz w:val="22"/>
              </w:rPr>
              <w:t xml:space="preserve"> darbvietu mobilitātes portālā </w:t>
            </w:r>
            <w:r>
              <w:rPr>
                <w:rFonts w:ascii="Times New Roman" w:hAnsi="Times New Roman" w:cs="Times New Roman"/>
                <w:b/>
                <w:noProof/>
                <w:sz w:val="22"/>
              </w:rPr>
              <w:t>piemeklēt</w:t>
            </w:r>
            <w:r>
              <w:rPr>
                <w:rFonts w:ascii="Times New Roman" w:hAnsi="Times New Roman" w:cs="Times New Roman"/>
                <w:noProof/>
                <w:sz w:val="22"/>
              </w:rPr>
              <w:t xml:space="preserve"> brīvas darbvietas un CV;</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informācija, norādījumi</w:t>
            </w:r>
            <w:r>
              <w:rPr>
                <w:rFonts w:ascii="Times New Roman" w:hAnsi="Times New Roman" w:cs="Times New Roman"/>
                <w:noProof/>
                <w:sz w:val="22"/>
              </w:rPr>
              <w:t xml:space="preserve"> un citi atbalsta pakalpojumi darba ņēmējiem un darba devējiem saistībā ar darbaspēka mobilitāti;</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b/>
                <w:noProof/>
                <w:sz w:val="22"/>
              </w:rPr>
              <w:t>palīdzība pēc darbā pieņemšanas</w:t>
            </w:r>
            <w:r>
              <w:rPr>
                <w:rFonts w:ascii="Times New Roman" w:hAnsi="Times New Roman" w:cs="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cs="Times New Roman"/>
                <w:noProof/>
                <w:sz w:val="22"/>
              </w:rPr>
              <w:t xml:space="preserve">piekļuve informācijai par aspektiem, kas saistīti ar </w:t>
            </w:r>
            <w:r>
              <w:rPr>
                <w:rFonts w:ascii="Times New Roman" w:hAnsi="Times New Roman" w:cs="Times New Roman"/>
                <w:b/>
                <w:noProof/>
                <w:sz w:val="22"/>
              </w:rPr>
              <w:t>dzīves un darba apstākļiem</w:t>
            </w:r>
            <w:r>
              <w:rPr>
                <w:rFonts w:ascii="Times New Roman" w:hAnsi="Times New Roman" w:cs="Times New Roman"/>
                <w:noProof/>
                <w:sz w:val="22"/>
              </w:rPr>
              <w:t>, piemēram, par nodokļu jautājumiem, pensijām</w:t>
            </w:r>
            <w:r>
              <w:rPr>
                <w:rFonts w:ascii="Times New Roman" w:hAnsi="Times New Roman"/>
                <w:noProof/>
                <w:sz w:val="22"/>
              </w:rPr>
              <w:t xml:space="preserve">, veselības apdrošināšanu un sociālo nodrošinājumu </w:t>
            </w:r>
            <w:r>
              <w:rPr>
                <w:rFonts w:ascii="Times New Roman" w:hAnsi="Times New Roman"/>
                <w:i/>
                <w:noProof/>
                <w:sz w:val="22"/>
              </w:rPr>
              <w:t>EURES</w:t>
            </w:r>
            <w:r>
              <w:rPr>
                <w:rFonts w:ascii="Times New Roman" w:hAnsi="Times New Roman"/>
                <w:noProof/>
                <w:sz w:val="22"/>
              </w:rPr>
              <w:t xml:space="preserve"> dalībvalstīs;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īpaši atbalsta pasākumi pārrobežu darba ņēmējiem un darba devējiem </w:t>
            </w:r>
            <w:r>
              <w:rPr>
                <w:rFonts w:ascii="Times New Roman" w:hAnsi="Times New Roman"/>
                <w:b/>
                <w:noProof/>
                <w:sz w:val="22"/>
              </w:rPr>
              <w:t>pārrobežu reģionos</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atbalsts īpašām grupām ar </w:t>
            </w:r>
            <w:r>
              <w:rPr>
                <w:rFonts w:ascii="Times New Roman" w:hAnsi="Times New Roman"/>
                <w:i/>
                <w:noProof/>
                <w:sz w:val="22"/>
              </w:rPr>
              <w:t>EURES</w:t>
            </w:r>
            <w:r>
              <w:rPr>
                <w:rFonts w:ascii="Times New Roman" w:hAnsi="Times New Roman"/>
                <w:noProof/>
                <w:sz w:val="22"/>
              </w:rPr>
              <w:t xml:space="preserve"> saistītu </w:t>
            </w:r>
            <w:r>
              <w:rPr>
                <w:rFonts w:ascii="Times New Roman" w:hAnsi="Times New Roman"/>
                <w:b/>
                <w:noProof/>
                <w:sz w:val="22"/>
              </w:rPr>
              <w:t>mērķtiecīgu mobilitātes shēmu</w:t>
            </w:r>
            <w:r>
              <w:rPr>
                <w:rFonts w:ascii="Times New Roman" w:hAnsi="Times New Roman"/>
                <w:noProof/>
                <w:sz w:val="22"/>
              </w:rPr>
              <w:t xml:space="preserve"> kontekstā;</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b/>
                <w:noProof/>
                <w:sz w:val="22"/>
              </w:rPr>
              <w:t>jauniešiem</w:t>
            </w:r>
            <w:r>
              <w:rPr>
                <w:rFonts w:ascii="Times New Roman" w:hAnsi="Times New Roman"/>
                <w:noProof/>
                <w:sz w:val="22"/>
              </w:rPr>
              <w:t xml:space="preserve"> paredzēto </w:t>
            </w:r>
            <w:r>
              <w:rPr>
                <w:rFonts w:ascii="Times New Roman" w:hAnsi="Times New Roman"/>
                <w:b/>
                <w:noProof/>
                <w:sz w:val="22"/>
              </w:rPr>
              <w:t>iespēju</w:t>
            </w:r>
            <w:r>
              <w:rPr>
                <w:rFonts w:ascii="Times New Roman" w:hAnsi="Times New Roman"/>
                <w:noProof/>
                <w:sz w:val="22"/>
              </w:rPr>
              <w:t xml:space="preserve"> reklamēšana, cita starpā ar projekta </w:t>
            </w:r>
            <w:r>
              <w:rPr>
                <w:rFonts w:ascii="Times New Roman" w:hAnsi="Times New Roman"/>
                <w:b/>
                <w:noProof/>
                <w:sz w:val="22"/>
              </w:rPr>
              <w:t>Drop'pin@EURES</w:t>
            </w:r>
            <w:r>
              <w:rPr>
                <w:rFonts w:ascii="Times New Roman" w:hAnsi="Times New Roman"/>
                <w:noProof/>
                <w:sz w:val="22"/>
              </w:rPr>
              <w:t xml:space="preserve"> starpniecību;</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atbalsts pasākumiem saistībā ar dinamisku pieņemšanu darbā, izmantojot platformu </w:t>
            </w:r>
            <w:r>
              <w:rPr>
                <w:rFonts w:ascii="Times New Roman" w:hAnsi="Times New Roman"/>
                <w:b/>
                <w:noProof/>
                <w:sz w:val="22"/>
              </w:rPr>
              <w:t>“Eiropas Tiešsaistes darba dienas” (ETDD)</w:t>
            </w:r>
            <w:r>
              <w:rPr>
                <w:rFonts w:ascii="Times New Roman" w:hAnsi="Times New Roman"/>
                <w:noProof/>
                <w:sz w:val="22"/>
              </w:rPr>
              <w:t>.</w:t>
            </w:r>
          </w:p>
        </w:tc>
      </w:tr>
    </w:tbl>
    <w:p>
      <w:pPr>
        <w:pStyle w:val="Heading3"/>
        <w:spacing w:before="240" w:after="120"/>
        <w:ind w:left="2279"/>
        <w:rPr>
          <w:noProof/>
        </w:rPr>
      </w:pPr>
      <w:bookmarkStart w:id="10" w:name="_Toc534893426"/>
      <w:bookmarkStart w:id="11" w:name="_Toc765039"/>
      <w:r>
        <w:rPr>
          <w:noProof/>
        </w:rPr>
        <w:t>Divi pīlāri: EURES darbvietu mobilitātes portāls un cilvēku tīkls</w:t>
      </w:r>
      <w:bookmarkEnd w:id="10"/>
      <w:bookmarkEnd w:id="11"/>
      <w:r>
        <w:rPr>
          <w:noProof/>
        </w:rPr>
        <w:t xml:space="preserve"> </w:t>
      </w:r>
    </w:p>
    <w:p>
      <w:pPr>
        <w:widowControl w:val="0"/>
        <w:spacing w:after="120"/>
        <w:rPr>
          <w:noProof/>
        </w:rPr>
      </w:pPr>
      <w:r>
        <w:rPr>
          <w:i/>
          <w:noProof/>
        </w:rPr>
        <w:t>EURES</w:t>
      </w:r>
      <w:r>
        <w:rPr>
          <w:noProof/>
        </w:rPr>
        <w:t xml:space="preserve"> veido svarīgu daļu darba tirgus atbalsta struktūrā, ko ES attīstījusi pēdējās desmitgadēs, lai uzlabotu ES sociālos un ekonomiskos rezultātus. Šajā tīklā lielākā uzmanība tiek pievērsta </w:t>
      </w:r>
      <w:r>
        <w:rPr>
          <w:b/>
          <w:noProof/>
        </w:rPr>
        <w:t>informācijas</w:t>
      </w:r>
      <w:r>
        <w:rPr>
          <w:noProof/>
        </w:rPr>
        <w:t xml:space="preserve"> un </w:t>
      </w:r>
      <w:r>
        <w:rPr>
          <w:b/>
          <w:noProof/>
        </w:rPr>
        <w:t>norādījumu sniegšanai par darba piemeklēšanu un darbā iekārtošanu</w:t>
      </w:r>
      <w:r>
        <w:rPr>
          <w:noProof/>
        </w:rPr>
        <w:t xml:space="preserve"> tiem, kuriem ir interese par strādāšanu citās </w:t>
      </w:r>
      <w:r>
        <w:rPr>
          <w:i/>
          <w:noProof/>
        </w:rPr>
        <w:t>EURES</w:t>
      </w:r>
      <w:r>
        <w:rPr>
          <w:noProof/>
        </w:rPr>
        <w:t xml:space="preserve"> dalībvalstīs, un darba devējiem, kuri ir ieinteresēti pieņemt darbā darbiniekus no citām </w:t>
      </w:r>
      <w:r>
        <w:rPr>
          <w:i/>
          <w:noProof/>
        </w:rPr>
        <w:t>EURES</w:t>
      </w:r>
      <w:r>
        <w:rPr>
          <w:noProof/>
        </w:rPr>
        <w:t xml:space="preserve"> dalībvalstīm. Tas sniedz savus pakalpojumus, izmantojot divus galvenos kanālus, kuri viens otru papildina, — </w:t>
      </w:r>
      <w:r>
        <w:rPr>
          <w:i/>
          <w:noProof/>
        </w:rPr>
        <w:t>EURES</w:t>
      </w:r>
      <w:r>
        <w:rPr>
          <w:noProof/>
        </w:rPr>
        <w:t xml:space="preserve"> portālu un </w:t>
      </w:r>
      <w:r>
        <w:rPr>
          <w:i/>
          <w:noProof/>
        </w:rPr>
        <w:t>EURES</w:t>
      </w:r>
      <w:r>
        <w:rPr>
          <w:noProof/>
        </w:rPr>
        <w:t xml:space="preserve"> darbinieku tīklu visā Eiropā.</w:t>
      </w:r>
    </w:p>
    <w:p>
      <w:pPr>
        <w:pStyle w:val="Heading4"/>
        <w:widowControl w:val="0"/>
        <w:spacing w:before="120" w:after="120"/>
        <w:ind w:left="1922"/>
        <w:rPr>
          <w:noProof/>
        </w:rPr>
      </w:pPr>
      <w:r>
        <w:rPr>
          <w:noProof/>
        </w:rPr>
        <w:t xml:space="preserve">  </w:t>
      </w:r>
      <w:r>
        <w:rPr>
          <w:i/>
          <w:noProof/>
        </w:rPr>
        <w:t>EURES</w:t>
      </w:r>
      <w:r>
        <w:rPr>
          <w:noProof/>
        </w:rPr>
        <w:t xml:space="preserve"> darbvietu mobilitātes portāls</w:t>
      </w:r>
    </w:p>
    <w:p>
      <w:pPr>
        <w:widowControl w:val="0"/>
        <w:spacing w:afterLines="60" w:after="144"/>
        <w:rPr>
          <w:noProof/>
        </w:rPr>
      </w:pPr>
      <w:r>
        <w:rPr>
          <w:i/>
          <w:noProof/>
        </w:rPr>
        <w:t>EURES</w:t>
      </w:r>
      <w:r>
        <w:rPr>
          <w:noProof/>
        </w:rPr>
        <w:t xml:space="preserve"> regulāri ir viena no piecām apmeklētākajām tīmekļa vietnēm domēnā europa.eu. Tikai 2017. gadā vien </w:t>
      </w:r>
      <w:r>
        <w:rPr>
          <w:i/>
          <w:noProof/>
        </w:rPr>
        <w:t>EURES</w:t>
      </w:r>
      <w:r>
        <w:rPr>
          <w:noProof/>
        </w:rPr>
        <w:t xml:space="preserve"> tīmekļa vietne tika apmeklēta pavisam 14 880 000 reižu un skatīta 48 350 000 reižu. Katru dienu </w:t>
      </w:r>
      <w:r>
        <w:rPr>
          <w:i/>
          <w:noProof/>
        </w:rPr>
        <w:t>EURES</w:t>
      </w:r>
      <w:r>
        <w:rPr>
          <w:noProof/>
        </w:rPr>
        <w:t xml:space="preserve"> darbvietu mobilitātes portālā ir pieejami aptuveni </w:t>
      </w:r>
      <w:r>
        <w:rPr>
          <w:b/>
          <w:noProof/>
        </w:rPr>
        <w:t>3 miljoni darbvietu</w:t>
      </w:r>
      <w:r>
        <w:rPr>
          <w:noProof/>
        </w:rPr>
        <w:t xml:space="preserve"> un </w:t>
      </w:r>
      <w:r>
        <w:rPr>
          <w:b/>
          <w:noProof/>
        </w:rPr>
        <w:t>400 000 darba meklētāju CV</w:t>
      </w:r>
      <w:r>
        <w:rPr>
          <w:rStyle w:val="FootnoteReference"/>
          <w:b/>
          <w:noProof/>
        </w:rPr>
        <w:footnoteReference w:id="3"/>
      </w:r>
      <w:r>
        <w:rPr>
          <w:noProof/>
        </w:rPr>
        <w:t xml:space="preserve">. Pārskata periodā šie rādītāji visās kategorijās pakāpeniski palielinājās. Laikposmā no 2017. gada jūnija līdz 2018. gada jūnijam </w:t>
      </w:r>
      <w:r>
        <w:rPr>
          <w:i/>
          <w:noProof/>
        </w:rPr>
        <w:t>EURES</w:t>
      </w:r>
      <w:r>
        <w:rPr>
          <w:noProof/>
        </w:rPr>
        <w:t xml:space="preserve"> portālā reģistrēto darba devēju skaits palielinājās par 30 % un darba meklētāju skaits — par 20 %.</w:t>
      </w:r>
    </w:p>
    <w:p>
      <w:pPr>
        <w:widowControl w:val="0"/>
        <w:spacing w:beforeLines="60" w:before="144" w:afterLines="60" w:after="144"/>
        <w:rPr>
          <w:noProof/>
        </w:rPr>
      </w:pPr>
      <w:r>
        <w:rPr>
          <w:i/>
          <w:noProof/>
        </w:rPr>
        <w:t>EURES</w:t>
      </w:r>
      <w:r>
        <w:rPr>
          <w:noProof/>
        </w:rPr>
        <w:t xml:space="preserve"> portāls nodrošina </w:t>
      </w:r>
      <w:r>
        <w:rPr>
          <w:b/>
          <w:noProof/>
        </w:rPr>
        <w:t>bezmaksas pašapkalpošanos</w:t>
      </w:r>
      <w:r>
        <w:rPr>
          <w:noProof/>
        </w:rPr>
        <w:t xml:space="preserve"> darba meklētājiem un darba devējiem, kuri reģistrējas nolūkā atrast darbu vai kandidātu. Gan darba devēji, gan darba meklētāji var izveidot kontus, kas ļauj tiem izmantot portāla meklēšanas un piemeklēšanas funkcijas, izveidot un saglabāt meklēšanas profilus un saņemt paziņojumus par e-pasta vēstulēm. </w:t>
      </w:r>
    </w:p>
    <w:p>
      <w:pPr>
        <w:pStyle w:val="Heading4"/>
        <w:widowControl w:val="0"/>
        <w:spacing w:before="120" w:after="120"/>
        <w:ind w:left="1922"/>
        <w:rPr>
          <w:noProof/>
        </w:rPr>
      </w:pPr>
      <w:r>
        <w:rPr>
          <w:noProof/>
        </w:rPr>
        <w:t xml:space="preserve">  </w:t>
      </w:r>
      <w:r>
        <w:rPr>
          <w:i/>
          <w:noProof/>
        </w:rPr>
        <w:t>EURES</w:t>
      </w:r>
      <w:r>
        <w:rPr>
          <w:noProof/>
        </w:rPr>
        <w:t xml:space="preserve"> cilvēku tīkls</w:t>
      </w:r>
    </w:p>
    <w:p>
      <w:pPr>
        <w:widowControl w:val="0"/>
        <w:spacing w:beforeLines="60" w:before="144" w:after="120"/>
        <w:rPr>
          <w:noProof/>
        </w:rPr>
      </w:pPr>
      <w:r>
        <w:rPr>
          <w:noProof/>
        </w:rPr>
        <w:t xml:space="preserve">Tīkls, kurā ir vairāk nekā </w:t>
      </w:r>
      <w:r>
        <w:rPr>
          <w:b/>
          <w:noProof/>
        </w:rPr>
        <w:t>1000 </w:t>
      </w:r>
      <w:r>
        <w:rPr>
          <w:b/>
          <w:i/>
          <w:noProof/>
        </w:rPr>
        <w:t>EURES</w:t>
      </w:r>
      <w:r>
        <w:rPr>
          <w:b/>
          <w:noProof/>
        </w:rPr>
        <w:t xml:space="preserve"> darbinieku</w:t>
      </w:r>
      <w:r>
        <w:rPr>
          <w:rStyle w:val="FootnoteReference"/>
          <w:b/>
          <w:noProof/>
        </w:rPr>
        <w:footnoteReference w:id="4"/>
      </w:r>
      <w:r>
        <w:rPr>
          <w:noProof/>
        </w:rPr>
        <w:t xml:space="preserve"> no </w:t>
      </w:r>
      <w:r>
        <w:rPr>
          <w:b/>
          <w:noProof/>
        </w:rPr>
        <w:t>32 </w:t>
      </w:r>
      <w:r>
        <w:rPr>
          <w:b/>
          <w:i/>
          <w:noProof/>
        </w:rPr>
        <w:t>EURES</w:t>
      </w:r>
      <w:r>
        <w:rPr>
          <w:b/>
          <w:noProof/>
        </w:rPr>
        <w:t xml:space="preserve"> dalībvalstīm</w:t>
      </w:r>
      <w:r>
        <w:rPr>
          <w:noProof/>
        </w:rPr>
        <w:t xml:space="preserve">, sniedz pielāgotas karjeras un darbā pieņemšanas konsultācijas, atbalstu darba meklēšanā un pieņemšanā darbā un informāciju par attiecīgajiem noteikumiem, piemēram, par sociālo nodrošinājumu un nodokļu režīmu citās </w:t>
      </w:r>
      <w:r>
        <w:rPr>
          <w:i/>
          <w:noProof/>
        </w:rPr>
        <w:t>EURES</w:t>
      </w:r>
      <w:r>
        <w:rPr>
          <w:noProof/>
        </w:rPr>
        <w:t xml:space="preserve"> dalībvalstīs, kā arī palīdzību pēc darbā pieņemšanas, piemēram, nodrošinot valodu kursus. </w:t>
      </w:r>
    </w:p>
    <w:p>
      <w:pPr>
        <w:pStyle w:val="Heading3"/>
        <w:widowControl w:val="0"/>
        <w:spacing w:before="120" w:after="120"/>
        <w:ind w:left="2279"/>
        <w:rPr>
          <w:noProof/>
        </w:rPr>
      </w:pPr>
      <w:bookmarkStart w:id="12" w:name="_Toc534893427"/>
      <w:bookmarkStart w:id="13" w:name="_Toc765040"/>
      <w:r>
        <w:rPr>
          <w:noProof/>
        </w:rPr>
        <w:t>EURES tīkla organizēšana</w:t>
      </w:r>
      <w:bookmarkEnd w:id="12"/>
      <w:bookmarkEnd w:id="13"/>
    </w:p>
    <w:p>
      <w:pPr>
        <w:widowControl w:val="0"/>
        <w:spacing w:beforeLines="60" w:before="144" w:afterLines="60" w:after="144"/>
        <w:rPr>
          <w:noProof/>
        </w:rPr>
      </w:pPr>
      <w:r>
        <w:rPr>
          <w:noProof/>
        </w:rPr>
        <w:t xml:space="preserve">Katra </w:t>
      </w:r>
      <w:r>
        <w:rPr>
          <w:i/>
          <w:noProof/>
        </w:rPr>
        <w:t>EURES</w:t>
      </w:r>
      <w:r>
        <w:rPr>
          <w:noProof/>
        </w:rPr>
        <w:t xml:space="preserve"> dalībvalsts nosaka </w:t>
      </w:r>
      <w:r>
        <w:rPr>
          <w:b/>
          <w:noProof/>
        </w:rPr>
        <w:t>valsts koordinācijas biroju</w:t>
      </w:r>
      <w:r>
        <w:rPr>
          <w:noProof/>
        </w:rPr>
        <w:t xml:space="preserve"> (VKB), kas parasti ir saistīts vai nu ar VND, vai Darba ministriju. Eiropas Komisijas Nodarbinātības, sociālo lietu un iekļautības ģenerāldirektorāta (</w:t>
      </w:r>
      <w:r>
        <w:rPr>
          <w:i/>
          <w:noProof/>
        </w:rPr>
        <w:t>EMPL</w:t>
      </w:r>
      <w:r>
        <w:rPr>
          <w:noProof/>
        </w:rPr>
        <w:t xml:space="preserve"> ĢD) ietvaros ir izveidots </w:t>
      </w:r>
      <w:r>
        <w:rPr>
          <w:b/>
          <w:noProof/>
        </w:rPr>
        <w:t>Eiropas Koordinācijas birojs (EKB)</w:t>
      </w:r>
      <w:r>
        <w:rPr>
          <w:noProof/>
        </w:rPr>
        <w:t xml:space="preserve">, kas sniedz horizontālu atbalstu VKB. VKB un EKB kopā veido </w:t>
      </w:r>
      <w:r>
        <w:rPr>
          <w:i/>
          <w:noProof/>
        </w:rPr>
        <w:t>EURES</w:t>
      </w:r>
      <w:r>
        <w:rPr>
          <w:noProof/>
        </w:rPr>
        <w:t xml:space="preserve"> tīkla </w:t>
      </w:r>
      <w:r>
        <w:rPr>
          <w:b/>
          <w:noProof/>
        </w:rPr>
        <w:t>Eiropas Koordinācijas grupu</w:t>
      </w:r>
      <w:r>
        <w:rPr>
          <w:noProof/>
        </w:rPr>
        <w:t xml:space="preserve"> (EKG). </w:t>
      </w:r>
    </w:p>
    <w:p>
      <w:pPr>
        <w:widowControl w:val="0"/>
        <w:spacing w:beforeLines="50" w:before="120" w:afterLines="60" w:after="144"/>
        <w:rPr>
          <w:noProof/>
        </w:rPr>
      </w:pPr>
      <w:r>
        <w:rPr>
          <w:i/>
          <w:noProof/>
        </w:rPr>
        <w:t>EURES</w:t>
      </w:r>
      <w:r>
        <w:rPr>
          <w:noProof/>
        </w:rPr>
        <w:t xml:space="preserve"> dalībnieki un partneri ir organizācijas, kas veic operatīvas darbības </w:t>
      </w:r>
      <w:r>
        <w:rPr>
          <w:i/>
          <w:noProof/>
        </w:rPr>
        <w:t>EURES</w:t>
      </w:r>
      <w:r>
        <w:rPr>
          <w:noProof/>
        </w:rPr>
        <w:t xml:space="preserve"> tīklā. </w:t>
      </w:r>
      <w:r>
        <w:rPr>
          <w:i/>
          <w:noProof/>
        </w:rPr>
        <w:t>EURES</w:t>
      </w:r>
      <w:r>
        <w:rPr>
          <w:noProof/>
        </w:rPr>
        <w:t xml:space="preserve"> tīklā dalībniekiem ir jāveic visi tālāk minētie uzdevumi, savukārt partneriem ir jāveic vismaz viens no tiem:</w:t>
      </w:r>
    </w:p>
    <w:p>
      <w:pPr>
        <w:pStyle w:val="ListParagraph"/>
        <w:widowControl w:val="0"/>
        <w:numPr>
          <w:ilvl w:val="0"/>
          <w:numId w:val="22"/>
        </w:numPr>
        <w:spacing w:beforeLines="10" w:before="24" w:after="0"/>
        <w:ind w:left="714" w:hanging="357"/>
        <w:contextualSpacing w:val="0"/>
        <w:rPr>
          <w:noProof/>
        </w:rPr>
      </w:pPr>
      <w:r>
        <w:rPr>
          <w:noProof/>
        </w:rPr>
        <w:t xml:space="preserve">ir jāveic ieguldījums brīvo darbvietu krātuvē, iesniedzot datus </w:t>
      </w:r>
      <w:r>
        <w:rPr>
          <w:i/>
          <w:noProof/>
        </w:rPr>
        <w:t>EURES</w:t>
      </w:r>
      <w:r>
        <w:rPr>
          <w:noProof/>
        </w:rPr>
        <w:t xml:space="preserve"> portālā un IT platformā;</w:t>
      </w:r>
    </w:p>
    <w:p>
      <w:pPr>
        <w:pStyle w:val="ListParagraph"/>
        <w:widowControl w:val="0"/>
        <w:numPr>
          <w:ilvl w:val="0"/>
          <w:numId w:val="22"/>
        </w:numPr>
        <w:spacing w:beforeLines="60" w:before="144" w:afterLines="60" w:after="144"/>
        <w:rPr>
          <w:noProof/>
        </w:rPr>
      </w:pPr>
      <w:r>
        <w:rPr>
          <w:noProof/>
        </w:rPr>
        <w:t xml:space="preserve">ir jāveic ieguldījums darba meklētāju profilu krātuvē, iesniedzot datus </w:t>
      </w:r>
      <w:r>
        <w:rPr>
          <w:i/>
          <w:noProof/>
        </w:rPr>
        <w:t>EURES</w:t>
      </w:r>
      <w:r>
        <w:rPr>
          <w:noProof/>
        </w:rPr>
        <w:t xml:space="preserve"> portālā un IT platformā;</w:t>
      </w:r>
    </w:p>
    <w:p>
      <w:pPr>
        <w:pStyle w:val="ListParagraph"/>
        <w:widowControl w:val="0"/>
        <w:numPr>
          <w:ilvl w:val="0"/>
          <w:numId w:val="22"/>
        </w:numPr>
        <w:spacing w:afterLines="150" w:after="360"/>
        <w:ind w:left="714" w:hanging="357"/>
        <w:contextualSpacing w:val="0"/>
        <w:rPr>
          <w:noProof/>
        </w:rPr>
      </w:pPr>
      <w:r>
        <w:rPr>
          <w:noProof/>
        </w:rPr>
        <w:t xml:space="preserve">ir jāsniedz atbalsta pakalpojumi tieši darba meklētājiem un darba devējiem. </w:t>
      </w:r>
    </w:p>
    <w:p>
      <w:pPr>
        <w:pStyle w:val="Heading2"/>
        <w:widowControl w:val="0"/>
        <w:rPr>
          <w:noProof/>
        </w:rPr>
      </w:pPr>
      <w:bookmarkStart w:id="14" w:name="_Toc534893428"/>
      <w:bookmarkStart w:id="15" w:name="_Toc765041"/>
      <w:r>
        <w:rPr>
          <w:noProof/>
        </w:rPr>
        <w:t>2016. gada regula</w:t>
      </w:r>
      <w:bookmarkEnd w:id="14"/>
      <w:bookmarkEnd w:id="15"/>
    </w:p>
    <w:p>
      <w:pPr>
        <w:pStyle w:val="Heading3"/>
        <w:widowControl w:val="0"/>
        <w:spacing w:before="120" w:after="120"/>
        <w:ind w:left="2279"/>
        <w:rPr>
          <w:noProof/>
        </w:rPr>
      </w:pPr>
      <w:bookmarkStart w:id="16" w:name="_Toc534893429"/>
      <w:bookmarkStart w:id="17" w:name="_Toc765042"/>
      <w:r>
        <w:rPr>
          <w:noProof/>
        </w:rPr>
        <w:t>Kāpēc bija vajadzīga regulējuma reforma?</w:t>
      </w:r>
      <w:bookmarkEnd w:id="16"/>
      <w:bookmarkEnd w:id="17"/>
    </w:p>
    <w:p>
      <w:pPr>
        <w:keepNext/>
        <w:widowControl w:val="0"/>
        <w:spacing w:beforeLines="60" w:before="144" w:afterLines="60" w:after="144"/>
        <w:rPr>
          <w:noProof/>
        </w:rPr>
      </w:pPr>
      <w:r>
        <w:rPr>
          <w:noProof/>
        </w:rPr>
        <w:t xml:space="preserve">Kopš sākotnējā Komisijas lēmuma, ar ko izveidoja </w:t>
      </w:r>
      <w:r>
        <w:rPr>
          <w:i/>
          <w:noProof/>
        </w:rPr>
        <w:t>EURES</w:t>
      </w:r>
      <w:r>
        <w:rPr>
          <w:rStyle w:val="FootnoteReference"/>
          <w:noProof/>
        </w:rPr>
        <w:footnoteReference w:id="5"/>
      </w:r>
      <w:r>
        <w:rPr>
          <w:noProof/>
        </w:rPr>
        <w:t xml:space="preserve">, šis tīkls ir nepārtraukti reformēts, lai pielāgotu to pastāvīgi mainīgajam darba tirgum. Jaunā </w:t>
      </w:r>
      <w:r>
        <w:rPr>
          <w:i/>
          <w:noProof/>
        </w:rPr>
        <w:t>EURES</w:t>
      </w:r>
      <w:r>
        <w:rPr>
          <w:noProof/>
        </w:rPr>
        <w:t xml:space="preserve"> regula (2016/589) nodrošina pamatu </w:t>
      </w:r>
      <w:r>
        <w:rPr>
          <w:b/>
          <w:noProof/>
        </w:rPr>
        <w:t>tīkla stiprināšanai</w:t>
      </w:r>
      <w:r>
        <w:rPr>
          <w:noProof/>
        </w:rPr>
        <w:t xml:space="preserve">, uzlabojot piekļuvi brīvajām darbvietām, sniedzot pamatu CV apmaiņai starp dalībnieku un partneru organizācijām un </w:t>
      </w:r>
      <w:r>
        <w:rPr>
          <w:i/>
          <w:noProof/>
        </w:rPr>
        <w:t>EURES</w:t>
      </w:r>
      <w:r>
        <w:rPr>
          <w:noProof/>
        </w:rPr>
        <w:t xml:space="preserve"> portālu un sniedzot uzlabotu atbalstu darba meklētājiem un darba devējiem, kuri meklē pārrobežu iespējas. </w:t>
      </w:r>
    </w:p>
    <w:p>
      <w:pPr>
        <w:widowControl w:val="0"/>
        <w:spacing w:beforeLines="60" w:before="144" w:afterLines="60" w:after="144"/>
        <w:rPr>
          <w:noProof/>
        </w:rPr>
      </w:pPr>
      <w:r>
        <w:rPr>
          <w:noProof/>
        </w:rPr>
        <w:t xml:space="preserve">Jaunās regulas mērķis ir </w:t>
      </w:r>
      <w:r>
        <w:rPr>
          <w:b/>
          <w:noProof/>
        </w:rPr>
        <w:t>uzlabot pārredzamību</w:t>
      </w:r>
      <w:r>
        <w:rPr>
          <w:noProof/>
        </w:rPr>
        <w:t xml:space="preserve">, palielinot </w:t>
      </w:r>
      <w:r>
        <w:rPr>
          <w:i/>
          <w:noProof/>
        </w:rPr>
        <w:t>EURES</w:t>
      </w:r>
      <w:r>
        <w:rPr>
          <w:noProof/>
        </w:rPr>
        <w:t xml:space="preserve"> portālā reklamēto brīvo darbvietu skaitu, uzlabot brīvo darbvietu un CV </w:t>
      </w:r>
      <w:r>
        <w:rPr>
          <w:b/>
          <w:noProof/>
        </w:rPr>
        <w:t>piemeklēšanu tiešsaistē</w:t>
      </w:r>
      <w:r>
        <w:rPr>
          <w:noProof/>
        </w:rPr>
        <w:t xml:space="preserve">, sniegt darba meklētājiem un darba devējiem </w:t>
      </w:r>
      <w:r>
        <w:rPr>
          <w:b/>
          <w:noProof/>
        </w:rPr>
        <w:t>minimālo apstiprināto pakalpojumu kopumu</w:t>
      </w:r>
      <w:r>
        <w:rPr>
          <w:noProof/>
        </w:rPr>
        <w:t xml:space="preserve"> un paplašināt </w:t>
      </w:r>
      <w:r>
        <w:rPr>
          <w:b/>
          <w:noProof/>
        </w:rPr>
        <w:t>digitālo nodarbinātības pakalpojumu klāstu</w:t>
      </w:r>
      <w:r>
        <w:rPr>
          <w:noProof/>
        </w:rPr>
        <w:t xml:space="preserve"> </w:t>
      </w:r>
      <w:r>
        <w:rPr>
          <w:i/>
          <w:noProof/>
        </w:rPr>
        <w:t>EURES</w:t>
      </w:r>
      <w:r>
        <w:rPr>
          <w:noProof/>
        </w:rPr>
        <w:t xml:space="preserve"> portālā.</w:t>
      </w:r>
    </w:p>
    <w:p>
      <w:pPr>
        <w:pStyle w:val="Heading3"/>
        <w:widowControl w:val="0"/>
        <w:spacing w:before="120" w:after="120"/>
        <w:ind w:left="2279"/>
        <w:rPr>
          <w:noProof/>
        </w:rPr>
      </w:pPr>
      <w:bookmarkStart w:id="18" w:name="_Toc534893430"/>
      <w:bookmarkStart w:id="19" w:name="_Toc765043"/>
      <w:r>
        <w:rPr>
          <w:noProof/>
        </w:rPr>
        <w:t>Reformas galvenie elementi un grafiks</w:t>
      </w:r>
      <w:bookmarkEnd w:id="18"/>
      <w:bookmarkEnd w:id="19"/>
      <w:r>
        <w:rPr>
          <w:noProof/>
        </w:rPr>
        <w:t xml:space="preserve"> </w:t>
      </w:r>
    </w:p>
    <w:p>
      <w:pPr>
        <w:keepNext/>
        <w:widowControl w:val="0"/>
        <w:spacing w:beforeLines="60" w:before="144" w:afterLines="60" w:after="144"/>
        <w:rPr>
          <w:noProof/>
        </w:rPr>
      </w:pPr>
      <w:r>
        <w:rPr>
          <w:noProof/>
        </w:rPr>
        <w:t>Jauno regulu, kas stājās spēkā 2016. gada 12. maijā, papildina seši īstenošanas lēmumi</w:t>
      </w:r>
      <w:r>
        <w:rPr>
          <w:rStyle w:val="FootnoteReference"/>
          <w:noProof/>
        </w:rPr>
        <w:footnoteReference w:id="6"/>
      </w:r>
      <w:r>
        <w:rPr>
          <w:noProof/>
        </w:rPr>
        <w:t xml:space="preserve">, kas nodrošina vienādu īstenošanu dalībvalstīs. Pirmie īstenošanas posmi bija VKB un VND kā </w:t>
      </w:r>
      <w:r>
        <w:rPr>
          <w:i/>
          <w:noProof/>
        </w:rPr>
        <w:t>EURES</w:t>
      </w:r>
      <w:r>
        <w:rPr>
          <w:noProof/>
        </w:rPr>
        <w:t xml:space="preserve"> dalībnieku iecelšana, kā arī EKG izveide 2016. gadā. </w:t>
      </w:r>
    </w:p>
    <w:p>
      <w:pPr>
        <w:keepNext/>
        <w:widowControl w:val="0"/>
        <w:spacing w:beforeLines="60" w:before="144" w:afterLines="60" w:after="144"/>
        <w:rPr>
          <w:noProof/>
        </w:rPr>
      </w:pPr>
      <w:r>
        <w:rPr>
          <w:noProof/>
        </w:rPr>
        <w:t xml:space="preserve">Regulā 2018. gada 13. maijs bija noteikts kā termiņš </w:t>
      </w:r>
      <w:r>
        <w:rPr>
          <w:i/>
          <w:noProof/>
        </w:rPr>
        <w:t>EURES</w:t>
      </w:r>
      <w:r>
        <w:rPr>
          <w:noProof/>
        </w:rPr>
        <w:t xml:space="preserve"> dalībvalstīm </w:t>
      </w:r>
      <w:r>
        <w:rPr>
          <w:b/>
          <w:noProof/>
        </w:rPr>
        <w:t>kopīgās apmaiņas sistēmas</w:t>
      </w:r>
      <w:r>
        <w:rPr>
          <w:noProof/>
        </w:rPr>
        <w:t xml:space="preserve"> izvēršanai, lai varētu </w:t>
      </w:r>
      <w:r>
        <w:rPr>
          <w:b/>
          <w:noProof/>
        </w:rPr>
        <w:t>dalīties</w:t>
      </w:r>
      <w:r>
        <w:rPr>
          <w:noProof/>
        </w:rPr>
        <w:t xml:space="preserve"> ar informāciju par </w:t>
      </w:r>
      <w:r>
        <w:rPr>
          <w:b/>
          <w:noProof/>
        </w:rPr>
        <w:t>visiem</w:t>
      </w:r>
      <w:r>
        <w:rPr>
          <w:rStyle w:val="FootnoteReference"/>
          <w:b/>
          <w:noProof/>
        </w:rPr>
        <w:footnoteReference w:id="7"/>
      </w:r>
      <w:r>
        <w:rPr>
          <w:b/>
          <w:noProof/>
        </w:rPr>
        <w:t xml:space="preserve"> darbvietu piedāvājumiem</w:t>
      </w:r>
      <w:r>
        <w:rPr>
          <w:noProof/>
        </w:rPr>
        <w:t xml:space="preserve">, tostarp māceklības un stažēšanās piedāvājumiem, ko dara pieejamus VND un citas </w:t>
      </w:r>
      <w:r>
        <w:rPr>
          <w:i/>
          <w:noProof/>
        </w:rPr>
        <w:t>EURES</w:t>
      </w:r>
      <w:r>
        <w:rPr>
          <w:noProof/>
        </w:rPr>
        <w:t xml:space="preserve"> dalībnieku organizācijas </w:t>
      </w:r>
      <w:r>
        <w:rPr>
          <w:i/>
          <w:noProof/>
        </w:rPr>
        <w:t>EURES</w:t>
      </w:r>
      <w:r>
        <w:rPr>
          <w:noProof/>
        </w:rPr>
        <w:t xml:space="preserve"> portālā, kā arī par </w:t>
      </w:r>
      <w:r>
        <w:rPr>
          <w:b/>
          <w:noProof/>
        </w:rPr>
        <w:t>CV —</w:t>
      </w:r>
      <w:r>
        <w:rPr>
          <w:noProof/>
        </w:rPr>
        <w:t xml:space="preserve"> ar nosacījumu, ka darba meklētāji ir piekrituši nodot savus personas datus. Tas pats termiņš attiecās uz </w:t>
      </w:r>
      <w:r>
        <w:rPr>
          <w:b/>
          <w:noProof/>
        </w:rPr>
        <w:t>uzņemšanas sistēmu</w:t>
      </w:r>
      <w:r>
        <w:rPr>
          <w:noProof/>
        </w:rPr>
        <w:t xml:space="preserve"> ieviešanu </w:t>
      </w:r>
      <w:r>
        <w:rPr>
          <w:i/>
          <w:noProof/>
        </w:rPr>
        <w:t>EURES</w:t>
      </w:r>
      <w:r>
        <w:rPr>
          <w:noProof/>
        </w:rPr>
        <w:t xml:space="preserve"> dalībvalstīs, ļaujot tādām organizācijām kā privātie nodarbinātības dienesti vai trešās nozares organizācijas pievienoties </w:t>
      </w:r>
      <w:r>
        <w:rPr>
          <w:i/>
          <w:noProof/>
        </w:rPr>
        <w:t>EURES</w:t>
      </w:r>
      <w:r>
        <w:rPr>
          <w:noProof/>
        </w:rPr>
        <w:t xml:space="preserve"> tīklam kā dalībniekiem vai partneriem. Visbeidzot, Regulā ir noteikts, ka </w:t>
      </w:r>
      <w:r>
        <w:rPr>
          <w:b/>
          <w:noProof/>
        </w:rPr>
        <w:t>pārskati par tīkla darbībām</w:t>
      </w:r>
      <w:r>
        <w:rPr>
          <w:noProof/>
        </w:rPr>
        <w:t xml:space="preserve"> ir jāsagatavo 2018. un 2020. gadā un </w:t>
      </w:r>
      <w:r>
        <w:rPr>
          <w:i/>
          <w:noProof/>
        </w:rPr>
        <w:t>ex-post</w:t>
      </w:r>
      <w:r>
        <w:rPr>
          <w:noProof/>
        </w:rPr>
        <w:t xml:space="preserve"> novērtējums ir jāiesniedz 2021. gadā.</w:t>
      </w:r>
    </w:p>
    <w:p>
      <w:pPr>
        <w:pStyle w:val="Heading1"/>
        <w:widowControl w:val="0"/>
        <w:rPr>
          <w:noProof/>
        </w:rPr>
      </w:pPr>
      <w:bookmarkStart w:id="20" w:name="_Toc534893431"/>
      <w:bookmarkStart w:id="21" w:name="_Toc765044"/>
      <w:r>
        <w:rPr>
          <w:noProof/>
        </w:rPr>
        <w:t xml:space="preserve">Galvenās darbības </w:t>
      </w:r>
      <w:r>
        <w:rPr>
          <w:i/>
          <w:noProof/>
        </w:rPr>
        <w:t>EURES</w:t>
      </w:r>
      <w:r>
        <w:rPr>
          <w:noProof/>
        </w:rPr>
        <w:t xml:space="preserve"> tīklā: 2016. gada janvāris – 2018. gada jūnijs</w:t>
      </w:r>
      <w:bookmarkEnd w:id="20"/>
      <w:bookmarkEnd w:id="21"/>
    </w:p>
    <w:p>
      <w:pPr>
        <w:pStyle w:val="Heading2"/>
        <w:widowControl w:val="0"/>
        <w:rPr>
          <w:noProof/>
        </w:rPr>
      </w:pPr>
      <w:bookmarkStart w:id="22" w:name="_Toc534893432"/>
      <w:bookmarkStart w:id="23" w:name="_Toc765045"/>
      <w:r>
        <w:rPr>
          <w:noProof/>
        </w:rPr>
        <w:t xml:space="preserve">Darbības </w:t>
      </w:r>
      <w:r>
        <w:rPr>
          <w:i/>
          <w:noProof/>
        </w:rPr>
        <w:t>EURES</w:t>
      </w:r>
      <w:r>
        <w:rPr>
          <w:noProof/>
        </w:rPr>
        <w:t xml:space="preserve"> dalībvalstīs</w:t>
      </w:r>
      <w:bookmarkEnd w:id="22"/>
      <w:bookmarkEnd w:id="23"/>
    </w:p>
    <w:p>
      <w:pPr>
        <w:pStyle w:val="Heading3"/>
        <w:widowControl w:val="0"/>
        <w:rPr>
          <w:noProof/>
        </w:rPr>
      </w:pPr>
      <w:bookmarkStart w:id="24" w:name="_Toc534893433"/>
      <w:bookmarkStart w:id="25" w:name="_Toc765046"/>
      <w:r>
        <w:rPr>
          <w:noProof/>
        </w:rPr>
        <w:t>Vispārīgi atbalsta pakalpojumi darba ņēmējiem un darba devējiem</w:t>
      </w:r>
      <w:bookmarkEnd w:id="24"/>
      <w:bookmarkEnd w:id="25"/>
    </w:p>
    <w:p>
      <w:pPr>
        <w:pStyle w:val="Heading4"/>
        <w:widowControl w:val="0"/>
        <w:spacing w:after="120"/>
        <w:ind w:left="1922"/>
        <w:rPr>
          <w:noProof/>
        </w:rPr>
      </w:pPr>
      <w:r>
        <w:rPr>
          <w:noProof/>
        </w:rPr>
        <w:t xml:space="preserve">  Piemeklēšanas un darbā iekārtošanas darbības</w:t>
      </w:r>
    </w:p>
    <w:p>
      <w:pPr>
        <w:widowControl w:val="0"/>
        <w:autoSpaceDE w:val="0"/>
        <w:autoSpaceDN w:val="0"/>
        <w:adjustRightInd w:val="0"/>
        <w:spacing w:beforeLines="60" w:before="144" w:afterLines="60" w:after="144"/>
        <w:rPr>
          <w:noProof/>
          <w:szCs w:val="24"/>
        </w:rPr>
      </w:pPr>
      <w:r>
        <w:rPr>
          <w:noProof/>
        </w:rPr>
        <w:t xml:space="preserve">Visas </w:t>
      </w:r>
      <w:r>
        <w:rPr>
          <w:i/>
          <w:noProof/>
        </w:rPr>
        <w:t>EURES</w:t>
      </w:r>
      <w:r>
        <w:rPr>
          <w:noProof/>
        </w:rPr>
        <w:t xml:space="preserve"> dalībvalstis sniedz darba meklētājiem un darba devējiem informāciju un atbalstu saistībā ar darbaspēka mobilitāti Eiropā un organizē darbā pieņemšanas pasākumus, īstenojot pastiprinātu sadarbību starp </w:t>
      </w:r>
      <w:r>
        <w:rPr>
          <w:i/>
          <w:noProof/>
        </w:rPr>
        <w:t>EURES</w:t>
      </w:r>
      <w:r>
        <w:rPr>
          <w:noProof/>
        </w:rPr>
        <w:t xml:space="preserve"> birojiem. </w:t>
      </w:r>
    </w:p>
    <w:p>
      <w:pPr>
        <w:widowControl w:val="0"/>
        <w:autoSpaceDE w:val="0"/>
        <w:autoSpaceDN w:val="0"/>
        <w:adjustRightInd w:val="0"/>
        <w:spacing w:beforeLines="60" w:before="144" w:afterLines="60" w:after="144"/>
        <w:rPr>
          <w:noProof/>
          <w:szCs w:val="24"/>
        </w:rPr>
      </w:pPr>
      <w:r>
        <w:rPr>
          <w:i/>
          <w:noProof/>
        </w:rPr>
        <w:t>EURES</w:t>
      </w:r>
      <w:r>
        <w:rPr>
          <w:noProof/>
        </w:rPr>
        <w:t xml:space="preserve"> darbinieki piedāvā darba meklētājiem palīdzēt sagatavot CV un darba pieteikumus, bet darba devējiem palīdz izstrādāt prasības attiecībā uz darbvietām un sagatavot brīvo darbvietu aprakstus. Lai sniegtu šo pakalpojumu, </w:t>
      </w:r>
      <w:r>
        <w:rPr>
          <w:i/>
          <w:noProof/>
        </w:rPr>
        <w:t>EURES</w:t>
      </w:r>
      <w:r>
        <w:rPr>
          <w:noProof/>
        </w:rPr>
        <w:t xml:space="preserve"> padomdevēji, piemēram, 2017. gadā visā tīklā sazinājās ar 696 514 darba meklētājiem un 111 636 darba devējiem</w:t>
      </w:r>
      <w:r>
        <w:rPr>
          <w:rStyle w:val="FootnoteReference"/>
          <w:noProof/>
        </w:rPr>
        <w:footnoteReference w:id="8"/>
      </w:r>
      <w:r>
        <w:rPr>
          <w:noProof/>
        </w:rPr>
        <w:t xml:space="preserve">. Saskaņā ar </w:t>
      </w:r>
      <w:r>
        <w:rPr>
          <w:i/>
          <w:noProof/>
        </w:rPr>
        <w:t>EURES</w:t>
      </w:r>
      <w:r>
        <w:rPr>
          <w:noProof/>
        </w:rPr>
        <w:t xml:space="preserve"> darbinieku saņemto informāciju, pateicoties viņu darbībām, piemēram, 2016. gadā visā </w:t>
      </w:r>
      <w:r>
        <w:rPr>
          <w:i/>
          <w:noProof/>
        </w:rPr>
        <w:t>EURES</w:t>
      </w:r>
      <w:r>
        <w:rPr>
          <w:noProof/>
        </w:rPr>
        <w:t xml:space="preserve"> tīklā darbā tika iekārtoti aptuveni 30 000 darba meklētāju</w:t>
      </w:r>
      <w:r>
        <w:rPr>
          <w:rStyle w:val="FootnoteReference"/>
          <w:noProof/>
        </w:rPr>
        <w:footnoteReference w:id="9"/>
      </w:r>
      <w:r>
        <w:rPr>
          <w:noProof/>
        </w:rPr>
        <w:t xml:space="preserve">. Pateicoties </w:t>
      </w:r>
      <w:r>
        <w:rPr>
          <w:i/>
          <w:noProof/>
        </w:rPr>
        <w:t>EURES</w:t>
      </w:r>
      <w:r>
        <w:rPr>
          <w:noProof/>
        </w:rPr>
        <w:t xml:space="preserve"> regulas noteikumam par datu vākšanu (32. pants), turpmāk būs iespējams sagatavot precīzākus pārskatus.</w:t>
      </w:r>
    </w:p>
    <w:p>
      <w:pPr>
        <w:widowControl w:val="0"/>
        <w:autoSpaceDE w:val="0"/>
        <w:autoSpaceDN w:val="0"/>
        <w:adjustRightInd w:val="0"/>
        <w:spacing w:beforeLines="60" w:before="144" w:afterLines="60" w:after="144"/>
        <w:rPr>
          <w:noProof/>
          <w:szCs w:val="24"/>
        </w:rPr>
      </w:pPr>
      <w:r>
        <w:rPr>
          <w:noProof/>
        </w:rPr>
        <w:t xml:space="preserve">Tiek organizēti darba piemeklēšanas pasākumi, lai darba devēji un darba meklētāji varētu satikties un lai veicinātu pieņemšanu darbā pāri robežām. Parasti tiek lūgts, lai </w:t>
      </w:r>
      <w:r>
        <w:rPr>
          <w:b/>
          <w:i/>
          <w:noProof/>
        </w:rPr>
        <w:t>EURES</w:t>
      </w:r>
      <w:r>
        <w:rPr>
          <w:b/>
          <w:noProof/>
        </w:rPr>
        <w:t xml:space="preserve"> darbinieki no mērķa valstīm</w:t>
      </w:r>
      <w:r>
        <w:rPr>
          <w:noProof/>
        </w:rPr>
        <w:t xml:space="preserve"> iesniegtu darba piedāvājumus un informāciju par dzīves un darba apstākļiem. </w:t>
      </w:r>
      <w:r>
        <w:rPr>
          <w:i/>
          <w:noProof/>
        </w:rPr>
        <w:t>EURES</w:t>
      </w:r>
      <w:r>
        <w:rPr>
          <w:noProof/>
        </w:rPr>
        <w:t xml:space="preserve"> darbinieki var sniegt papildu atbalsta pakalpojumu darba devējiem, proti, </w:t>
      </w:r>
      <w:r>
        <w:rPr>
          <w:b/>
          <w:noProof/>
        </w:rPr>
        <w:t>pārbaudīt CV</w:t>
      </w:r>
      <w:r>
        <w:rPr>
          <w:noProof/>
        </w:rPr>
        <w:t>, lai iepriekš atlasītu dalībai intervijās (piem., “darba tikšanās” pasākumos) kandidātus, kuru prasmju kopums ir atbilstošs.</w:t>
      </w:r>
    </w:p>
    <w:p>
      <w:pPr>
        <w:widowControl w:val="0"/>
        <w:autoSpaceDE w:val="0"/>
        <w:autoSpaceDN w:val="0"/>
        <w:adjustRightInd w:val="0"/>
        <w:spacing w:beforeLines="60" w:before="144" w:afterLines="60" w:after="144"/>
        <w:rPr>
          <w:noProof/>
          <w:szCs w:val="24"/>
        </w:rPr>
      </w:pPr>
      <w:r>
        <w:rPr>
          <w:noProof/>
        </w:rPr>
        <w:t xml:space="preserve">Īpašs darba piemeklēšanas pasākumu formāts ir </w:t>
      </w:r>
      <w:r>
        <w:rPr>
          <w:b/>
          <w:noProof/>
        </w:rPr>
        <w:t>Eiropas Darba dienas</w:t>
      </w:r>
      <w:r>
        <w:rPr>
          <w:noProof/>
        </w:rPr>
        <w:t xml:space="preserve">, kad darba devēji un darba meklētāji no vairākām </w:t>
      </w:r>
      <w:r>
        <w:rPr>
          <w:i/>
          <w:noProof/>
        </w:rPr>
        <w:t>EURES</w:t>
      </w:r>
      <w:r>
        <w:rPr>
          <w:noProof/>
        </w:rPr>
        <w:t xml:space="preserve"> dalībvalstīm tiekas </w:t>
      </w:r>
      <w:r>
        <w:rPr>
          <w:b/>
          <w:noProof/>
        </w:rPr>
        <w:t>gan tiešsaistē, gan uz vietas</w:t>
      </w:r>
      <w:r>
        <w:rPr>
          <w:noProof/>
        </w:rPr>
        <w:t xml:space="preserve">. Piemēram, 2017. gadā organizētajos 24 pasākumos bija iesaistītas 17 valstis un piedalījās gandrīz 21 500 darba meklētāju, savukārt vairāk nekā 1100 uzņēmumi piedāvāja pāri par 10 000 darbvietu. 2018. gada pirmajā pusē notika 16 šādi pasākumi. </w:t>
      </w:r>
    </w:p>
    <w:p>
      <w:pPr>
        <w:widowControl w:val="0"/>
        <w:spacing w:before="60" w:after="60"/>
        <w:rPr>
          <w:noProof/>
          <w:szCs w:val="24"/>
        </w:rPr>
      </w:pPr>
      <w:r>
        <w:rPr>
          <w:noProof/>
        </w:rPr>
        <w:t xml:space="preserve">Īpaša uzmanība tiek pievērsta </w:t>
      </w:r>
      <w:r>
        <w:rPr>
          <w:b/>
          <w:i/>
          <w:noProof/>
        </w:rPr>
        <w:t>EURES</w:t>
      </w:r>
      <w:r>
        <w:rPr>
          <w:b/>
          <w:noProof/>
        </w:rPr>
        <w:t xml:space="preserve"> darbību un darba tirgus vajadzību sasaistīšanai</w:t>
      </w:r>
      <w:r>
        <w:rPr>
          <w:noProof/>
        </w:rPr>
        <w:t xml:space="preserve">, lai apmierinātu prioritārās nozaru vajadzības un vajadzību pēc noteiktām prasmēm. Lai novērstu šķēršļus mobilitātei ES/EEZ darba tirgus integrācijas kontekstā, daži </w:t>
      </w:r>
      <w:r>
        <w:rPr>
          <w:i/>
          <w:noProof/>
        </w:rPr>
        <w:t>EURES</w:t>
      </w:r>
      <w:r>
        <w:rPr>
          <w:noProof/>
        </w:rPr>
        <w:t xml:space="preserve"> pasākumi, kas saistīti ar pieņemšanu darbā, </w:t>
      </w:r>
      <w:r>
        <w:rPr>
          <w:b/>
          <w:noProof/>
        </w:rPr>
        <w:t>ir vērsti</w:t>
      </w:r>
      <w:r>
        <w:rPr>
          <w:noProof/>
        </w:rPr>
        <w:t xml:space="preserve"> uz </w:t>
      </w:r>
      <w:r>
        <w:rPr>
          <w:b/>
          <w:noProof/>
        </w:rPr>
        <w:t>konkrētu nozaru</w:t>
      </w:r>
      <w:r>
        <w:rPr>
          <w:noProof/>
        </w:rPr>
        <w:t xml:space="preserve"> vajadzībām un iespējām, jo īpaši tad, ja ir atzīts, ka iespējamajā saņēmējā valstī ir darbaspēka trūkums, bet citā valstī — darbaspēka pārpalikums. Nozares, kurās lielākajā daļā valstu ir vajadzīgi darba piemeklēšanas un darbā iekārtošanas pasākumi, ir tūrisma un viesmīlības nozare</w:t>
      </w:r>
      <w:r>
        <w:rPr>
          <w:rStyle w:val="FootnoteReference"/>
          <w:noProof/>
        </w:rPr>
        <w:footnoteReference w:id="10"/>
      </w:r>
      <w:r>
        <w:rPr>
          <w:noProof/>
        </w:rPr>
        <w:t xml:space="preserve">, — abās šajās jomās īpaši svarīgas ir svešvalodu zināšanas. Darba piemeklēšana ar </w:t>
      </w:r>
      <w:r>
        <w:rPr>
          <w:i/>
          <w:noProof/>
        </w:rPr>
        <w:t>EURES</w:t>
      </w:r>
      <w:r>
        <w:rPr>
          <w:noProof/>
        </w:rPr>
        <w:t xml:space="preserve"> starpniecību lielā apmērā tiek veikta arī citās nozarēs, piemēram, transporta, veselības aizsardzības, būvniecības, inženierzinātņu un IKT nozarē, kā arī saistībā ar sezonas darbiem lauksaimniecībā.</w:t>
      </w:r>
      <w:r>
        <w:rPr>
          <w:b/>
          <w:i/>
          <w:noProof/>
        </w:rPr>
        <w:t xml:space="preserve"> </w:t>
      </w:r>
    </w:p>
    <w:p>
      <w:pPr>
        <w:pStyle w:val="Heading4"/>
        <w:widowControl w:val="0"/>
        <w:spacing w:before="120" w:after="120"/>
        <w:ind w:left="1922"/>
        <w:rPr>
          <w:noProof/>
        </w:rPr>
      </w:pPr>
      <w:r>
        <w:rPr>
          <w:noProof/>
        </w:rPr>
        <w:t xml:space="preserve">  Informācija un norādījumi</w:t>
      </w:r>
    </w:p>
    <w:p>
      <w:pPr>
        <w:widowControl w:val="0"/>
        <w:autoSpaceDE w:val="0"/>
        <w:autoSpaceDN w:val="0"/>
        <w:adjustRightInd w:val="0"/>
        <w:spacing w:afterLines="60" w:after="144"/>
        <w:rPr>
          <w:noProof/>
          <w:szCs w:val="24"/>
        </w:rPr>
      </w:pPr>
      <w:r>
        <w:rPr>
          <w:noProof/>
        </w:rPr>
        <w:t xml:space="preserve">Atbilstošā informācija par darba tirgu ir pieejama </w:t>
      </w:r>
      <w:r>
        <w:rPr>
          <w:i/>
          <w:noProof/>
        </w:rPr>
        <w:t>EURES</w:t>
      </w:r>
      <w:r>
        <w:rPr>
          <w:noProof/>
        </w:rPr>
        <w:t xml:space="preserve"> portālā, kur </w:t>
      </w:r>
      <w:r>
        <w:rPr>
          <w:i/>
          <w:noProof/>
        </w:rPr>
        <w:t>EURES</w:t>
      </w:r>
      <w:r>
        <w:rPr>
          <w:noProof/>
        </w:rPr>
        <w:t xml:space="preserve"> dalībvalstis regulāri 26 valodās </w:t>
      </w:r>
      <w:r>
        <w:rPr>
          <w:b/>
          <w:noProof/>
        </w:rPr>
        <w:t>atjaunina vispārīgo informāciju</w:t>
      </w:r>
      <w:r>
        <w:rPr>
          <w:noProof/>
        </w:rPr>
        <w:t xml:space="preserve"> par savu darba tirgu un dzīves un darba apstākļiem. Turklāt vismaz 14 valstīm ir arī sava </w:t>
      </w:r>
      <w:r>
        <w:rPr>
          <w:b/>
          <w:noProof/>
        </w:rPr>
        <w:t>valsts</w:t>
      </w:r>
      <w:r>
        <w:rPr>
          <w:i/>
          <w:noProof/>
        </w:rPr>
        <w:t xml:space="preserve"> </w:t>
      </w:r>
      <w:r>
        <w:rPr>
          <w:b/>
          <w:i/>
          <w:noProof/>
        </w:rPr>
        <w:t>EURES</w:t>
      </w:r>
      <w:r>
        <w:rPr>
          <w:b/>
          <w:noProof/>
        </w:rPr>
        <w:t xml:space="preserve"> tīmekļa vietne</w:t>
      </w:r>
      <w:r>
        <w:rPr>
          <w:noProof/>
        </w:rPr>
        <w:t xml:space="preserve">, kur darba meklētāji un darba devēji var atrast ar darbaspēka mobilitāti saistītu informāciju, ko tie meklē, un daļa no šīs informācijas ir tulkota vairākās valodās. </w:t>
      </w:r>
    </w:p>
    <w:p>
      <w:pPr>
        <w:widowControl w:val="0"/>
        <w:autoSpaceDE w:val="0"/>
        <w:autoSpaceDN w:val="0"/>
        <w:adjustRightInd w:val="0"/>
        <w:spacing w:beforeLines="60" w:before="144" w:afterLines="60" w:after="144"/>
        <w:rPr>
          <w:noProof/>
          <w:szCs w:val="24"/>
        </w:rPr>
      </w:pPr>
      <w:r>
        <w:rPr>
          <w:noProof/>
        </w:rPr>
        <w:t xml:space="preserve">Darba meklētājiem un darba devējiem paredzēto darbību piemēri saistībā ar informācijas un norādījumu sniegšanu </w:t>
      </w:r>
      <w:r>
        <w:rPr>
          <w:i/>
          <w:noProof/>
        </w:rPr>
        <w:t>EURES</w:t>
      </w:r>
      <w:r>
        <w:rPr>
          <w:noProof/>
        </w:rPr>
        <w:t xml:space="preserve"> tīklā ir arī faktu lapas un digitālie risinājumi valstu </w:t>
      </w:r>
      <w:r>
        <w:rPr>
          <w:i/>
          <w:noProof/>
        </w:rPr>
        <w:t>EURES</w:t>
      </w:r>
      <w:r>
        <w:rPr>
          <w:noProof/>
        </w:rPr>
        <w:t xml:space="preserve"> tīmekļa vietnēs par darba, veselības aizsardzības, administratīvo vai ar nodokļiem saistīto kārtību mērķa valstī. VKB organizē arī </w:t>
      </w:r>
      <w:r>
        <w:rPr>
          <w:b/>
          <w:noProof/>
        </w:rPr>
        <w:t>darbseminārus</w:t>
      </w:r>
      <w:r>
        <w:rPr>
          <w:noProof/>
        </w:rPr>
        <w:t xml:space="preserve">, piemēram, lai apmācītu darba meklētājus, kā savu CV iesniegt darba devējiem konkrētās valstīs. Līdzīgi atbalsts, ko </w:t>
      </w:r>
      <w:r>
        <w:rPr>
          <w:i/>
          <w:noProof/>
        </w:rPr>
        <w:t>EURES</w:t>
      </w:r>
      <w:r>
        <w:rPr>
          <w:noProof/>
        </w:rPr>
        <w:t xml:space="preserve"> padomdevēji sniedz darba devējiem, parasti ir saistīts ar aprakstu sagatavošanu par brīvajām darbvietām nolūkā piesaistīt tādus darba ņēmējus no ārvalstīm, kuriem ir atbilstošas prasmes.</w:t>
      </w:r>
    </w:p>
    <w:p>
      <w:pPr>
        <w:pStyle w:val="Heading3"/>
        <w:widowControl w:val="0"/>
        <w:spacing w:before="120"/>
        <w:ind w:left="2279"/>
        <w:rPr>
          <w:noProof/>
        </w:rPr>
      </w:pPr>
      <w:bookmarkStart w:id="26" w:name="_Toc534893434"/>
      <w:bookmarkStart w:id="27" w:name="_Toc765047"/>
      <w:r>
        <w:rPr>
          <w:noProof/>
        </w:rPr>
        <w:t>Īpaši atbalsta pakalpojumi</w:t>
      </w:r>
      <w:bookmarkEnd w:id="26"/>
      <w:bookmarkEnd w:id="27"/>
    </w:p>
    <w:p>
      <w:pPr>
        <w:pStyle w:val="Heading4"/>
        <w:widowControl w:val="0"/>
        <w:spacing w:after="120"/>
        <w:ind w:left="1922"/>
        <w:rPr>
          <w:noProof/>
        </w:rPr>
      </w:pPr>
      <w:r>
        <w:rPr>
          <w:noProof/>
        </w:rPr>
        <w:t xml:space="preserve">  Atbalsta pakalpojumi pārrobežu reģionos</w:t>
      </w:r>
    </w:p>
    <w:p>
      <w:pPr>
        <w:keepNext/>
        <w:widowControl w:val="0"/>
        <w:spacing w:beforeLines="60" w:before="144" w:afterLines="60" w:after="144"/>
        <w:rPr>
          <w:noProof/>
        </w:rPr>
      </w:pPr>
      <w:r>
        <w:rPr>
          <w:noProof/>
        </w:rPr>
        <w:t xml:space="preserve">Saskaņā ar jauno </w:t>
      </w:r>
      <w:r>
        <w:rPr>
          <w:i/>
          <w:noProof/>
        </w:rPr>
        <w:t>EURES</w:t>
      </w:r>
      <w:r>
        <w:rPr>
          <w:noProof/>
        </w:rPr>
        <w:t xml:space="preserve"> regulu </w:t>
      </w:r>
      <w:r>
        <w:rPr>
          <w:i/>
          <w:noProof/>
        </w:rPr>
        <w:t>EURES</w:t>
      </w:r>
      <w:r>
        <w:rPr>
          <w:noProof/>
        </w:rPr>
        <w:t xml:space="preserve"> dalībnieki un partneri, kuri ir iesaistīti pārrobežu partnerībās (PRP) vai citās sadarbības un pakalpojumu struktūrās (tostarp ar organizācijām ārpus </w:t>
      </w:r>
      <w:r>
        <w:rPr>
          <w:i/>
          <w:noProof/>
        </w:rPr>
        <w:t>EURES</w:t>
      </w:r>
      <w:r>
        <w:rPr>
          <w:noProof/>
        </w:rPr>
        <w:t xml:space="preserve"> tīkla), sniedz informāciju, kā arī darbā iekārtošanas un darbā pieņemšanas pakalpojumus, kas pielāgoti pārrobežu darba ņēmēju un darba devēju īpašajām prasībām un apstākļiem pārrobežu reģionos</w:t>
      </w:r>
      <w:r>
        <w:rPr>
          <w:noProof/>
          <w:vertAlign w:val="superscript"/>
        </w:rPr>
        <w:footnoteReference w:id="11"/>
      </w:r>
      <w:r>
        <w:rPr>
          <w:noProof/>
        </w:rPr>
        <w:t xml:space="preserve">. </w:t>
      </w:r>
    </w:p>
    <w:p>
      <w:pPr>
        <w:keepNext/>
        <w:widowControl w:val="0"/>
        <w:spacing w:beforeLines="60" w:before="144" w:afterLines="60" w:after="144"/>
        <w:rPr>
          <w:noProof/>
        </w:rPr>
      </w:pPr>
      <w:r>
        <w:rPr>
          <w:noProof/>
        </w:rPr>
        <w:t>Šīs PRP var pieteikties finansiālas palīdzības saņemšanai ikgadējā uzaicinājumā Eiropas Savienības Nodarbinātības un sociālās inovācijas programmas (</w:t>
      </w:r>
      <w:r>
        <w:rPr>
          <w:i/>
          <w:noProof/>
        </w:rPr>
        <w:t>EaSI</w:t>
      </w:r>
      <w:r>
        <w:rPr>
          <w:noProof/>
        </w:rPr>
        <w:t>) ietvaros</w:t>
      </w:r>
      <w:r>
        <w:rPr>
          <w:noProof/>
          <w:vertAlign w:val="superscript"/>
        </w:rPr>
        <w:footnoteReference w:id="12"/>
      </w:r>
      <w:r>
        <w:rPr>
          <w:noProof/>
        </w:rPr>
        <w:t xml:space="preserve">. </w:t>
      </w:r>
      <w:r>
        <w:rPr>
          <w:i/>
          <w:noProof/>
        </w:rPr>
        <w:t>EaSI</w:t>
      </w:r>
      <w:r>
        <w:rPr>
          <w:noProof/>
        </w:rPr>
        <w:t xml:space="preserve"> atbalsts ir pieejams arī jaunu PRP izveidei vai jaunu inovatīvu pasākumu īstenošanai. 2016. gadā </w:t>
      </w:r>
      <w:r>
        <w:rPr>
          <w:b/>
          <w:noProof/>
        </w:rPr>
        <w:t xml:space="preserve">12 PRP </w:t>
      </w:r>
      <w:r>
        <w:rPr>
          <w:noProof/>
        </w:rPr>
        <w:t xml:space="preserve">saņēma atbalstu no </w:t>
      </w:r>
      <w:r>
        <w:rPr>
          <w:i/>
          <w:noProof/>
        </w:rPr>
        <w:t>EaSI</w:t>
      </w:r>
      <w:r>
        <w:rPr>
          <w:noProof/>
        </w:rPr>
        <w:t xml:space="preserve"> dotācijas, kas tika piešķirta iepriekšējā gadā. 2017. un 2018. gadā </w:t>
      </w:r>
      <w:r>
        <w:rPr>
          <w:b/>
          <w:noProof/>
        </w:rPr>
        <w:t>9 PRP</w:t>
      </w:r>
      <w:r>
        <w:rPr>
          <w:noProof/>
        </w:rPr>
        <w:t xml:space="preserve"> piedāvāja atbalsta un darbā iekārtošanas pakalpojumus pierobežas reģionos, balstoties uz iepriekšējos gados piešķirtajām </w:t>
      </w:r>
      <w:r>
        <w:rPr>
          <w:i/>
          <w:noProof/>
        </w:rPr>
        <w:t>EaSI</w:t>
      </w:r>
      <w:r>
        <w:rPr>
          <w:noProof/>
        </w:rPr>
        <w:t xml:space="preserve"> dotācijām. </w:t>
      </w:r>
    </w:p>
    <w:p>
      <w:pPr>
        <w:widowControl w:val="0"/>
        <w:spacing w:beforeLines="60" w:before="144" w:afterLines="60" w:after="144"/>
        <w:rPr>
          <w:noProof/>
        </w:rPr>
      </w:pPr>
      <w:r>
        <w:rPr>
          <w:noProof/>
        </w:rPr>
        <w:t xml:space="preserve">Atbalsta pakalpojumi, ko </w:t>
      </w:r>
      <w:r>
        <w:rPr>
          <w:i/>
          <w:noProof/>
        </w:rPr>
        <w:t>EURES</w:t>
      </w:r>
      <w:r>
        <w:rPr>
          <w:noProof/>
        </w:rPr>
        <w:t xml:space="preserve"> piedāvā pārrobežu reģionos, ir daudzvalodu informācijas pakalpojumi un darba piedāvājumi. Šie pakalpojumi tiek sniegti, izmantojot fiziskus un (aizvien biežāk) virtuālus </w:t>
      </w:r>
      <w:r>
        <w:rPr>
          <w:b/>
          <w:noProof/>
        </w:rPr>
        <w:t>centralizētus (vienas pieturas aģentūras)</w:t>
      </w:r>
      <w:r>
        <w:rPr>
          <w:noProof/>
        </w:rPr>
        <w:t xml:space="preserve"> risinājumus. Sniegtā informācija ir saistīta ar tādiem jautājumiem kā sociālā nodrošinājuma koordinēšana, ikdienas svārstsatiksmes noteikumi, kvalifikāciju atzīšana un nodokļi. Darbā iekārtošanas un darbā pieņemšanas darbību rezultātā gandrīz 4400 darba meklētāju ir atraduši darbu pāri robežai pēc tam, kad individuāli bija izmantojuši ar </w:t>
      </w:r>
      <w:r>
        <w:rPr>
          <w:i/>
          <w:noProof/>
        </w:rPr>
        <w:t>EURES</w:t>
      </w:r>
      <w:r>
        <w:rPr>
          <w:noProof/>
        </w:rPr>
        <w:t xml:space="preserve"> saistītos pakalpojumus 2016. un 2017. gadā</w:t>
      </w:r>
      <w:r>
        <w:rPr>
          <w:noProof/>
          <w:vertAlign w:val="superscript"/>
        </w:rPr>
        <w:footnoteReference w:id="13"/>
      </w:r>
      <w:r>
        <w:rPr>
          <w:noProof/>
        </w:rPr>
        <w:t>.</w:t>
      </w:r>
    </w:p>
    <w:p>
      <w:pPr>
        <w:pStyle w:val="Heading4"/>
        <w:widowControl w:val="0"/>
        <w:spacing w:before="120" w:after="120"/>
        <w:ind w:left="1922"/>
        <w:rPr>
          <w:noProof/>
        </w:rPr>
      </w:pPr>
      <w:r>
        <w:rPr>
          <w:noProof/>
        </w:rPr>
        <w:t xml:space="preserve">  Palīdzība pēc darbā pieņemšanas</w:t>
      </w:r>
    </w:p>
    <w:p>
      <w:pPr>
        <w:widowControl w:val="0"/>
        <w:autoSpaceDE w:val="0"/>
        <w:autoSpaceDN w:val="0"/>
        <w:adjustRightInd w:val="0"/>
        <w:spacing w:beforeLines="60" w:before="144" w:afterLines="60" w:after="144"/>
        <w:rPr>
          <w:noProof/>
        </w:rPr>
      </w:pPr>
      <w:r>
        <w:rPr>
          <w:noProof/>
        </w:rPr>
        <w:t xml:space="preserve">Palīdzība pēc darbā pieņemšanas tiek nodrošināta ar mērķi garantēt </w:t>
      </w:r>
      <w:r>
        <w:rPr>
          <w:b/>
          <w:noProof/>
        </w:rPr>
        <w:t>mobilo darba ņēmēju labāko iespējamo integrāciju</w:t>
      </w:r>
      <w:r>
        <w:rPr>
          <w:noProof/>
        </w:rPr>
        <w:t xml:space="preserve"> viņu jaunajos amatos. Lai gan vairums </w:t>
      </w:r>
      <w:r>
        <w:rPr>
          <w:i/>
          <w:noProof/>
        </w:rPr>
        <w:t>EURES</w:t>
      </w:r>
      <w:r>
        <w:rPr>
          <w:noProof/>
        </w:rPr>
        <w:t xml:space="preserve"> dalībvalstu lielāko uzmanību pievērš informācijas sniegšanai darba ņēmējiem un darba devējiem pirms darba līguma parakstīšanas, dažas no tām organizē darbības arī pēc darbā pieņemšanas. Piemēram, Itālijas </w:t>
      </w:r>
      <w:r>
        <w:rPr>
          <w:i/>
          <w:noProof/>
        </w:rPr>
        <w:t>EURES</w:t>
      </w:r>
      <w:r>
        <w:rPr>
          <w:noProof/>
        </w:rPr>
        <w:t xml:space="preserve"> izmanto </w:t>
      </w:r>
      <w:r>
        <w:rPr>
          <w:b/>
          <w:noProof/>
        </w:rPr>
        <w:t>turpmāko pasākumu datubāzi</w:t>
      </w:r>
      <w:r>
        <w:rPr>
          <w:noProof/>
        </w:rPr>
        <w:t>, lai nodrošinātu, ka darbā iekārtošana tiek veikta, pilnībā ievērojot piemērojamos darba standartus. 2016. gadā tika apstrādāti gandrīz 7000 pieprasījumi, ko iesnieguši darba ņēmēji, lūdzot izvērtēt viņu lietu</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Atbalsts jauniešiem — māceklība un stažēšanās </w:t>
      </w:r>
    </w:p>
    <w:p>
      <w:pPr>
        <w:widowControl w:val="0"/>
        <w:spacing w:afterLines="60" w:after="144"/>
        <w:rPr>
          <w:noProof/>
        </w:rPr>
      </w:pPr>
      <w:r>
        <w:rPr>
          <w:noProof/>
        </w:rPr>
        <w:t xml:space="preserve">Dažādas </w:t>
      </w:r>
      <w:r>
        <w:rPr>
          <w:i/>
          <w:noProof/>
        </w:rPr>
        <w:t>EURES</w:t>
      </w:r>
      <w:r>
        <w:rPr>
          <w:noProof/>
        </w:rPr>
        <w:t xml:space="preserve"> tīkla ietvaros izstrādātas darbības un programmas ir paredzētas īpaši </w:t>
      </w:r>
      <w:r>
        <w:rPr>
          <w:b/>
          <w:noProof/>
        </w:rPr>
        <w:t>jauniešiem</w:t>
      </w:r>
      <w:r>
        <w:rPr>
          <w:noProof/>
        </w:rPr>
        <w:t>. Eiropadomes 2012. gada jūnija secinājumos</w:t>
      </w:r>
      <w:r>
        <w:rPr>
          <w:rStyle w:val="FootnoteReference"/>
          <w:noProof/>
        </w:rPr>
        <w:footnoteReference w:id="15"/>
      </w:r>
      <w:r>
        <w:rPr>
          <w:noProof/>
        </w:rPr>
        <w:t xml:space="preserve"> dalībvalstis un Komisija tika aicinātas turpināt attīstīt </w:t>
      </w:r>
      <w:r>
        <w:rPr>
          <w:i/>
          <w:noProof/>
        </w:rPr>
        <w:t>EURES</w:t>
      </w:r>
      <w:r>
        <w:rPr>
          <w:noProof/>
        </w:rPr>
        <w:t xml:space="preserve"> portālu un pārbaudīt iespēju paplašināt to arī attiecībā uz māceklību un stažēšanos. Šajā nolūkā tagad </w:t>
      </w:r>
      <w:r>
        <w:rPr>
          <w:i/>
          <w:noProof/>
        </w:rPr>
        <w:t>EURES</w:t>
      </w:r>
      <w:r>
        <w:rPr>
          <w:noProof/>
        </w:rPr>
        <w:t xml:space="preserve"> regula aptver arī māceklību un stažēšanos, jo ar veiksmīgajiem kandidātiem tiek dibinātas darba attiecības. Jau tagad </w:t>
      </w:r>
      <w:r>
        <w:rPr>
          <w:i/>
          <w:noProof/>
        </w:rPr>
        <w:t>EURES</w:t>
      </w:r>
      <w:r>
        <w:rPr>
          <w:noProof/>
        </w:rPr>
        <w:t xml:space="preserve"> portālā tiek iekļauti šādas māceklības un stažēšanās piedāvājumi brīvo darbvietu apmaiņā, un pārskata perioda beigās bija pieejami 6567 māceklības piedāvājumi un 1859 stažēšanās piedāvājumi</w:t>
      </w:r>
      <w:r>
        <w:rPr>
          <w:rStyle w:val="FootnoteReference"/>
          <w:noProof/>
        </w:rPr>
        <w:footnoteReference w:id="16"/>
      </w:r>
      <w:r>
        <w:rPr>
          <w:noProof/>
        </w:rPr>
        <w:t xml:space="preserve">. </w:t>
      </w:r>
    </w:p>
    <w:p>
      <w:pPr>
        <w:widowControl w:val="0"/>
        <w:spacing w:afterLines="60" w:after="144"/>
        <w:rPr>
          <w:noProof/>
        </w:rPr>
      </w:pPr>
      <w:r>
        <w:rPr>
          <w:noProof/>
        </w:rPr>
        <w:t xml:space="preserve">Turklāt uzņēmumi un organizācijas informāciju par to, kādas iespējas viņi piedāvā jauniešiem, var publicēt tieši, izmantojot pašapkalpošanās iespēju </w:t>
      </w:r>
      <w:r>
        <w:rPr>
          <w:i/>
          <w:noProof/>
        </w:rPr>
        <w:t>EURES</w:t>
      </w:r>
      <w:r>
        <w:rPr>
          <w:noProof/>
        </w:rPr>
        <w:t xml:space="preserve"> portāla </w:t>
      </w:r>
      <w:r>
        <w:rPr>
          <w:b/>
          <w:noProof/>
        </w:rPr>
        <w:t>Drop’pin@EURES</w:t>
      </w:r>
      <w:r>
        <w:rPr>
          <w:noProof/>
        </w:rPr>
        <w:t xml:space="preserve"> sadaļā. Pašlaik pavisam 501 uzņēmums piedāvā 2092 iespējas 32 darbības jomās, sākot no inženierzinātnēm līdz personīgajām prasmēm un attīstībai</w:t>
      </w:r>
      <w:r>
        <w:rPr>
          <w:rStyle w:val="FootnoteReference"/>
          <w:noProof/>
        </w:rPr>
        <w:footnoteReference w:id="17"/>
      </w:r>
      <w:r>
        <w:rPr>
          <w:noProof/>
        </w:rPr>
        <w:t xml:space="preserve">. EKB turpinās veicināt informācijas par māceklības un stažēšanās piedāvājumiem vākšanu un publicēšanu minētajā portālā. Pielāgotu specifikāciju izstrāde atvieglos iespēju ieinteresētajām personām karogot pašiem savus piedāvājumus un meklēt citu publicētos piedāvājumus. Paredzēts, ka šī jaunā funkcija tiks īstenota 2019. gadā. </w:t>
      </w:r>
    </w:p>
    <w:p>
      <w:pPr>
        <w:pStyle w:val="Heading4"/>
        <w:widowControl w:val="0"/>
        <w:spacing w:before="120" w:after="120"/>
        <w:ind w:left="1922"/>
        <w:rPr>
          <w:noProof/>
        </w:rPr>
      </w:pPr>
      <w:r>
        <w:rPr>
          <w:noProof/>
        </w:rPr>
        <w:t xml:space="preserve">  Mērķtiecīgas mobilitātes shēmas saistībā ar </w:t>
      </w:r>
      <w:r>
        <w:rPr>
          <w:i/>
          <w:noProof/>
        </w:rPr>
        <w:t>EURES</w:t>
      </w:r>
    </w:p>
    <w:p>
      <w:pPr>
        <w:pStyle w:val="NoSpacing"/>
        <w:keepNext/>
        <w:widowControl w:val="0"/>
        <w:spacing w:beforeLines="60" w:before="144" w:afterLines="60" w:after="144"/>
        <w:rPr>
          <w:noProof/>
        </w:rPr>
      </w:pPr>
      <w:r>
        <w:rPr>
          <w:i/>
          <w:noProof/>
        </w:rPr>
        <w:t>EURES</w:t>
      </w:r>
      <w:r>
        <w:rPr>
          <w:noProof/>
        </w:rPr>
        <w:t xml:space="preserve"> mērķis ir pievērsties arī </w:t>
      </w:r>
      <w:r>
        <w:rPr>
          <w:b/>
          <w:noProof/>
        </w:rPr>
        <w:t>īpašām darba meklētāju grupām</w:t>
      </w:r>
      <w:r>
        <w:rPr>
          <w:noProof/>
        </w:rPr>
        <w:t xml:space="preserve"> un palīdzēt aizpildīt </w:t>
      </w:r>
      <w:r>
        <w:rPr>
          <w:b/>
          <w:noProof/>
        </w:rPr>
        <w:t>brīvās darbvietas konkrētās nozarēs</w:t>
      </w:r>
      <w:r>
        <w:rPr>
          <w:noProof/>
        </w:rPr>
        <w:t xml:space="preserve">. Šajā nolūkā ar </w:t>
      </w:r>
      <w:r>
        <w:rPr>
          <w:i/>
          <w:noProof/>
        </w:rPr>
        <w:t>EURES</w:t>
      </w:r>
      <w:r>
        <w:rPr>
          <w:noProof/>
        </w:rPr>
        <w:t xml:space="preserve"> darbībām var vai nu papildināt ES finansētās </w:t>
      </w:r>
      <w:r>
        <w:rPr>
          <w:b/>
          <w:noProof/>
        </w:rPr>
        <w:t>mērķtiecīgās mobilitātes shēmas (MMS)</w:t>
      </w:r>
      <w:r>
        <w:rPr>
          <w:noProof/>
        </w:rPr>
        <w:t xml:space="preserve">, vai arī tās var integrēt minētajās MMS shēmās, kuras tiek finansētas saskaņā ar ES </w:t>
      </w:r>
      <w:r>
        <w:rPr>
          <w:b/>
          <w:noProof/>
        </w:rPr>
        <w:t>Nodarbinātības un sociālās inovācijas programmu</w:t>
      </w:r>
      <w:r>
        <w:rPr>
          <w:noProof/>
        </w:rPr>
        <w:t xml:space="preserve"> (</w:t>
      </w:r>
      <w:r>
        <w:rPr>
          <w:i/>
          <w:noProof/>
        </w:rPr>
        <w:t>EaSI</w:t>
      </w:r>
      <w:r>
        <w:rPr>
          <w:noProof/>
        </w:rPr>
        <w:t>) un kuru mērķis ir pārbaudīt inovatīvus veidus, kā atbalstīt pārrobežu darba mobilitāti vai apmierināt konkrētu mērķgrupu vajadzības.</w:t>
      </w:r>
    </w:p>
    <w:p>
      <w:pPr>
        <w:widowControl w:val="0"/>
        <w:autoSpaceDE w:val="0"/>
        <w:autoSpaceDN w:val="0"/>
        <w:adjustRightInd w:val="0"/>
        <w:spacing w:beforeLines="60" w:before="144" w:afterLines="60" w:after="144"/>
        <w:rPr>
          <w:b/>
          <w:i/>
          <w:noProof/>
        </w:rPr>
      </w:pPr>
      <w:r>
        <w:rPr>
          <w:noProof/>
        </w:rPr>
        <w:t xml:space="preserve">Shēma </w:t>
      </w:r>
      <w:r>
        <w:rPr>
          <w:b/>
          <w:noProof/>
        </w:rPr>
        <w:t xml:space="preserve">“Tava pirmā </w:t>
      </w:r>
      <w:r>
        <w:rPr>
          <w:b/>
          <w:i/>
          <w:noProof/>
        </w:rPr>
        <w:t>EURES</w:t>
      </w:r>
      <w:r>
        <w:rPr>
          <w:b/>
          <w:noProof/>
        </w:rPr>
        <w:t xml:space="preserve"> darbavieta” (TPED)</w:t>
      </w:r>
      <w:r>
        <w:rPr>
          <w:noProof/>
        </w:rPr>
        <w:t xml:space="preserve"> sniedz atbalstu jauniešiem vecumā līdz 35 gadiem darba, māceklības vai stažēšanās vietas meklējumos Eiropas mērogā, kā arī darba devējiem, kas </w:t>
      </w:r>
      <w:r>
        <w:rPr>
          <w:i/>
          <w:noProof/>
        </w:rPr>
        <w:t>EURES</w:t>
      </w:r>
      <w:r>
        <w:rPr>
          <w:noProof/>
        </w:rPr>
        <w:t xml:space="preserve"> dalībvalstīs meklē jauniešus, kuriem ir atbilstošas prasmes. Laikposmā no 2016. gada līdz 2018. gada vidum </w:t>
      </w:r>
      <w:r>
        <w:rPr>
          <w:b/>
          <w:noProof/>
        </w:rPr>
        <w:t>4 valstis</w:t>
      </w:r>
      <w:r>
        <w:rPr>
          <w:noProof/>
        </w:rPr>
        <w:t xml:space="preserve"> (Francija, Vācija, Itālija un Zviedrija) vadīja projektus shēmā “Tava pirmā </w:t>
      </w:r>
      <w:r>
        <w:rPr>
          <w:i/>
          <w:noProof/>
        </w:rPr>
        <w:t>EURES</w:t>
      </w:r>
      <w:r>
        <w:rPr>
          <w:noProof/>
        </w:rPr>
        <w:t xml:space="preserve"> darbavieta”.</w:t>
      </w:r>
      <w:r>
        <w:rPr>
          <w:b/>
          <w:i/>
          <w:noProof/>
        </w:rPr>
        <w:t xml:space="preserve"> </w:t>
      </w:r>
      <w:r>
        <w:rPr>
          <w:noProof/>
        </w:rPr>
        <w:t>Ziņojumi liecina, ka, pirmkārt, tipisks darba meklētājs ir 23–26 gadus vecs jaunietis, kas ir ieguvis augstāko izglītību vai joprojām turpina mācīties, un ka, otrkārt, vairāk nekā puse (52 %) no darba meklētājiem laikā, kad notika iekārtošana darbā, bija bez darba. Vairāk nekā 80 % no tiem, kuri atrada darbu citā valstī, izmantojot šo shēmu, jau bija strādājuši savā mītnes valstī, savukārt tikai 28 % no tiem bija strādājuši ārvalstīs. Darba devēji ir gan lieli uzņēmumi, gan MVU.</w:t>
      </w:r>
    </w:p>
    <w:p>
      <w:pPr>
        <w:widowControl w:val="0"/>
        <w:autoSpaceDE w:val="0"/>
        <w:autoSpaceDN w:val="0"/>
        <w:adjustRightInd w:val="0"/>
        <w:spacing w:beforeLines="60" w:before="144" w:afterLines="60" w:after="144"/>
        <w:rPr>
          <w:i/>
          <w:noProof/>
        </w:rPr>
      </w:pPr>
      <w:r>
        <w:rPr>
          <w:noProof/>
        </w:rPr>
        <w:t xml:space="preserve">Šajā periodā nozīmīgākās </w:t>
      </w:r>
      <w:r>
        <w:rPr>
          <w:b/>
          <w:noProof/>
        </w:rPr>
        <w:t>mērķa valstis</w:t>
      </w:r>
      <w:r>
        <w:rPr>
          <w:noProof/>
        </w:rPr>
        <w:t xml:space="preserve"> bija Itālija, Īrija, Francija un Spānija. Galvenās </w:t>
      </w:r>
      <w:r>
        <w:rPr>
          <w:b/>
          <w:noProof/>
        </w:rPr>
        <w:t>uzņēmējas valstis un nozares</w:t>
      </w:r>
      <w:r>
        <w:rPr>
          <w:noProof/>
        </w:rPr>
        <w:t xml:space="preserve"> ir šādas: Vācija — cilvēku veselības aizsardzības un sociālā darba jomā, Apvienotā Karaliste — izglītības jomā, Francija — IKT izvietošanas jomā</w:t>
      </w:r>
      <w:r>
        <w:rPr>
          <w:rStyle w:val="FootnoteReference"/>
          <w:noProof/>
        </w:rPr>
        <w:footnoteReference w:id="18"/>
      </w:r>
      <w:r>
        <w:rPr>
          <w:noProof/>
        </w:rPr>
        <w:t xml:space="preserve">. Lai gan </w:t>
      </w:r>
      <w:r>
        <w:rPr>
          <w:b/>
          <w:noProof/>
        </w:rPr>
        <w:t>darbā tika iekārtotas vairāk nekā 3000 personas</w:t>
      </w:r>
      <w:r>
        <w:rPr>
          <w:noProof/>
        </w:rPr>
        <w:t>, laikposmā no 2016. gada līdz 2017. gada pirmajam pusgadam tika sasniegti tikai 15–26 % no sākotnējiem darbā iekārtošanas mērķiem dažādās programmās</w:t>
      </w:r>
      <w:r>
        <w:rPr>
          <w:noProof/>
          <w:vertAlign w:val="superscript"/>
        </w:rPr>
        <w:footnoteReference w:id="19"/>
      </w:r>
      <w:r>
        <w:rPr>
          <w:noProof/>
        </w:rPr>
        <w:t>. Tomēr gandrīz 1200 personas tika iekārtotas darbā, izmantoja māceklības un stažēšanās iespējas tikai 2017. gada otrajā pusgadā vien</w:t>
      </w:r>
      <w:r>
        <w:rPr>
          <w:noProof/>
          <w:vertAlign w:val="superscript"/>
        </w:rPr>
        <w:footnoteReference w:id="20"/>
      </w:r>
      <w:r>
        <w:rPr>
          <w:noProof/>
        </w:rPr>
        <w:t>, un tas liecina, ka minētā shēma tika īstenota intensīvāk. Vairums jauniešu, kuri piedalījās šajā shēmā, tika nodarbināti ar parastu darba līgumu, un tikai daži izmantoja māceklības vai stažēšanās iespējas.</w:t>
      </w:r>
    </w:p>
    <w:p>
      <w:pPr>
        <w:pStyle w:val="NoSpacing"/>
        <w:widowControl w:val="0"/>
        <w:spacing w:before="60" w:after="60"/>
        <w:rPr>
          <w:noProof/>
        </w:rPr>
      </w:pPr>
      <w:r>
        <w:rPr>
          <w:b/>
          <w:noProof/>
        </w:rPr>
        <w:t>“</w:t>
      </w:r>
      <w:r>
        <w:rPr>
          <w:b/>
          <w:i/>
          <w:noProof/>
        </w:rPr>
        <w:t>Reactivate</w:t>
      </w:r>
      <w:r>
        <w:rPr>
          <w:b/>
          <w:noProof/>
        </w:rPr>
        <w:t>”</w:t>
      </w:r>
      <w:r>
        <w:rPr>
          <w:noProof/>
        </w:rPr>
        <w:t xml:space="preserve"> ir ES iekšējā darbvietu mobilitātes shēma darba ņēmējiem no 35 gadu vecuma, kuriem ir grūti atrast darbu vai apmācības iespējas savā mītnes valstī un kuri vēlas pārcelties uz citu valsti. Tāpat kā shēmas “Tava pirmā </w:t>
      </w:r>
      <w:r>
        <w:rPr>
          <w:i/>
          <w:noProof/>
        </w:rPr>
        <w:t>EURES</w:t>
      </w:r>
      <w:r>
        <w:rPr>
          <w:noProof/>
        </w:rPr>
        <w:t xml:space="preserve"> darbavieta” gadījumā — darba meklētāji, izmantojot “</w:t>
      </w:r>
      <w:r>
        <w:rPr>
          <w:i/>
          <w:noProof/>
        </w:rPr>
        <w:t>Reactivate</w:t>
      </w:r>
      <w:r>
        <w:rPr>
          <w:noProof/>
        </w:rPr>
        <w:t>” nodarbinātības pakalpojumu, var pieteikties dažādām finansiālā atbalsta formām. Pašlaik “</w:t>
      </w:r>
      <w:r>
        <w:rPr>
          <w:i/>
          <w:noProof/>
        </w:rPr>
        <w:t>Reactivate</w:t>
      </w:r>
      <w:r>
        <w:rPr>
          <w:noProof/>
        </w:rPr>
        <w:t xml:space="preserve">” projektus vada nodarbinātības dienesti 4 valstīs — </w:t>
      </w:r>
      <w:r>
        <w:rPr>
          <w:b/>
          <w:noProof/>
        </w:rPr>
        <w:t>Itālijā, Francijā, Polijā</w:t>
      </w:r>
      <w:r>
        <w:rPr>
          <w:noProof/>
        </w:rPr>
        <w:t xml:space="preserve"> un </w:t>
      </w:r>
      <w:r>
        <w:rPr>
          <w:b/>
          <w:noProof/>
        </w:rPr>
        <w:t>Zviedrijā</w:t>
      </w:r>
      <w:r>
        <w:rPr>
          <w:noProof/>
        </w:rPr>
        <w:t xml:space="preserve">, iesaistot partnerus </w:t>
      </w:r>
      <w:r>
        <w:rPr>
          <w:b/>
          <w:noProof/>
        </w:rPr>
        <w:t>13 valstīs</w:t>
      </w:r>
      <w:r>
        <w:rPr>
          <w:noProof/>
        </w:rPr>
        <w:t>. Neatkarīgi no tā, ka sākotnēji šī shēma tika īstenota lēni, tai ir ilgtermiņa potenciāls, ņemot vērā to, ka tādu gados vecāku ES darba ņēmēju nodarbinātības līmenis, kuri pašlaik strādā dalībvalstī, kas nav viņu dzimšanas valsts, ir līdzīgs tam, kāds ir tāda paša vecuma darba ņēmējiem, kuri strādā valstī, kas ir viņu ir dzimšanas valsts</w:t>
      </w:r>
      <w:r>
        <w:rPr>
          <w:noProof/>
          <w:vertAlign w:val="superscript"/>
        </w:rPr>
        <w:footnoteReference w:id="21"/>
      </w:r>
      <w:r>
        <w:rPr>
          <w:noProof/>
        </w:rPr>
        <w:t>.</w:t>
      </w:r>
    </w:p>
    <w:p>
      <w:pPr>
        <w:pStyle w:val="NoSpacing"/>
        <w:widowControl w:val="0"/>
        <w:spacing w:before="60" w:after="60"/>
        <w:rPr>
          <w:i/>
          <w:noProof/>
        </w:rPr>
      </w:pPr>
      <w:r>
        <w:rPr>
          <w:noProof/>
        </w:rPr>
        <w:t xml:space="preserve">Arī </w:t>
      </w:r>
      <w:r>
        <w:rPr>
          <w:b/>
          <w:noProof/>
        </w:rPr>
        <w:t>Eiropas Solidaritātes korpusā</w:t>
      </w:r>
      <w:r>
        <w:rPr>
          <w:noProof/>
        </w:rPr>
        <w:t xml:space="preserve"> ir darbaspēka mobilitātes dimensija ar mērķi radīt iespējas jauniešiem attīstīt savas prasmes un palielināt savas turpmākās izredzes darba tirgū, pateicoties darbam vai stažēšanās iespējai ārvalstīs. Pašlaik šīs shēmas ietvaros tiek īstenoti divi projekti — Francijas vadītais konsorcijs, kura mērķis ir nodrošināt darba un stažēšanās vietas 1000 personām, un Itālijas vadītais konsorcijs, kura mērķis ir līdz 2018. gada septembrim iekārtot darbā 400 personas.</w:t>
      </w:r>
      <w:r>
        <w:rPr>
          <w:i/>
          <w:noProof/>
        </w:rPr>
        <w:t xml:space="preserve"> </w:t>
      </w:r>
    </w:p>
    <w:p>
      <w:pPr>
        <w:pStyle w:val="NoSpacing"/>
        <w:widowControl w:val="0"/>
        <w:spacing w:beforeLines="60" w:before="144" w:afterLines="60" w:after="144"/>
        <w:rPr>
          <w:noProof/>
        </w:rPr>
      </w:pPr>
      <w:r>
        <w:rPr>
          <w:noProof/>
        </w:rPr>
        <w:t>Tālāk dotajā tabulā ir sniegts pārskats par mērķtiecīgajām mobilitātes shēmām, kurā norādīti to finansējuma avoti, mērķgrupas un valstis, kas aktīvi piedalās minētajās shēmās.</w:t>
      </w:r>
    </w:p>
    <w:p>
      <w:pPr>
        <w:pStyle w:val="Caption"/>
        <w:keepNext/>
        <w:widowControl w:val="0"/>
        <w:spacing w:beforeLines="100" w:before="240" w:afterLines="60" w:after="144"/>
        <w:jc w:val="center"/>
        <w:rPr>
          <w:noProof/>
          <w:sz w:val="20"/>
        </w:rPr>
      </w:pPr>
      <w:r>
        <w:rPr>
          <w:noProof/>
          <w:sz w:val="20"/>
        </w:rPr>
        <w:t>Pārskats par mobilitātes shēmām, kas saistītas ar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Mobilitātes shēma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Mērķgrupa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Vadošie nodarbinātības dienesti</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Pārrobežu partnerības (PRP)</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Darba meklētāji un darba devēji pierobežas reģionos</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 xml:space="preserve">“Tava pirmā </w:t>
            </w:r>
            <w:r>
              <w:rPr>
                <w:rFonts w:ascii="Times New Roman" w:hAnsi="Times New Roman"/>
                <w:i/>
                <w:noProof/>
                <w:sz w:val="22"/>
              </w:rPr>
              <w:t>EURES</w:t>
            </w:r>
            <w:r>
              <w:rPr>
                <w:rFonts w:ascii="Times New Roman" w:hAnsi="Times New Roman"/>
                <w:noProof/>
                <w:sz w:val="22"/>
              </w:rPr>
              <w:t xml:space="preserve"> darbavieta”</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18–35 gadus veci darba meklētāji / uzņēmumi, kam ir vajadzīgas noteiktas prasmes</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Vadošie nodarbinātības dienesti: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šādās valstīs: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Eiropas Solidaritātes korpuss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18–30 gadus veci jaunieši</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Vadošie nodarbinātības dienesti: FR, IT</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w:t>
            </w:r>
            <w:r>
              <w:rPr>
                <w:rFonts w:ascii="Times New Roman" w:hAnsi="Times New Roman"/>
                <w:i/>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Darba meklētāji no 35 gadu vecuma / darba devēji, kuriem vajadzīgs kvalificēts darbaspēks</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Vadošie nodarbinātības dienesti: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šādās valstīs: DE, EL, ES, NL, IT, FI, IE, LU, PT, RO, SI, BE, CY</w:t>
            </w:r>
          </w:p>
        </w:tc>
      </w:tr>
    </w:tbl>
    <w:p>
      <w:pPr>
        <w:pStyle w:val="Heading3"/>
        <w:widowControl w:val="0"/>
        <w:spacing w:before="240" w:after="120"/>
        <w:ind w:left="2279"/>
        <w:rPr>
          <w:noProof/>
        </w:rPr>
      </w:pPr>
      <w:bookmarkStart w:id="28" w:name="_Toc534893435"/>
      <w:bookmarkStart w:id="29" w:name="_Toc765048"/>
      <w:r>
        <w:rPr>
          <w:noProof/>
        </w:rPr>
        <w:t>Resursi un pārvaldība</w:t>
      </w:r>
      <w:bookmarkEnd w:id="28"/>
      <w:bookmarkEnd w:id="29"/>
    </w:p>
    <w:p>
      <w:pPr>
        <w:pStyle w:val="Heading4"/>
        <w:widowControl w:val="0"/>
        <w:spacing w:before="120" w:after="120"/>
        <w:ind w:left="1922"/>
        <w:rPr>
          <w:noProof/>
        </w:rPr>
      </w:pPr>
      <w:r>
        <w:rPr>
          <w:noProof/>
        </w:rPr>
        <w:t xml:space="preserve">  Cilvēkresursi</w:t>
      </w:r>
    </w:p>
    <w:p>
      <w:pPr>
        <w:widowControl w:val="0"/>
        <w:autoSpaceDE w:val="0"/>
        <w:autoSpaceDN w:val="0"/>
        <w:adjustRightInd w:val="0"/>
        <w:spacing w:beforeLines="60" w:before="144" w:afterLines="60" w:after="144"/>
        <w:rPr>
          <w:noProof/>
        </w:rPr>
      </w:pPr>
      <w:r>
        <w:rPr>
          <w:b/>
          <w:i/>
          <w:noProof/>
        </w:rPr>
        <w:t>EURES</w:t>
      </w:r>
      <w:r>
        <w:rPr>
          <w:b/>
          <w:noProof/>
        </w:rPr>
        <w:t xml:space="preserve"> darbinieki</w:t>
      </w:r>
      <w:r>
        <w:rPr>
          <w:rStyle w:val="FootnoteReference"/>
          <w:noProof/>
        </w:rPr>
        <w:footnoteReference w:id="23"/>
      </w:r>
      <w:r>
        <w:rPr>
          <w:noProof/>
        </w:rPr>
        <w:t xml:space="preserve"> strādā valsts vai reģionālos VND vai citās </w:t>
      </w:r>
      <w:r>
        <w:rPr>
          <w:i/>
          <w:noProof/>
        </w:rPr>
        <w:t>EURES</w:t>
      </w:r>
      <w:r>
        <w:rPr>
          <w:noProof/>
        </w:rPr>
        <w:t xml:space="preserve"> dalībnieku vai partneru organizācijās. Viņi sniedz specializētas konsultācijas, norādījumus un palīdzību darba meklētājiem un darba devējiem. Kopējā </w:t>
      </w:r>
      <w:r>
        <w:rPr>
          <w:i/>
          <w:noProof/>
        </w:rPr>
        <w:t>EURES</w:t>
      </w:r>
      <w:r>
        <w:rPr>
          <w:noProof/>
        </w:rPr>
        <w:t xml:space="preserve"> darbinieku skaita sadalījums pa valstīm</w:t>
      </w:r>
      <w:r>
        <w:rPr>
          <w:rStyle w:val="FootnoteReference"/>
          <w:noProof/>
        </w:rPr>
        <w:footnoteReference w:id="24"/>
      </w:r>
      <w:r>
        <w:rPr>
          <w:noProof/>
        </w:rPr>
        <w:t xml:space="preserve"> aptuveni </w:t>
      </w:r>
      <w:r>
        <w:rPr>
          <w:b/>
          <w:noProof/>
        </w:rPr>
        <w:t>ataino valstu darba tirgu izmēru</w:t>
      </w:r>
      <w:r>
        <w:rPr>
          <w:noProof/>
        </w:rPr>
        <w:t xml:space="preserve">, t. i., no 178 padomdevējiem Vācijā, 92 Spānijā un 55 Polijā līdz 20 Bulgārijā, 15 Nīderlandē, 7 Kiprā un 3 Igaunijā. </w:t>
      </w:r>
    </w:p>
    <w:p>
      <w:pPr>
        <w:pStyle w:val="Heading4"/>
        <w:widowControl w:val="0"/>
        <w:spacing w:before="240" w:after="120"/>
        <w:ind w:left="1922"/>
        <w:rPr>
          <w:noProof/>
        </w:rPr>
      </w:pPr>
      <w:r>
        <w:rPr>
          <w:noProof/>
        </w:rPr>
        <w:t xml:space="preserve">  Finanšu resursi</w:t>
      </w:r>
    </w:p>
    <w:p>
      <w:pPr>
        <w:widowControl w:val="0"/>
        <w:autoSpaceDE w:val="0"/>
        <w:autoSpaceDN w:val="0"/>
        <w:adjustRightInd w:val="0"/>
        <w:spacing w:beforeLines="60" w:before="144" w:afterLines="60" w:after="144"/>
        <w:rPr>
          <w:noProof/>
        </w:rPr>
      </w:pPr>
      <w:r>
        <w:rPr>
          <w:noProof/>
        </w:rPr>
        <w:t xml:space="preserve">Finanšu resursi, kas šā tīkla darbībai ir pieejami dažādās valstīs, ir būtiski atšķirīgi. Personāla izmaksas veido lielāko daļu no valsts finansējuma. Tomēr ir grūti noteikt konkrētas summas, jo </w:t>
      </w:r>
      <w:r>
        <w:rPr>
          <w:i/>
          <w:noProof/>
        </w:rPr>
        <w:t>EURES</w:t>
      </w:r>
      <w:r>
        <w:rPr>
          <w:noProof/>
        </w:rPr>
        <w:t xml:space="preserve"> pakalpojumi galvenokārt ir bijuši daļa no valsts nodarbinātības dienestu piedāvātajiem pakalpojumiem. Vairumā gadījumu </w:t>
      </w:r>
      <w:r>
        <w:rPr>
          <w:b/>
          <w:noProof/>
        </w:rPr>
        <w:t>Eiropas Sociālais fonds</w:t>
      </w:r>
      <w:r>
        <w:rPr>
          <w:noProof/>
        </w:rPr>
        <w:t xml:space="preserve"> (ESF) papildina valsts finansējumu saistībā ar darbā pieņemšanas, konsultāciju un norādījumu sniegšanas pakalpojumiem valsts un pārrobežu līmenī. Komisijas rīcībā nav informācijas par summām, kas piešķirtas </w:t>
      </w:r>
      <w:r>
        <w:rPr>
          <w:i/>
          <w:noProof/>
        </w:rPr>
        <w:t>EURES</w:t>
      </w:r>
      <w:r>
        <w:rPr>
          <w:noProof/>
        </w:rPr>
        <w:t xml:space="preserve"> darbībām ESF ietvaros 2014.–2020. gada plānošanas periodā. Ņemot vērā minētā fonda dalītās pārvaldības būtību, ES līmenī pieejamā informācija ir ierobežota līdz tam, kas ir apstiprināts ESF regulā</w:t>
      </w:r>
      <w:r>
        <w:rPr>
          <w:rStyle w:val="FootnoteReference"/>
          <w:noProof/>
        </w:rPr>
        <w:footnoteReference w:id="25"/>
      </w:r>
      <w:r>
        <w:rPr>
          <w:noProof/>
        </w:rPr>
        <w:t xml:space="preserve"> un jo īpaši Īstenošanas regulā (ES) Nr. 215/2014, kurā ir noteiktas intervenču kategorijas.</w:t>
      </w:r>
    </w:p>
    <w:p>
      <w:pPr>
        <w:widowControl w:val="0"/>
        <w:autoSpaceDE w:val="0"/>
        <w:autoSpaceDN w:val="0"/>
        <w:adjustRightInd w:val="0"/>
        <w:spacing w:beforeLines="60" w:before="144" w:afterLines="60" w:after="144"/>
        <w:rPr>
          <w:noProof/>
        </w:rPr>
      </w:pPr>
      <w:r>
        <w:rPr>
          <w:noProof/>
        </w:rPr>
        <w:t xml:space="preserve">EKB organizētās horizontālās darbības tiek finansētas ar </w:t>
      </w:r>
      <w:r>
        <w:rPr>
          <w:i/>
          <w:noProof/>
        </w:rPr>
        <w:t>EURES</w:t>
      </w:r>
      <w:r>
        <w:rPr>
          <w:noProof/>
        </w:rPr>
        <w:t xml:space="preserve"> apakšprogrammas starpniecību </w:t>
      </w:r>
      <w:r>
        <w:rPr>
          <w:i/>
          <w:noProof/>
        </w:rPr>
        <w:t>EaSI</w:t>
      </w:r>
      <w:r>
        <w:rPr>
          <w:noProof/>
        </w:rPr>
        <w:t xml:space="preserve"> ietvaros</w:t>
      </w:r>
      <w:r>
        <w:rPr>
          <w:rStyle w:val="FootnoteReference"/>
          <w:noProof/>
        </w:rPr>
        <w:footnoteReference w:id="26"/>
      </w:r>
      <w:r>
        <w:rPr>
          <w:noProof/>
        </w:rPr>
        <w:t xml:space="preserve">, kas veido arī daļu no </w:t>
      </w:r>
      <w:r>
        <w:rPr>
          <w:i/>
          <w:noProof/>
        </w:rPr>
        <w:t>EURES</w:t>
      </w:r>
      <w:r>
        <w:rPr>
          <w:noProof/>
        </w:rPr>
        <w:t xml:space="preserve"> pakalpojumu sniedzēju darbības izmaksām Norvēģijā un Islandē. </w:t>
      </w:r>
      <w:r>
        <w:rPr>
          <w:i/>
          <w:noProof/>
        </w:rPr>
        <w:t>EaSI</w:t>
      </w:r>
      <w:r>
        <w:rPr>
          <w:noProof/>
        </w:rPr>
        <w:t xml:space="preserve"> finansē arī īpašus pakalpojumus, piemēram, pielāgotu palīdzību mērķtiecīgās mobilitātes shēmās. To finanšu resursu sadalījums, kuri pārskata periodā </w:t>
      </w:r>
      <w:r>
        <w:rPr>
          <w:i/>
          <w:noProof/>
        </w:rPr>
        <w:t>EaSI</w:t>
      </w:r>
      <w:r>
        <w:rPr>
          <w:noProof/>
        </w:rPr>
        <w:t xml:space="preserve"> ietvaros pieejami </w:t>
      </w:r>
      <w:r>
        <w:rPr>
          <w:i/>
          <w:noProof/>
        </w:rPr>
        <w:t>EURES</w:t>
      </w:r>
      <w:r>
        <w:rPr>
          <w:noProof/>
        </w:rPr>
        <w:t xml:space="preserve">, ir atspoguļots 2.2.9. sadaļā tālāk. </w:t>
      </w:r>
    </w:p>
    <w:p>
      <w:pPr>
        <w:pStyle w:val="Heading4"/>
        <w:spacing w:before="120" w:after="120"/>
        <w:ind w:left="1922"/>
        <w:rPr>
          <w:noProof/>
        </w:rPr>
      </w:pPr>
      <w:r>
        <w:rPr>
          <w:noProof/>
        </w:rPr>
        <w:t xml:space="preserve">  IT infrastruktūra</w:t>
      </w:r>
    </w:p>
    <w:p>
      <w:pPr>
        <w:widowControl w:val="0"/>
        <w:autoSpaceDE w:val="0"/>
        <w:autoSpaceDN w:val="0"/>
        <w:adjustRightInd w:val="0"/>
        <w:spacing w:beforeLines="60" w:before="144" w:afterLines="60" w:after="144"/>
        <w:rPr>
          <w:noProof/>
        </w:rPr>
      </w:pPr>
      <w:r>
        <w:rPr>
          <w:noProof/>
        </w:rPr>
        <w:t xml:space="preserve">Visas dalībvalstis savu IT infrastruktūru vai nu jau ir pielāgojušas, vai pašlaik pielāgo tā, lai varētu paplašināt informācijas par brīvajām darbvietām un CV nodošanu </w:t>
      </w:r>
      <w:r>
        <w:rPr>
          <w:i/>
          <w:noProof/>
        </w:rPr>
        <w:t>EURES</w:t>
      </w:r>
      <w:r>
        <w:rPr>
          <w:noProof/>
        </w:rPr>
        <w:t xml:space="preserve"> portālam, veicot šo darbu saistībā ar 2016. gada regulas īstenošanu. </w:t>
      </w:r>
    </w:p>
    <w:p>
      <w:pPr>
        <w:widowControl w:val="0"/>
        <w:autoSpaceDE w:val="0"/>
        <w:autoSpaceDN w:val="0"/>
        <w:adjustRightInd w:val="0"/>
        <w:spacing w:beforeLines="60" w:before="144" w:afterLines="60" w:after="144"/>
        <w:rPr>
          <w:noProof/>
        </w:rPr>
      </w:pPr>
      <w:r>
        <w:rPr>
          <w:noProof/>
        </w:rPr>
        <w:t xml:space="preserve">Turklāt daudzas no šīm valstīm ir uzsākušas valsts iniciatīvas nolūkā uzlabot tiešsaistes pakalpojumu sniegšanu. Piemēram, daži VKB ir pieņēmuši </w:t>
      </w:r>
      <w:r>
        <w:rPr>
          <w:b/>
          <w:noProof/>
        </w:rPr>
        <w:t>pēc noklusējuma digitālu</w:t>
      </w:r>
      <w:r>
        <w:rPr>
          <w:noProof/>
        </w:rPr>
        <w:t xml:space="preserve"> pieeju </w:t>
      </w:r>
      <w:r>
        <w:rPr>
          <w:i/>
          <w:noProof/>
        </w:rPr>
        <w:t>EURES</w:t>
      </w:r>
      <w:r>
        <w:rPr>
          <w:noProof/>
        </w:rPr>
        <w:t xml:space="preserve"> pakalpojumu sniegšanai (Apvienotā Karaliste) un palielinājuši tehnoloģiju izmantošanu, lai piesaistītu, pieņemtu darbā un piemeklētu kandidātus, sniedzot </w:t>
      </w:r>
      <w:r>
        <w:rPr>
          <w:b/>
          <w:noProof/>
        </w:rPr>
        <w:t>e-mācību stundas</w:t>
      </w:r>
      <w:r>
        <w:rPr>
          <w:noProof/>
        </w:rPr>
        <w:t xml:space="preserve"> par darba meklēšanu </w:t>
      </w:r>
      <w:r>
        <w:rPr>
          <w:i/>
          <w:noProof/>
        </w:rPr>
        <w:t>EURES</w:t>
      </w:r>
      <w:r>
        <w:rPr>
          <w:noProof/>
        </w:rPr>
        <w:t xml:space="preserve"> valsts mājas lapā (Dānija). Tiek izstrādāta </w:t>
      </w:r>
      <w:r>
        <w:rPr>
          <w:b/>
          <w:i/>
          <w:noProof/>
        </w:rPr>
        <w:t>EURES</w:t>
      </w:r>
      <w:r>
        <w:rPr>
          <w:noProof/>
        </w:rPr>
        <w:t xml:space="preserve"> </w:t>
      </w:r>
      <w:r>
        <w:rPr>
          <w:b/>
          <w:noProof/>
        </w:rPr>
        <w:t>aplikācija</w:t>
      </w:r>
      <w:r>
        <w:rPr>
          <w:noProof/>
        </w:rPr>
        <w:t>, kas ļauj darba devējiem vieglāk atrast pārrobežu darba ņēmējus Beļģijā un Nīderlandē</w:t>
      </w:r>
      <w:r>
        <w:rPr>
          <w:rStyle w:val="FootnoteReference"/>
          <w:noProof/>
        </w:rPr>
        <w:footnoteReference w:id="27"/>
      </w:r>
      <w:r>
        <w:rPr>
          <w:noProof/>
        </w:rPr>
        <w:t xml:space="preserve"> (</w:t>
      </w:r>
      <w:r>
        <w:rPr>
          <w:i/>
          <w:noProof/>
        </w:rPr>
        <w:t>EURES Scheldemond</w:t>
      </w:r>
      <w:r>
        <w:rPr>
          <w:noProof/>
        </w:rPr>
        <w:t xml:space="preserve">). Citi inovatīvu pieeju piemēri attiecībā uz pakalpojumu sniegšanu ir, piemēram, šādi: </w:t>
      </w:r>
      <w:r>
        <w:rPr>
          <w:b/>
          <w:noProof/>
        </w:rPr>
        <w:t>jauniešiem paredzētas tīmekļa vietnes</w:t>
      </w:r>
      <w:r>
        <w:rPr>
          <w:noProof/>
        </w:rPr>
        <w:t xml:space="preserve"> izstrāde Beļģijā</w:t>
      </w:r>
      <w:r>
        <w:rPr>
          <w:rStyle w:val="FootnoteReference"/>
          <w:noProof/>
        </w:rPr>
        <w:footnoteReference w:id="28"/>
      </w:r>
      <w:r>
        <w:rPr>
          <w:noProof/>
        </w:rPr>
        <w:t xml:space="preserve">; cieša </w:t>
      </w:r>
      <w:r>
        <w:rPr>
          <w:b/>
          <w:noProof/>
        </w:rPr>
        <w:t>sadarbība ar programmas TPED IT daļu</w:t>
      </w:r>
      <w:r>
        <w:rPr>
          <w:noProof/>
        </w:rPr>
        <w:t xml:space="preserve"> Kiprā; </w:t>
      </w:r>
      <w:r>
        <w:rPr>
          <w:b/>
          <w:noProof/>
        </w:rPr>
        <w:t>tiešsaistes kontrollapas</w:t>
      </w:r>
      <w:r>
        <w:rPr>
          <w:noProof/>
        </w:rPr>
        <w:t xml:space="preserve"> ieviešana VND padomdevēju vajadzībām par </w:t>
      </w:r>
      <w:r>
        <w:rPr>
          <w:i/>
          <w:noProof/>
        </w:rPr>
        <w:t>EURES</w:t>
      </w:r>
      <w:r>
        <w:rPr>
          <w:noProof/>
        </w:rPr>
        <w:t xml:space="preserve"> procedūrām Horvātijā; 38 tiešsaistes pakalpojumu izvēršana Francijā, kā arī tīmekļsemināru organizēšana, kas ir izmaksu ziņā efektīvs veids, kā nodrošināt “dzīvu” informāciju bez ģeogrāfiskiem ierobežojumiem.</w:t>
      </w:r>
    </w:p>
    <w:p>
      <w:pPr>
        <w:pStyle w:val="Heading4"/>
        <w:widowControl w:val="0"/>
        <w:spacing w:before="120" w:after="120"/>
        <w:ind w:left="1922"/>
        <w:rPr>
          <w:noProof/>
        </w:rPr>
      </w:pPr>
      <w:r>
        <w:rPr>
          <w:noProof/>
        </w:rPr>
        <w:t xml:space="preserve">  Pārvaldība un ieinteresēto personu sadarbība</w:t>
      </w:r>
    </w:p>
    <w:p>
      <w:pPr>
        <w:widowControl w:val="0"/>
        <w:autoSpaceDE w:val="0"/>
        <w:autoSpaceDN w:val="0"/>
        <w:adjustRightInd w:val="0"/>
        <w:spacing w:beforeLines="60" w:before="144" w:afterLines="60" w:after="144"/>
        <w:rPr>
          <w:noProof/>
        </w:rPr>
      </w:pPr>
      <w:r>
        <w:rPr>
          <w:noProof/>
        </w:rPr>
        <w:t xml:space="preserve">VKB lielu daļu no savām darbībām veic sadarbībā ar </w:t>
      </w:r>
      <w:r>
        <w:rPr>
          <w:b/>
          <w:noProof/>
        </w:rPr>
        <w:t>plašu ieinteresēto personu loku vietējā, reģionālā, valsts un pārrobežu līmenī</w:t>
      </w:r>
      <w:r>
        <w:rPr>
          <w:noProof/>
        </w:rPr>
        <w:t>. Tie ir sociālie partneri, citi Eiropas tīkli, profesionālās orientācijas dienesti, tirdzniecības kameras, par sociālo nodrošinājumu un nodokļiem atbildīgās iestādes u. c. Var norādīt, ka jo ciešāka sadarbība ar dalībniekiem uz vietas, jo veiksmīgākas ir kopīgi organizētās darbības, tāpēc ka to rezultātā ir vairāk gadījumu, kad veiksmīgi ir piemeklēti darba meklētāji un darba devēji.</w:t>
      </w:r>
    </w:p>
    <w:p>
      <w:pPr>
        <w:pStyle w:val="Heading4"/>
        <w:widowControl w:val="0"/>
        <w:spacing w:before="120" w:after="120"/>
        <w:ind w:left="1922"/>
        <w:rPr>
          <w:noProof/>
        </w:rPr>
      </w:pPr>
      <w:r>
        <w:rPr>
          <w:noProof/>
        </w:rPr>
        <w:t xml:space="preserve">  Komunikācija </w:t>
      </w:r>
      <w:r>
        <w:rPr>
          <w:i/>
          <w:noProof/>
        </w:rPr>
        <w:t>EURES</w:t>
      </w:r>
      <w:r>
        <w:rPr>
          <w:noProof/>
        </w:rPr>
        <w:t xml:space="preserve"> dalībvalstīs</w:t>
      </w:r>
    </w:p>
    <w:p>
      <w:pPr>
        <w:keepNext/>
        <w:widowControl w:val="0"/>
        <w:autoSpaceDE w:val="0"/>
        <w:autoSpaceDN w:val="0"/>
        <w:adjustRightInd w:val="0"/>
        <w:spacing w:beforeLines="60" w:before="144" w:afterLines="60" w:after="144"/>
        <w:rPr>
          <w:noProof/>
        </w:rPr>
      </w:pPr>
      <w:r>
        <w:rPr>
          <w:noProof/>
        </w:rPr>
        <w:t xml:space="preserve">Daļu no </w:t>
      </w:r>
      <w:r>
        <w:rPr>
          <w:i/>
          <w:noProof/>
        </w:rPr>
        <w:t>EURES</w:t>
      </w:r>
      <w:r>
        <w:rPr>
          <w:noProof/>
        </w:rPr>
        <w:t xml:space="preserve"> komunikācijai paredzētā budžeta izmanto, lai </w:t>
      </w:r>
      <w:r>
        <w:rPr>
          <w:b/>
          <w:noProof/>
        </w:rPr>
        <w:t xml:space="preserve">atbalstītu </w:t>
      </w:r>
      <w:r>
        <w:rPr>
          <w:b/>
          <w:i/>
          <w:noProof/>
        </w:rPr>
        <w:t>EURES</w:t>
      </w:r>
      <w:r>
        <w:rPr>
          <w:b/>
          <w:noProof/>
        </w:rPr>
        <w:t xml:space="preserve"> dalībvalstu komunikācijas darbības</w:t>
      </w:r>
      <w:r>
        <w:rPr>
          <w:noProof/>
        </w:rPr>
        <w:t xml:space="preserve">, tostarp lai finansētu </w:t>
      </w:r>
      <w:r>
        <w:rPr>
          <w:i/>
          <w:noProof/>
        </w:rPr>
        <w:t>EURES</w:t>
      </w:r>
      <w:r>
        <w:rPr>
          <w:noProof/>
        </w:rPr>
        <w:t xml:space="preserve"> vizuālās identitātes uzlabošanu, sniegtu konsultācijas par sociālo plašsaziņas līdzekļu jautājumiem vai atbalstītu video uzņemšanu un pasākumus. Informētības uzlabošanas un komunikācijas darbības ir paredzētas dažādām auditorijām visā </w:t>
      </w:r>
      <w:r>
        <w:rPr>
          <w:i/>
          <w:noProof/>
        </w:rPr>
        <w:t>EURES</w:t>
      </w:r>
      <w:r>
        <w:rPr>
          <w:noProof/>
        </w:rPr>
        <w:t xml:space="preserve"> tīklā. Daži VKB īsteno vispārīgas informācijas kampaņas (Igaunija), citi pievēršas konkrētām nozarēm (Islande), bet vēl citi lielāko uzmanību velta jauniešiem (Nīderlande). </w:t>
      </w:r>
      <w:r>
        <w:rPr>
          <w:b/>
          <w:noProof/>
        </w:rPr>
        <w:t>Sociālos plašsaziņas līdzekļus un mērķtiecīgas kampaņas</w:t>
      </w:r>
      <w:r>
        <w:rPr>
          <w:noProof/>
        </w:rPr>
        <w:t xml:space="preserve"> aizvien biežāk izmanto, lai reklamētu </w:t>
      </w:r>
      <w:r>
        <w:rPr>
          <w:i/>
          <w:noProof/>
        </w:rPr>
        <w:t>EURES</w:t>
      </w:r>
      <w:r>
        <w:rPr>
          <w:noProof/>
        </w:rPr>
        <w:t xml:space="preserve"> darbības līdzās VND tīmekļa vietnēm, piemēram, Beļģijā, Kiprā, Igaunijā, Norvēģijā, Spānijā un Zviedrijā. </w:t>
      </w:r>
      <w:r>
        <w:rPr>
          <w:i/>
          <w:noProof/>
        </w:rPr>
        <w:t>EURES</w:t>
      </w:r>
      <w:r>
        <w:rPr>
          <w:noProof/>
        </w:rPr>
        <w:t xml:space="preserve"> dalībnieku sociālo plašsaziņas līdzekļu kontiem ir aptuveni 120 000 sekotāju</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Informatīvais materiāls</w:t>
      </w:r>
      <w:r>
        <w:rPr>
          <w:noProof/>
        </w:rPr>
        <w:t xml:space="preserve"> darba devējiem un darba meklētājiem ir pielāgots, mērķtiecīgs un pieejams dažādās valodās. </w:t>
      </w:r>
      <w:r>
        <w:rPr>
          <w:i/>
          <w:noProof/>
        </w:rPr>
        <w:t>EURES</w:t>
      </w:r>
      <w:r>
        <w:rPr>
          <w:noProof/>
        </w:rPr>
        <w:t xml:space="preserve"> tīkls 2017. gadā pieprasīja aptuveni 330 000 ar </w:t>
      </w:r>
      <w:r>
        <w:rPr>
          <w:i/>
          <w:noProof/>
        </w:rPr>
        <w:t>EURES</w:t>
      </w:r>
      <w:r>
        <w:rPr>
          <w:noProof/>
        </w:rPr>
        <w:t xml:space="preserve"> saistīto materiālu kopiju, savukārt </w:t>
      </w:r>
      <w:r>
        <w:rPr>
          <w:i/>
          <w:noProof/>
        </w:rPr>
        <w:t>EURES</w:t>
      </w:r>
      <w:r>
        <w:rPr>
          <w:noProof/>
        </w:rPr>
        <w:t xml:space="preserve"> ārējo apkārtrakstu saņēma gandrīz 700 000 abonentu. Inovatīvi komunikācijas pasākumi ir, piemēram, reģionālās pārrobežu partnerības organizēta </w:t>
      </w:r>
      <w:r>
        <w:rPr>
          <w:b/>
          <w:noProof/>
        </w:rPr>
        <w:t>informācijas diena vilcienā</w:t>
      </w:r>
      <w:r>
        <w:rPr>
          <w:noProof/>
        </w:rPr>
        <w:t xml:space="preserve">, kas kursē starp Nīderlandi un Vāciju, pārrobežu mobilitātes reklāma brīvdabas mūzikas festivālā, </w:t>
      </w:r>
      <w:r>
        <w:rPr>
          <w:b/>
          <w:noProof/>
        </w:rPr>
        <w:t>iknedēļas radio programmas</w:t>
      </w:r>
      <w:r>
        <w:rPr>
          <w:noProof/>
        </w:rPr>
        <w:t xml:space="preserve"> pārraide par </w:t>
      </w:r>
      <w:r>
        <w:rPr>
          <w:i/>
          <w:noProof/>
        </w:rPr>
        <w:t>EURES</w:t>
      </w:r>
      <w:r>
        <w:rPr>
          <w:noProof/>
        </w:rPr>
        <w:t xml:space="preserve"> un TV raidījums par darbaspēka mobilitāti Itālijā. </w:t>
      </w:r>
    </w:p>
    <w:p>
      <w:pPr>
        <w:pStyle w:val="Heading4"/>
        <w:widowControl w:val="0"/>
        <w:spacing w:before="240" w:after="120"/>
        <w:ind w:left="1922"/>
        <w:rPr>
          <w:noProof/>
        </w:rPr>
      </w:pPr>
      <w:r>
        <w:rPr>
          <w:noProof/>
        </w:rPr>
        <w:t xml:space="preserve">  Darbību pārraudzība un novērtēšana</w:t>
      </w:r>
    </w:p>
    <w:p>
      <w:pPr>
        <w:widowControl w:val="0"/>
        <w:spacing w:beforeLines="60" w:before="144" w:afterLines="60" w:after="144"/>
        <w:rPr>
          <w:noProof/>
        </w:rPr>
      </w:pPr>
      <w:r>
        <w:rPr>
          <w:noProof/>
        </w:rPr>
        <w:t xml:space="preserve">Jaunajā </w:t>
      </w:r>
      <w:r>
        <w:rPr>
          <w:i/>
          <w:noProof/>
        </w:rPr>
        <w:t>EURES</w:t>
      </w:r>
      <w:r>
        <w:rPr>
          <w:noProof/>
        </w:rPr>
        <w:t xml:space="preserve"> regulā attiecībā uz </w:t>
      </w:r>
      <w:r>
        <w:rPr>
          <w:i/>
          <w:noProof/>
        </w:rPr>
        <w:t>EURES</w:t>
      </w:r>
      <w:r>
        <w:rPr>
          <w:noProof/>
        </w:rPr>
        <w:t xml:space="preserve"> tīkla darbībām ir paredzēta uz rezultātu orientēta pieeja. Visā pārskata periodā galvenais ikgadējās darbības pārraudzības instruments bija </w:t>
      </w:r>
      <w:r>
        <w:rPr>
          <w:b/>
          <w:noProof/>
        </w:rPr>
        <w:t>plānošanas cikls</w:t>
      </w:r>
      <w:r>
        <w:rPr>
          <w:noProof/>
        </w:rPr>
        <w:t xml:space="preserve">. Šajā kontekstā katrs VKB ir paziņojis sava valsts </w:t>
      </w:r>
      <w:r>
        <w:rPr>
          <w:i/>
          <w:noProof/>
        </w:rPr>
        <w:t>EURES</w:t>
      </w:r>
      <w:r>
        <w:rPr>
          <w:noProof/>
        </w:rPr>
        <w:t xml:space="preserve"> tīkla darbības iznākumus un rezultātus ikgadējā valsts darbības pārskatā salīdzinājumā ar mērķiem, kas noteikti attiecīgajā valsts darba programmā (iepriekš saukta par rīcības plānu). Turklāt, izmantojot </w:t>
      </w:r>
      <w:r>
        <w:rPr>
          <w:b/>
          <w:i/>
          <w:noProof/>
        </w:rPr>
        <w:t>EURES</w:t>
      </w:r>
      <w:r>
        <w:rPr>
          <w:b/>
          <w:noProof/>
        </w:rPr>
        <w:t xml:space="preserve"> padomdevēju ikmēneša ziņojumus</w:t>
      </w:r>
      <w:r>
        <w:rPr>
          <w:noProof/>
        </w:rPr>
        <w:t xml:space="preserve">, tiek pārraudzīti </w:t>
      </w:r>
      <w:r>
        <w:rPr>
          <w:i/>
          <w:noProof/>
        </w:rPr>
        <w:t>EURES</w:t>
      </w:r>
      <w:r>
        <w:rPr>
          <w:noProof/>
        </w:rPr>
        <w:t xml:space="preserve"> pakalpojumi darba meklētājiem un darba devējiem, un ar </w:t>
      </w:r>
      <w:r>
        <w:rPr>
          <w:i/>
          <w:noProof/>
        </w:rPr>
        <w:t>EURES</w:t>
      </w:r>
      <w:r>
        <w:rPr>
          <w:noProof/>
        </w:rPr>
        <w:t xml:space="preserve"> </w:t>
      </w:r>
      <w:r>
        <w:rPr>
          <w:b/>
          <w:noProof/>
        </w:rPr>
        <w:t>rādītāju izpildes novērtēšanas sistēmu (RINS)</w:t>
      </w:r>
      <w:r>
        <w:rPr>
          <w:noProof/>
        </w:rPr>
        <w:t xml:space="preserve"> tiek konsekventi mērīta </w:t>
      </w:r>
      <w:r>
        <w:rPr>
          <w:i/>
          <w:noProof/>
        </w:rPr>
        <w:t>EURES</w:t>
      </w:r>
      <w:r>
        <w:rPr>
          <w:noProof/>
        </w:rPr>
        <w:t xml:space="preserve"> tīkla rādītāju izpilde un darbības. No 2018. gada </w:t>
      </w:r>
      <w:r>
        <w:rPr>
          <w:i/>
          <w:noProof/>
        </w:rPr>
        <w:t>EURES</w:t>
      </w:r>
      <w:r>
        <w:rPr>
          <w:noProof/>
        </w:rPr>
        <w:t xml:space="preserve"> darbību plānošana tiks pārraudzīta atbilstīgi apstiprinātam rādītāju kopumam</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765049"/>
      <w:r>
        <w:rPr>
          <w:noProof/>
        </w:rPr>
        <w:t>Eiropas Koordinācijas biroja (EKB) sniegtie horizontālā atbalsta pasākumi</w:t>
      </w:r>
      <w:bookmarkEnd w:id="30"/>
      <w:bookmarkEnd w:id="31"/>
    </w:p>
    <w:p>
      <w:pPr>
        <w:pStyle w:val="Heading3"/>
        <w:spacing w:before="120" w:after="120"/>
        <w:ind w:left="2279"/>
        <w:rPr>
          <w:noProof/>
        </w:rPr>
      </w:pPr>
      <w:bookmarkStart w:id="32" w:name="_Toc534893437"/>
      <w:bookmarkStart w:id="33" w:name="_Toc765050"/>
      <w:r>
        <w:rPr>
          <w:noProof/>
        </w:rPr>
        <w:t>Koordinācijas un pārvaldības atbalsts</w:t>
      </w:r>
      <w:bookmarkEnd w:id="32"/>
      <w:bookmarkEnd w:id="33"/>
      <w:r>
        <w:rPr>
          <w:noProof/>
        </w:rPr>
        <w:t xml:space="preserve"> </w:t>
      </w:r>
    </w:p>
    <w:p>
      <w:pPr>
        <w:widowControl w:val="0"/>
        <w:spacing w:beforeLines="60" w:before="144" w:afterLines="60" w:after="144"/>
        <w:rPr>
          <w:noProof/>
        </w:rPr>
      </w:pPr>
      <w:r>
        <w:rPr>
          <w:noProof/>
        </w:rPr>
        <w:t xml:space="preserve">EKB organizē Eiropas Koordinācijas grupas darbu. Tas vada savas </w:t>
      </w:r>
      <w:r>
        <w:rPr>
          <w:b/>
          <w:noProof/>
        </w:rPr>
        <w:t>sanāksmes</w:t>
      </w:r>
      <w:r>
        <w:rPr>
          <w:noProof/>
        </w:rPr>
        <w:t>, kuras notiek regulāri, lai informētu par jaunākajiem notikumiem un ziņām tīklā un apspriestu tos, kā arī lai dalītos ar paraugpraksi un informētu par stāvokli Regulas īstenošanas procesā un IT sistēmu sadarbspēju. EKB arī uzrauga un veicina dažādus plānošanas cikla posmus un saskaņo VKB plānošanas, piezīmju sniegšanas un ziņošanas uzdevumus.</w:t>
      </w:r>
    </w:p>
    <w:p>
      <w:pPr>
        <w:pStyle w:val="Heading3"/>
        <w:widowControl w:val="0"/>
        <w:spacing w:before="120" w:after="120"/>
        <w:ind w:left="2279"/>
        <w:rPr>
          <w:noProof/>
        </w:rPr>
      </w:pPr>
      <w:bookmarkStart w:id="34" w:name="_Toc534893438"/>
      <w:bookmarkStart w:id="35" w:name="_Toc765051"/>
      <w:r>
        <w:rPr>
          <w:noProof/>
        </w:rPr>
        <w:t>EURES portāla pārvaldīšana un attīstība un saistītie IT pakalpojumi</w:t>
      </w:r>
      <w:bookmarkEnd w:id="34"/>
      <w:bookmarkEnd w:id="35"/>
      <w:r>
        <w:rPr>
          <w:noProof/>
        </w:rPr>
        <w:t xml:space="preserve"> </w:t>
      </w:r>
    </w:p>
    <w:p>
      <w:pPr>
        <w:keepNext/>
        <w:widowControl w:val="0"/>
        <w:spacing w:before="160" w:after="120"/>
        <w:rPr>
          <w:noProof/>
        </w:rPr>
      </w:pPr>
      <w:r>
        <w:rPr>
          <w:noProof/>
        </w:rPr>
        <w:t xml:space="preserve">EKB pārvalda </w:t>
      </w:r>
      <w:r>
        <w:rPr>
          <w:i/>
          <w:noProof/>
        </w:rPr>
        <w:t>EURES</w:t>
      </w:r>
      <w:r>
        <w:rPr>
          <w:noProof/>
        </w:rPr>
        <w:t xml:space="preserve"> darbvietu mobilitātes portālu. Tas ir arī </w:t>
      </w:r>
      <w:r>
        <w:rPr>
          <w:b/>
          <w:noProof/>
        </w:rPr>
        <w:t>ieviesis jaunu sistēmu un procedūras</w:t>
      </w:r>
      <w:r>
        <w:rPr>
          <w:noProof/>
        </w:rPr>
        <w:t xml:space="preserve">, kas noteiktas ciešā sadarbībā ar dalībvalstīm, lai nodrošinātu informācijas par brīvajām darbvietām un CV apmaiņu. 2017. gadā tika pieņemts standartu kopums attiecībā uz formātu, kādā sniedzama informācija par brīvajām darbvietām un CV, pamatojoties uz starptautiskajiem atvērtajiem standartiem cilvēkresursu jomā rūpniecības nozarē. EKB ir piedāvājis dalībvalstīm īpašus noklusējuma īstenošanas moduļus, tādējādi būtiski atvieglojot īstenošanas pasākumus, kas saistīti ar piedalīšanos jaunajā apmaiņas sistēmā. Pāreja uz jauno sistēmu </w:t>
      </w:r>
      <w:r>
        <w:rPr>
          <w:i/>
          <w:noProof/>
        </w:rPr>
        <w:t>EURES</w:t>
      </w:r>
      <w:r>
        <w:rPr>
          <w:noProof/>
        </w:rPr>
        <w:t xml:space="preserve"> portālā notika 2018. gada pirmajā pusē. Ir ieviesti pārraudzības un palīdzības mehānismi saistībā ar tehnisko gatavību un datu kvalitāti.</w:t>
      </w:r>
    </w:p>
    <w:p>
      <w:pPr>
        <w:pStyle w:val="Heading3"/>
        <w:widowControl w:val="0"/>
        <w:spacing w:before="120" w:after="120"/>
        <w:ind w:left="2279"/>
        <w:rPr>
          <w:noProof/>
        </w:rPr>
      </w:pPr>
      <w:bookmarkStart w:id="36" w:name="_Toc534893439"/>
      <w:bookmarkStart w:id="37" w:name="_Toc765052"/>
      <w:r>
        <w:rPr>
          <w:noProof/>
        </w:rPr>
        <w:t>Apmācības un profesionālā attīstība</w:t>
      </w:r>
      <w:bookmarkEnd w:id="36"/>
      <w:bookmarkEnd w:id="37"/>
      <w:r>
        <w:rPr>
          <w:noProof/>
        </w:rPr>
        <w:t xml:space="preserve"> </w:t>
      </w:r>
    </w:p>
    <w:p>
      <w:pPr>
        <w:keepNext/>
        <w:widowControl w:val="0"/>
        <w:spacing w:beforeLines="60" w:before="144" w:afterLines="60" w:after="144"/>
        <w:rPr>
          <w:noProof/>
        </w:rPr>
      </w:pPr>
      <w:r>
        <w:rPr>
          <w:noProof/>
        </w:rPr>
        <w:t xml:space="preserve">EKB nodrošina kopēju mācību programmu un profesionālo attīstību </w:t>
      </w:r>
      <w:r>
        <w:rPr>
          <w:i/>
          <w:noProof/>
        </w:rPr>
        <w:t>EURES</w:t>
      </w:r>
      <w:r>
        <w:rPr>
          <w:noProof/>
        </w:rPr>
        <w:t xml:space="preserve"> dalībnieku un partneru darbiniekiem. Tas ietver </w:t>
      </w:r>
      <w:r>
        <w:rPr>
          <w:i/>
          <w:noProof/>
        </w:rPr>
        <w:t>EURES</w:t>
      </w:r>
      <w:r>
        <w:rPr>
          <w:noProof/>
        </w:rPr>
        <w:t xml:space="preserve"> darbiniekiem paredzētas atjauninātas mācību programmas īstenošanu; </w:t>
      </w:r>
      <w:r>
        <w:rPr>
          <w:b/>
          <w:i/>
          <w:noProof/>
        </w:rPr>
        <w:t>EURES</w:t>
      </w:r>
      <w:r>
        <w:rPr>
          <w:b/>
          <w:noProof/>
        </w:rPr>
        <w:t xml:space="preserve"> akadēmijas</w:t>
      </w:r>
      <w:r>
        <w:rPr>
          <w:noProof/>
        </w:rPr>
        <w:t xml:space="preserve"> darbības uzsākšanu 2016. gadā, kas ietver visas apmācības darbības saskaņā ar </w:t>
      </w:r>
      <w:r>
        <w:rPr>
          <w:i/>
          <w:noProof/>
        </w:rPr>
        <w:t>EURES</w:t>
      </w:r>
      <w:r>
        <w:rPr>
          <w:noProof/>
        </w:rPr>
        <w:t xml:space="preserve"> regulu nolūkā nodrošināt </w:t>
      </w:r>
      <w:r>
        <w:rPr>
          <w:i/>
          <w:noProof/>
        </w:rPr>
        <w:t>EURES</w:t>
      </w:r>
      <w:r>
        <w:rPr>
          <w:noProof/>
        </w:rPr>
        <w:t xml:space="preserve"> darbiniekiem vajadzīgos instrumentus, kompetences un prasmes, lai viņi varētu izstrādāt darbā iekārtošanas un darbā pieņemšanas darbības. Valstu </w:t>
      </w:r>
      <w:r>
        <w:rPr>
          <w:i/>
          <w:noProof/>
        </w:rPr>
        <w:t>EURES</w:t>
      </w:r>
      <w:r>
        <w:rPr>
          <w:noProof/>
        </w:rPr>
        <w:t xml:space="preserve"> tīkli ziņo, ka ir liela interese par ES līmeņa apmācību</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Valsts līmenī </w:t>
      </w:r>
      <w:r>
        <w:rPr>
          <w:i/>
          <w:noProof/>
        </w:rPr>
        <w:t>EURES</w:t>
      </w:r>
      <w:r>
        <w:rPr>
          <w:noProof/>
        </w:rPr>
        <w:t xml:space="preserve"> dalībnieki un partneri apmāca savus darbiniekus, lai nodrošinātu vienāda līmeņa pamatzināšanas par </w:t>
      </w:r>
      <w:r>
        <w:rPr>
          <w:i/>
          <w:noProof/>
        </w:rPr>
        <w:t>EURES</w:t>
      </w:r>
      <w:r>
        <w:rPr>
          <w:noProof/>
        </w:rPr>
        <w:t xml:space="preserve">. Jaunie darbinieki saņem dažāda veida </w:t>
      </w:r>
      <w:r>
        <w:rPr>
          <w:b/>
          <w:noProof/>
        </w:rPr>
        <w:t>sākotnējo apmācību</w:t>
      </w:r>
      <w:r>
        <w:rPr>
          <w:noProof/>
        </w:rPr>
        <w:t xml:space="preserve"> (piem., klasē, tiešsaistē, darbvietā vai izmantojot pašmācības instrumentus) valsts līmenī, lai gūtu labāku priekšstatu par tīkla mērķiem, instrumentiem un stratēģijām no valsts perspektīvas. Šo valsts līmeņa apmācību sagatavo VKB, pamatojoties uz indikatīvajām pamatnostādnēm, instrumentiem un palīdzību, ko sniegusi </w:t>
      </w:r>
      <w:r>
        <w:rPr>
          <w:i/>
          <w:noProof/>
        </w:rPr>
        <w:t>EURES</w:t>
      </w:r>
      <w:r>
        <w:rPr>
          <w:noProof/>
        </w:rPr>
        <w:t xml:space="preserve"> apmācības komanda. </w:t>
      </w:r>
    </w:p>
    <w:p>
      <w:pPr>
        <w:pStyle w:val="Heading3"/>
        <w:widowControl w:val="0"/>
        <w:spacing w:before="120" w:after="120"/>
        <w:ind w:left="2279"/>
        <w:rPr>
          <w:noProof/>
        </w:rPr>
      </w:pPr>
      <w:bookmarkStart w:id="38" w:name="_Toc534893440"/>
      <w:bookmarkStart w:id="39" w:name="_Toc765053"/>
      <w:r>
        <w:rPr>
          <w:noProof/>
        </w:rPr>
        <w:t>Palīdzības dienests</w:t>
      </w:r>
      <w:bookmarkEnd w:id="38"/>
      <w:bookmarkEnd w:id="39"/>
      <w:r>
        <w:rPr>
          <w:noProof/>
        </w:rPr>
        <w:t xml:space="preserve"> </w:t>
      </w:r>
    </w:p>
    <w:p>
      <w:pPr>
        <w:keepNext/>
        <w:widowControl w:val="0"/>
        <w:spacing w:beforeLines="60" w:before="144" w:afterLines="60" w:after="144"/>
        <w:rPr>
          <w:noProof/>
        </w:rPr>
      </w:pPr>
      <w:r>
        <w:rPr>
          <w:noProof/>
        </w:rPr>
        <w:t xml:space="preserve">EKB nodrošina palīdzības dienesta funkciju visiem </w:t>
      </w:r>
      <w:r>
        <w:rPr>
          <w:i/>
          <w:noProof/>
        </w:rPr>
        <w:t>EURES</w:t>
      </w:r>
      <w:r>
        <w:rPr>
          <w:noProof/>
        </w:rPr>
        <w:t xml:space="preserve"> portāla un tā pakalpojumu lietotājiem (t. i., darba meklētājiem, darba devējiem, </w:t>
      </w:r>
      <w:r>
        <w:rPr>
          <w:i/>
          <w:noProof/>
        </w:rPr>
        <w:t>EURES</w:t>
      </w:r>
      <w:r>
        <w:rPr>
          <w:noProof/>
        </w:rPr>
        <w:t xml:space="preserve"> dalībnieku un partneru darbiniekiem, VKB un apmeklētājiem). Tā ietver atbildes uz visiem jautājumiem par pakalpojumiem, kas tiek sniegti </w:t>
      </w:r>
      <w:r>
        <w:rPr>
          <w:i/>
          <w:noProof/>
        </w:rPr>
        <w:t>EURES</w:t>
      </w:r>
      <w:r>
        <w:rPr>
          <w:noProof/>
        </w:rPr>
        <w:t xml:space="preserve"> portālā, tostarp ekstraneta sadaļā, un Eiropas Darba dienu platformā. Jautājumus var iesniegt, izmantojot portāla tīmekļa veidlapu, piezvanot pa bezmaksas tālruņa numuru, kā arī izmantojot tērzēšanu tiešsaistē vai </w:t>
      </w:r>
      <w:r>
        <w:rPr>
          <w:i/>
          <w:noProof/>
        </w:rPr>
        <w:t>Skype</w:t>
      </w:r>
      <w:r>
        <w:rPr>
          <w:noProof/>
        </w:rPr>
        <w:t xml:space="preserve">. </w:t>
      </w:r>
      <w:r>
        <w:rPr>
          <w:i/>
          <w:noProof/>
        </w:rPr>
        <w:t>EURES</w:t>
      </w:r>
      <w:r>
        <w:rPr>
          <w:noProof/>
        </w:rPr>
        <w:t xml:space="preserve"> palīdzības dienests 2017. gadā apstrādāja aptuveni 20 000 lietotāju jautājumus.</w:t>
      </w:r>
    </w:p>
    <w:p>
      <w:pPr>
        <w:pStyle w:val="Heading3"/>
        <w:widowControl w:val="0"/>
        <w:spacing w:before="120" w:after="120"/>
        <w:ind w:left="2279"/>
        <w:rPr>
          <w:noProof/>
        </w:rPr>
      </w:pPr>
      <w:bookmarkStart w:id="40" w:name="_Ref526175435"/>
      <w:bookmarkStart w:id="41" w:name="_Toc534893441"/>
      <w:bookmarkStart w:id="42" w:name="_Toc765054"/>
      <w:r>
        <w:rPr>
          <w:noProof/>
        </w:rPr>
        <w:t>Tīklošana, paraugprakses apmaiņa un savstarpēja mācīšanās</w:t>
      </w:r>
      <w:bookmarkEnd w:id="40"/>
      <w:bookmarkEnd w:id="41"/>
      <w:bookmarkEnd w:id="42"/>
      <w:r>
        <w:rPr>
          <w:noProof/>
        </w:rPr>
        <w:t xml:space="preserve"> </w:t>
      </w:r>
    </w:p>
    <w:p>
      <w:pPr>
        <w:widowControl w:val="0"/>
        <w:spacing w:beforeLines="60" w:before="144" w:afterLines="60" w:after="144"/>
        <w:rPr>
          <w:noProof/>
        </w:rPr>
      </w:pPr>
      <w:r>
        <w:rPr>
          <w:noProof/>
        </w:rPr>
        <w:t xml:space="preserve">EKB veicina tīklošanu, savstarpēju mācīšanos un paraugprakses apmaiņu </w:t>
      </w:r>
      <w:r>
        <w:rPr>
          <w:i/>
          <w:noProof/>
        </w:rPr>
        <w:t>EURES</w:t>
      </w:r>
      <w:r>
        <w:rPr>
          <w:noProof/>
        </w:rPr>
        <w:t xml:space="preserve"> tīklā. Papildus regulārajām EKG un citu ekspertu grupu sanāksmēm šajā periodā tika organizēti vairāki īpaši </w:t>
      </w:r>
      <w:r>
        <w:rPr>
          <w:b/>
          <w:noProof/>
        </w:rPr>
        <w:t>savstarpējas mācīšanās pasākumi</w:t>
      </w:r>
      <w:r>
        <w:rPr>
          <w:noProof/>
        </w:rPr>
        <w:t xml:space="preserve">. To mērķis ir ideju un paraugprakses apmaiņa starp VKB un sadarbības stiprināšana tīklā. Piemēram, 2018. gadā notika savstarpējas mācīšanās pasākums par </w:t>
      </w:r>
      <w:r>
        <w:rPr>
          <w:i/>
          <w:noProof/>
        </w:rPr>
        <w:t>EURES</w:t>
      </w:r>
      <w:r>
        <w:rPr>
          <w:noProof/>
        </w:rPr>
        <w:t xml:space="preserve"> dalībnieku un partneru uzņemšanas sistēmu dizainu un ieviešanu un pasākums ar ārēju ekspertu piedalīšanos par paraugpraksi saistībā ar automatizētiem piemeklēšanas instrumentiem. Turklāt 2018. gada sākumā sāka darboties </w:t>
      </w:r>
      <w:r>
        <w:rPr>
          <w:b/>
          <w:i/>
          <w:noProof/>
        </w:rPr>
        <w:t>EURES</w:t>
      </w:r>
      <w:r>
        <w:rPr>
          <w:b/>
          <w:noProof/>
        </w:rPr>
        <w:t xml:space="preserve"> ekstranets</w:t>
      </w:r>
      <w:r>
        <w:rPr>
          <w:noProof/>
        </w:rPr>
        <w:t xml:space="preserve">. Tā mērķis ir atbalstīt un veicināt sadarbību un informācijas apmaiņu visā </w:t>
      </w:r>
      <w:r>
        <w:rPr>
          <w:i/>
          <w:noProof/>
        </w:rPr>
        <w:t>EURES</w:t>
      </w:r>
      <w:r>
        <w:rPr>
          <w:noProof/>
        </w:rPr>
        <w:t xml:space="preserve"> tīklā, izmantojot interaktīvas darba vietas un forumus. </w:t>
      </w:r>
    </w:p>
    <w:p>
      <w:pPr>
        <w:pStyle w:val="Heading3"/>
        <w:spacing w:before="120" w:after="120"/>
        <w:ind w:left="2279"/>
        <w:rPr>
          <w:noProof/>
          <w:color w:val="FF0000"/>
        </w:rPr>
      </w:pPr>
      <w:bookmarkStart w:id="43" w:name="_Toc534893442"/>
      <w:bookmarkStart w:id="44" w:name="_Toc765055"/>
      <w:r>
        <w:rPr>
          <w:noProof/>
        </w:rPr>
        <w:t>Informācijas un komunikācijas pasākumi</w:t>
      </w:r>
      <w:bookmarkEnd w:id="43"/>
      <w:bookmarkEnd w:id="44"/>
      <w:r>
        <w:rPr>
          <w:noProof/>
        </w:rPr>
        <w:t xml:space="preserve"> </w:t>
      </w:r>
    </w:p>
    <w:p>
      <w:pPr>
        <w:widowControl w:val="0"/>
        <w:spacing w:beforeLines="60" w:before="144" w:afterLines="60" w:after="144"/>
        <w:rPr>
          <w:noProof/>
        </w:rPr>
      </w:pPr>
      <w:r>
        <w:rPr>
          <w:noProof/>
        </w:rPr>
        <w:t xml:space="preserve">EKB atbalsta informācijas un komunikācijas pasākumus </w:t>
      </w:r>
      <w:r>
        <w:rPr>
          <w:i/>
          <w:noProof/>
        </w:rPr>
        <w:t>EURES</w:t>
      </w:r>
      <w:r>
        <w:rPr>
          <w:noProof/>
        </w:rPr>
        <w:t xml:space="preserve"> tīklā, lai uzlabotu </w:t>
      </w:r>
      <w:r>
        <w:rPr>
          <w:i/>
          <w:noProof/>
        </w:rPr>
        <w:t>EURES</w:t>
      </w:r>
      <w:r>
        <w:rPr>
          <w:noProof/>
        </w:rPr>
        <w:t xml:space="preserve"> atpazīstamību saskaņā ar </w:t>
      </w:r>
      <w:r>
        <w:rPr>
          <w:i/>
          <w:noProof/>
        </w:rPr>
        <w:t>EURES</w:t>
      </w:r>
      <w:r>
        <w:rPr>
          <w:noProof/>
        </w:rPr>
        <w:t xml:space="preserve"> komunikācijas stratēģiju 2015.–2020. gadam. EKB gatavo mērķtiecīgas </w:t>
      </w:r>
      <w:r>
        <w:rPr>
          <w:b/>
          <w:noProof/>
        </w:rPr>
        <w:t>vadlīnijas</w:t>
      </w:r>
      <w:r>
        <w:rPr>
          <w:noProof/>
        </w:rPr>
        <w:t xml:space="preserve"> attiecībā uz </w:t>
      </w:r>
      <w:r>
        <w:rPr>
          <w:i/>
          <w:noProof/>
        </w:rPr>
        <w:t>EURES</w:t>
      </w:r>
      <w:r>
        <w:rPr>
          <w:noProof/>
        </w:rPr>
        <w:t xml:space="preserve"> dalībvalstu daudzgadu komunikācijas plāniem, un vienlaikus ir izveidota </w:t>
      </w:r>
      <w:r>
        <w:rPr>
          <w:b/>
          <w:noProof/>
        </w:rPr>
        <w:t>valsts komunikācijas ekspertu kopa</w:t>
      </w:r>
      <w:r>
        <w:rPr>
          <w:noProof/>
        </w:rPr>
        <w:t xml:space="preserve"> nolūkā apmainīties ar paraugpraksi un veicināt to. Turklāt EKB vada Eiropas Tiešsaistes darba dienu platformu un atbalsta vairāk nekā 30 pasākumu (tiešsaistes, klātienes vai abu minēto veidu) organizēšanu gadā, proti, darba dienas un darbā pieņemšanas pasākumus, kā arī ir šo pasākumu uzņēmējiestāde.</w:t>
      </w:r>
    </w:p>
    <w:p>
      <w:pPr>
        <w:widowControl w:val="0"/>
        <w:spacing w:beforeLines="60" w:before="144" w:afterLines="60" w:after="144"/>
        <w:rPr>
          <w:noProof/>
        </w:rPr>
      </w:pPr>
      <w:r>
        <w:rPr>
          <w:b/>
          <w:i/>
          <w:noProof/>
        </w:rPr>
        <w:t>EURES</w:t>
      </w:r>
      <w:r>
        <w:rPr>
          <w:b/>
          <w:noProof/>
        </w:rPr>
        <w:t xml:space="preserve"> sociālo plašsaziņas līdzekļu</w:t>
      </w:r>
      <w:r>
        <w:rPr>
          <w:noProof/>
        </w:rPr>
        <w:t xml:space="preserve"> kontiem ir vairāk nekā 260 000 sekotāju </w:t>
      </w:r>
      <w:r>
        <w:rPr>
          <w:i/>
          <w:noProof/>
        </w:rPr>
        <w:t>Facebook</w:t>
      </w:r>
      <w:r>
        <w:rPr>
          <w:noProof/>
        </w:rPr>
        <w:t xml:space="preserve">, vairāk nekā 36 000 sekotāju </w:t>
      </w:r>
      <w:r>
        <w:rPr>
          <w:i/>
          <w:noProof/>
        </w:rPr>
        <w:t>Twitter</w:t>
      </w:r>
      <w:r>
        <w:rPr>
          <w:noProof/>
        </w:rPr>
        <w:t xml:space="preserve"> un 28 000 sekotāju </w:t>
      </w:r>
      <w:r>
        <w:rPr>
          <w:i/>
          <w:noProof/>
        </w:rPr>
        <w:t>LinkedIn</w:t>
      </w:r>
      <w:r>
        <w:rPr>
          <w:noProof/>
        </w:rPr>
        <w:t xml:space="preserve">. </w:t>
      </w:r>
      <w:r>
        <w:rPr>
          <w:i/>
          <w:noProof/>
        </w:rPr>
        <w:t>EURES</w:t>
      </w:r>
      <w:r>
        <w:rPr>
          <w:noProof/>
        </w:rPr>
        <w:t xml:space="preserve"> </w:t>
      </w:r>
      <w:r>
        <w:rPr>
          <w:i/>
          <w:noProof/>
        </w:rPr>
        <w:t>YouTube</w:t>
      </w:r>
      <w:r>
        <w:rPr>
          <w:noProof/>
        </w:rPr>
        <w:t xml:space="preserve"> kanāls ir reorganizēts, lai atspoguļotu dažādas mērķgrupas un sniegtu skaidrāku video pārskatu. 2017. gadā notika pirmā </w:t>
      </w:r>
      <w:r>
        <w:rPr>
          <w:i/>
          <w:noProof/>
        </w:rPr>
        <w:t>EURES</w:t>
      </w:r>
      <w:r>
        <w:rPr>
          <w:noProof/>
        </w:rPr>
        <w:t xml:space="preserve"> kampaņa sociālajos plašsaziņas līdzekļos. </w:t>
      </w:r>
      <w:r>
        <w:rPr>
          <w:b/>
          <w:noProof/>
        </w:rPr>
        <w:t>#YourCareerMove</w:t>
      </w:r>
      <w:r>
        <w:rPr>
          <w:noProof/>
        </w:rPr>
        <w:t xml:space="preserve"> kampaņa bija paredzēta tam, lai uzlabotu informētību par </w:t>
      </w:r>
      <w:r>
        <w:rPr>
          <w:i/>
          <w:noProof/>
        </w:rPr>
        <w:t>EURES</w:t>
      </w:r>
      <w:r>
        <w:rPr>
          <w:noProof/>
        </w:rPr>
        <w:t xml:space="preserve"> pakalpojumu klāstu un veicinātu sadarbību minētajā tīklā. Kampaņa saņēma aptuveni 10 miljonus skatījumu, 440 kontrolpārbaudes dalībnieki kampaņas laikā izveidoja </w:t>
      </w:r>
      <w:r>
        <w:rPr>
          <w:i/>
          <w:noProof/>
        </w:rPr>
        <w:t>EURES</w:t>
      </w:r>
      <w:r>
        <w:rPr>
          <w:noProof/>
        </w:rPr>
        <w:t xml:space="preserve"> profilu (kas ir 4–5 reizes augstāks konversijas koeficients nekā vidēji sociālajos plašsaziņas līdzekļos), kā arī 85 % no VKB bija apmierināti ar kampaņas reklāmas instrumentiem. Šī kampaņa tika nominēta digitālās komunikācijas balvai 2018. gadā kategorijā “Iestādes”.</w:t>
      </w:r>
    </w:p>
    <w:p>
      <w:pPr>
        <w:keepNext/>
        <w:widowControl w:val="0"/>
        <w:spacing w:beforeLines="100" w:before="240" w:afterLines="60" w:after="144"/>
        <w:rPr>
          <w:noProof/>
        </w:rPr>
      </w:pPr>
      <w:r>
        <w:rPr>
          <w:noProof/>
        </w:rPr>
        <w:t xml:space="preserve">Kopš 2016. gada EKB ir publicējis 216 ziņas </w:t>
      </w:r>
      <w:r>
        <w:rPr>
          <w:i/>
          <w:noProof/>
        </w:rPr>
        <w:t>EURES</w:t>
      </w:r>
      <w:r>
        <w:rPr>
          <w:noProof/>
        </w:rPr>
        <w:t xml:space="preserve"> portālā un 114 rakstus </w:t>
      </w:r>
      <w:r>
        <w:rPr>
          <w:i/>
          <w:noProof/>
        </w:rPr>
        <w:t>EURES</w:t>
      </w:r>
      <w:r>
        <w:rPr>
          <w:noProof/>
        </w:rPr>
        <w:t xml:space="preserve"> ekstraneta portālā. </w:t>
      </w:r>
      <w:r>
        <w:rPr>
          <w:i/>
          <w:noProof/>
        </w:rPr>
        <w:t>EURES</w:t>
      </w:r>
      <w:r>
        <w:rPr>
          <w:noProof/>
        </w:rPr>
        <w:t xml:space="preserve"> portāla rakstos ir izklāstīti to darba meklētāju un darba devēju </w:t>
      </w:r>
      <w:r>
        <w:rPr>
          <w:b/>
          <w:noProof/>
        </w:rPr>
        <w:t>veiksmes stāsti</w:t>
      </w:r>
      <w:r>
        <w:rPr>
          <w:noProof/>
        </w:rPr>
        <w:t xml:space="preserve">, kuri sadarbojās ar </w:t>
      </w:r>
      <w:r>
        <w:rPr>
          <w:i/>
          <w:noProof/>
        </w:rPr>
        <w:t>EURES</w:t>
      </w:r>
      <w:r>
        <w:rPr>
          <w:noProof/>
        </w:rPr>
        <w:t xml:space="preserve">, kā arī </w:t>
      </w:r>
      <w:r>
        <w:rPr>
          <w:b/>
          <w:noProof/>
        </w:rPr>
        <w:t xml:space="preserve">darbā pieņemšanas tendences </w:t>
      </w:r>
      <w:r>
        <w:rPr>
          <w:noProof/>
        </w:rPr>
        <w:t xml:space="preserve">un </w:t>
      </w:r>
      <w:r>
        <w:rPr>
          <w:b/>
          <w:noProof/>
        </w:rPr>
        <w:t>padomi saistībā ar darba meklēšanu un pieņemšanu darbā</w:t>
      </w:r>
      <w:r>
        <w:rPr>
          <w:noProof/>
        </w:rPr>
        <w:t xml:space="preserve">. </w:t>
      </w:r>
      <w:r>
        <w:rPr>
          <w:b/>
          <w:noProof/>
        </w:rPr>
        <w:t>Drop’pin@EURES publikācijas</w:t>
      </w:r>
      <w:r>
        <w:rPr>
          <w:noProof/>
        </w:rPr>
        <w:t xml:space="preserve"> ir atjauninātas, un ir izstrādāta </w:t>
      </w:r>
      <w:r>
        <w:rPr>
          <w:b/>
          <w:i/>
          <w:noProof/>
        </w:rPr>
        <w:t>EURES</w:t>
      </w:r>
      <w:r>
        <w:rPr>
          <w:b/>
          <w:noProof/>
        </w:rPr>
        <w:t xml:space="preserve"> lietotāja rokasgrāmata</w:t>
      </w:r>
      <w:r>
        <w:rPr>
          <w:noProof/>
        </w:rPr>
        <w:t xml:space="preserve"> nolūkā izskaidrot izmaiņas, kas tika ieviestas ar jauno </w:t>
      </w:r>
      <w:r>
        <w:rPr>
          <w:i/>
          <w:noProof/>
        </w:rPr>
        <w:t>EURES</w:t>
      </w:r>
      <w:r>
        <w:rPr>
          <w:noProof/>
        </w:rPr>
        <w:t xml:space="preserve"> regulu. Turklāt EKB ir sagatavojis jaunu apkārtrakstu un trīs lapu izdevumu par “</w:t>
      </w:r>
      <w:r>
        <w:rPr>
          <w:i/>
          <w:noProof/>
        </w:rPr>
        <w:t>Reactivate</w:t>
      </w:r>
      <w:r>
        <w:rPr>
          <w:noProof/>
        </w:rPr>
        <w:t xml:space="preserve">” shēmu. </w:t>
      </w:r>
    </w:p>
    <w:p>
      <w:pPr>
        <w:widowControl w:val="0"/>
        <w:spacing w:before="60" w:after="60"/>
        <w:rPr>
          <w:noProof/>
        </w:rPr>
      </w:pPr>
      <w:r>
        <w:rPr>
          <w:noProof/>
        </w:rPr>
        <w:t xml:space="preserve">EKB ir izstrādājis arī infografikas un </w:t>
      </w:r>
      <w:r>
        <w:rPr>
          <w:i/>
          <w:noProof/>
        </w:rPr>
        <w:t>EURES</w:t>
      </w:r>
      <w:r>
        <w:rPr>
          <w:b/>
          <w:noProof/>
        </w:rPr>
        <w:t xml:space="preserve"> noformējuma rokasgrāmatu</w:t>
      </w:r>
      <w:r>
        <w:rPr>
          <w:noProof/>
        </w:rPr>
        <w:t xml:space="preserve"> un atjauninājis grafiskās pamatnostādnes un rokasgrāmatu par ETDD pasākumu organizatoriem. </w:t>
      </w:r>
      <w:r>
        <w:rPr>
          <w:b/>
          <w:i/>
          <w:noProof/>
        </w:rPr>
        <w:t>EURES</w:t>
      </w:r>
      <w:r>
        <w:rPr>
          <w:b/>
          <w:noProof/>
        </w:rPr>
        <w:t xml:space="preserve"> Ziņu un informācijas birojs (EZIB)</w:t>
      </w:r>
      <w:r>
        <w:rPr>
          <w:noProof/>
        </w:rPr>
        <w:t xml:space="preserve"> ir pieņēmis jaunu satura stratēģiju, lai veicinātu savu publikāciju plānošanu un saskaņošanu ar sociālo plašsaziņas līdzekļu darbībām. Tika definēti ikmēneša temati un nosūtīti regulāri atjauninājumi un atgādinājumi, savukārt komunikācijas materiāls ir pieejams visā </w:t>
      </w:r>
      <w:r>
        <w:rPr>
          <w:i/>
          <w:noProof/>
        </w:rPr>
        <w:t>EURES</w:t>
      </w:r>
      <w:r>
        <w:rPr>
          <w:noProof/>
        </w:rPr>
        <w:t xml:space="preserve"> tīklā jaunā ekstraneta komunikācijas telpā. </w:t>
      </w:r>
    </w:p>
    <w:p>
      <w:pPr>
        <w:pStyle w:val="Heading3"/>
        <w:widowControl w:val="0"/>
        <w:spacing w:before="120" w:after="120"/>
        <w:ind w:left="2279"/>
        <w:rPr>
          <w:noProof/>
          <w:color w:val="FF0000"/>
        </w:rPr>
      </w:pPr>
      <w:bookmarkStart w:id="45" w:name="_Toc534893443"/>
      <w:bookmarkStart w:id="46" w:name="_Toc765056"/>
      <w:r>
        <w:rPr>
          <w:noProof/>
        </w:rPr>
        <w:t>Ģeogrāfiskās un profesionālās mobilitātes analīze</w:t>
      </w:r>
      <w:bookmarkEnd w:id="45"/>
      <w:bookmarkEnd w:id="46"/>
    </w:p>
    <w:p>
      <w:pPr>
        <w:widowControl w:val="0"/>
        <w:spacing w:beforeLines="60" w:before="144" w:afterLines="60" w:after="144"/>
        <w:rPr>
          <w:noProof/>
        </w:rPr>
      </w:pPr>
      <w:r>
        <w:rPr>
          <w:noProof/>
        </w:rPr>
        <w:t>Komisija katru gadu publicē ziņojumu par darbaspēka mobilitāti, kurā ir iekļauta pamatinformācija par plūsmām un tendencēm Savienībā un EBTA valstīs, īpašu uzmanību pievēršot mobilo darba ņēmēju situācijai darba tirgū un ar dzimumu saistītajiem aspektiem</w:t>
      </w:r>
      <w:r>
        <w:rPr>
          <w:rStyle w:val="FootnoteReference"/>
          <w:noProof/>
        </w:rPr>
        <w:footnoteReference w:id="32"/>
      </w:r>
      <w:r>
        <w:rPr>
          <w:noProof/>
        </w:rPr>
        <w:t xml:space="preserve">. Pamatojoties uz šo informāciju, katru gadu kopš 2017. gada tiek veikta analīze par darbaspēka trūkumu un pārpalikumu darba tirgū un tā iemesliem </w:t>
      </w:r>
      <w:r>
        <w:rPr>
          <w:i/>
          <w:noProof/>
        </w:rPr>
        <w:t>EURES</w:t>
      </w:r>
      <w:r>
        <w:rPr>
          <w:noProof/>
        </w:rPr>
        <w:t xml:space="preserve"> dalībvalstīs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765057"/>
      <w:r>
        <w:rPr>
          <w:noProof/>
        </w:rPr>
        <w:t>Atbilstošas sadarbības un informācijas apkopošanas un izplatīšanas struktūras izstrāde attiecībā uz māceklību un stažēšanos</w:t>
      </w:r>
      <w:bookmarkEnd w:id="47"/>
      <w:bookmarkEnd w:id="48"/>
      <w:bookmarkEnd w:id="49"/>
    </w:p>
    <w:p>
      <w:pPr>
        <w:pStyle w:val="NoSpacing"/>
        <w:keepNext/>
        <w:widowControl w:val="0"/>
        <w:spacing w:beforeLines="60" w:before="144" w:afterLines="60" w:after="144"/>
        <w:rPr>
          <w:noProof/>
        </w:rPr>
      </w:pPr>
      <w:r>
        <w:rPr>
          <w:noProof/>
        </w:rPr>
        <w:t xml:space="preserve">Kandidātu no citām valstīm piemeklēšana un iekārtošana māceklības un stažēšanās vietās ir sarežģīts un resursietilpīgs process, ņemot vērā lielās atšķirības starp institucionālajām struktūrām </w:t>
      </w:r>
      <w:r>
        <w:rPr>
          <w:i/>
          <w:noProof/>
        </w:rPr>
        <w:t>EURES</w:t>
      </w:r>
      <w:r>
        <w:rPr>
          <w:noProof/>
        </w:rPr>
        <w:t xml:space="preserve"> dalībvalstīs. EKB veicina </w:t>
      </w:r>
      <w:r>
        <w:rPr>
          <w:b/>
          <w:noProof/>
        </w:rPr>
        <w:t>kopējas izpratnes</w:t>
      </w:r>
      <w:r>
        <w:rPr>
          <w:noProof/>
        </w:rPr>
        <w:t xml:space="preserve"> veidošanu un atbilstošu </w:t>
      </w:r>
      <w:r>
        <w:rPr>
          <w:b/>
          <w:noProof/>
        </w:rPr>
        <w:t>atbalsta pasākumu</w:t>
      </w:r>
      <w:r>
        <w:rPr>
          <w:noProof/>
        </w:rPr>
        <w:t xml:space="preserve"> izstrādi, sniedzot </w:t>
      </w:r>
      <w:r>
        <w:rPr>
          <w:i/>
          <w:noProof/>
        </w:rPr>
        <w:t>EURES</w:t>
      </w:r>
      <w:r>
        <w:rPr>
          <w:noProof/>
        </w:rPr>
        <w:t xml:space="preserve"> portālā informāciju par minimālo prasību kopumu attiecībā uz datu kvalitāti un par māceklības un stažēšanās iespējām. Pašlaik EKB kopā ar dalībvalstīm izstrādā ieteikumus uzņēmējām organizācijām par procesu no piedāvājuma publicēšanas līdz māceklības vai stažēšanās perioda beigām, tostarp par piedāvājuma nodošanu un </w:t>
      </w:r>
      <w:r>
        <w:rPr>
          <w:i/>
          <w:noProof/>
        </w:rPr>
        <w:t>EURES</w:t>
      </w:r>
      <w:r>
        <w:rPr>
          <w:noProof/>
        </w:rPr>
        <w:t xml:space="preserve"> dalībvalstu un partneru mijiedarbību ar organizācijām, kuras publicē piedāvājumus. Šie ieteikumi pēc apstiprināšanas tiks publicēti </w:t>
      </w:r>
      <w:r>
        <w:rPr>
          <w:i/>
          <w:noProof/>
        </w:rPr>
        <w:t>EURES</w:t>
      </w:r>
      <w:r>
        <w:rPr>
          <w:noProof/>
        </w:rPr>
        <w:t xml:space="preserve"> portālā.</w:t>
      </w:r>
    </w:p>
    <w:p>
      <w:pPr>
        <w:pStyle w:val="Heading3"/>
        <w:rPr>
          <w:noProof/>
        </w:rPr>
      </w:pPr>
      <w:bookmarkStart w:id="50" w:name="_Toc534893445"/>
      <w:bookmarkStart w:id="51" w:name="_Toc765058"/>
      <w:r>
        <w:rPr>
          <w:noProof/>
        </w:rPr>
        <w:t>Finanšu resursi</w:t>
      </w:r>
      <w:bookmarkEnd w:id="50"/>
      <w:bookmarkEnd w:id="51"/>
    </w:p>
    <w:p>
      <w:pPr>
        <w:spacing w:after="0"/>
        <w:rPr>
          <w:noProof/>
          <w:szCs w:val="24"/>
        </w:rPr>
      </w:pPr>
      <w:r>
        <w:rPr>
          <w:i/>
          <w:noProof/>
        </w:rPr>
        <w:t>EURES</w:t>
      </w:r>
      <w:r>
        <w:rPr>
          <w:noProof/>
        </w:rPr>
        <w:t xml:space="preserve"> apakšprogramma programmas </w:t>
      </w:r>
      <w:r>
        <w:rPr>
          <w:i/>
          <w:noProof/>
        </w:rPr>
        <w:t xml:space="preserve">EaSI </w:t>
      </w:r>
      <w:r>
        <w:rPr>
          <w:noProof/>
        </w:rPr>
        <w:t xml:space="preserve">ietvaros piešķir finansējumu horizontālā atbalsta pasākumiem, piemēram, </w:t>
      </w:r>
      <w:r>
        <w:rPr>
          <w:i/>
          <w:noProof/>
        </w:rPr>
        <w:t>EURES</w:t>
      </w:r>
      <w:r>
        <w:rPr>
          <w:noProof/>
        </w:rPr>
        <w:t xml:space="preserve"> darbvietu mobilitātes portāla izstrādei un uzturēšanai, kopīgai mācību programmai, komunikācijas, analītiskajām un tīkla darbībām, shēmai “Tava pirmā </w:t>
      </w:r>
      <w:r>
        <w:rPr>
          <w:i/>
          <w:noProof/>
        </w:rPr>
        <w:t>EURES</w:t>
      </w:r>
      <w:r>
        <w:rPr>
          <w:noProof/>
        </w:rPr>
        <w:t xml:space="preserve"> darbavieta” un pārrobežu partnerībām. </w:t>
      </w:r>
    </w:p>
    <w:p>
      <w:pPr>
        <w:spacing w:after="0"/>
        <w:rPr>
          <w:noProof/>
          <w:szCs w:val="24"/>
        </w:rPr>
      </w:pPr>
      <w:r>
        <w:rPr>
          <w:noProof/>
        </w:rPr>
        <w:t>Tālāk dotajā tabulā ir parādīts tā finansējuma indikatīvs sadalījums, kas faktiski piešķirts pēc iepirkuma un dotāciju piešķiršanas procedūrām</w:t>
      </w:r>
      <w:r>
        <w:rPr>
          <w:rStyle w:val="FootnoteReference"/>
          <w:noProof/>
        </w:rPr>
        <w:footnoteReference w:id="34"/>
      </w:r>
      <w:r>
        <w:rPr>
          <w:noProof/>
        </w:rPr>
        <w:t>.</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Galvenās darbības</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2018 (pusgads)</w:t>
            </w:r>
          </w:p>
        </w:tc>
      </w:tr>
      <w:tr>
        <w:tc>
          <w:tcPr>
            <w:tcW w:w="4077" w:type="dxa"/>
            <w:shd w:val="clear" w:color="auto" w:fill="D9D9D9"/>
          </w:tcPr>
          <w:p>
            <w:pPr>
              <w:numPr>
                <w:ilvl w:val="0"/>
                <w:numId w:val="76"/>
              </w:numPr>
              <w:spacing w:after="0"/>
              <w:rPr>
                <w:noProof/>
                <w:sz w:val="20"/>
              </w:rPr>
            </w:pPr>
            <w:r>
              <w:rPr>
                <w:noProof/>
                <w:sz w:val="20"/>
              </w:rPr>
              <w:t>Darbvietu mobilitātes portāls</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Palīdzības dienests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Tulkojumi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Kopīga mācību programma</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Tīkla sanāksmes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Atbalsts tīkla darbībām</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“Tava pirmā </w:t>
            </w:r>
            <w:r>
              <w:rPr>
                <w:i/>
                <w:noProof/>
                <w:sz w:val="20"/>
              </w:rPr>
              <w:t>EURES</w:t>
            </w:r>
            <w:r>
              <w:rPr>
                <w:noProof/>
                <w:sz w:val="20"/>
              </w:rPr>
              <w:t xml:space="preserve"> darbavieta”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Pārrobežu partnerības</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765059"/>
      <w:r>
        <w:rPr>
          <w:noProof/>
        </w:rPr>
        <w:t>Regulas īstenošana dalībvalstīs</w:t>
      </w:r>
      <w:bookmarkEnd w:id="52"/>
      <w:bookmarkEnd w:id="53"/>
    </w:p>
    <w:p>
      <w:pPr>
        <w:widowControl w:val="0"/>
        <w:rPr>
          <w:noProof/>
        </w:rPr>
      </w:pPr>
      <w:r>
        <w:rPr>
          <w:noProof/>
        </w:rPr>
        <w:t xml:space="preserve">Šajā sadaļā ir aprakstīts stāvoklis šīs regulas piemērošanas jomā </w:t>
      </w:r>
      <w:r>
        <w:rPr>
          <w:i/>
          <w:noProof/>
        </w:rPr>
        <w:t>EURES</w:t>
      </w:r>
      <w:r>
        <w:rPr>
          <w:noProof/>
        </w:rPr>
        <w:t xml:space="preserve"> regulas </w:t>
      </w:r>
      <w:r>
        <w:rPr>
          <w:b/>
          <w:noProof/>
        </w:rPr>
        <w:t>dalībvalstīs</w:t>
      </w:r>
      <w:r>
        <w:rPr>
          <w:noProof/>
        </w:rPr>
        <w:t>, kā noteikts šīs regulas 33. panta otrajā daļā. Analīzes pamatā ir no VKB saņemtās atbildes uz aptaujas un atbilstības kontrollapas jautājumiem, kā arī cita Komisijai pieejamā informācija. Tabulā katras apakšsadaļas sākumā ir sniegts atbilstības kontrollapas kopsavilkums par Regulas īstenošanu. Ja ir paziņoti dati par (apakš)darbībām, tabulā ir norādīts minēto darbību kopējais rezultāts. Ja ir paziņoti dati par visām apakšdarbībām, ir attēlota zemākā vērtība. Ja dati par kādu apakšdarbību nav paziņoti, minētā darbība ir attēlota kā daļēji pabeigta.</w:t>
      </w:r>
    </w:p>
    <w:p>
      <w:pPr>
        <w:widowControl w:val="0"/>
        <w:spacing w:after="0"/>
        <w:rPr>
          <w:noProof/>
        </w:rPr>
      </w:pPr>
      <w:r>
        <w:rPr>
          <w:noProof/>
          <w:lang w:val="en-GB" w:eastAsia="en-GB" w:bidi="ar-SA"/>
        </w:rPr>
        <w:drawing>
          <wp:inline distT="0" distB="0" distL="0" distR="0">
            <wp:extent cx="1917700" cy="123585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1401" cy="1238236"/>
                    </a:xfrm>
                    <a:prstGeom prst="rect">
                      <a:avLst/>
                    </a:prstGeom>
                    <a:noFill/>
                    <a:ln>
                      <a:noFill/>
                    </a:ln>
                  </pic:spPr>
                </pic:pic>
              </a:graphicData>
            </a:graphic>
          </wp:inline>
        </w:drawing>
      </w:r>
    </w:p>
    <w:p>
      <w:pPr>
        <w:widowControl w:val="0"/>
        <w:rPr>
          <w:noProof/>
          <w:sz w:val="20"/>
        </w:rPr>
      </w:pPr>
      <w:r>
        <w:rPr>
          <w:noProof/>
          <w:sz w:val="20"/>
        </w:rPr>
        <w:t>* Dati ir paziņoti kā tādi, kas nav pieejami VKB, vai dati nav paziņoti.</w:t>
      </w:r>
    </w:p>
    <w:p>
      <w:pPr>
        <w:pStyle w:val="Heading2"/>
        <w:widowControl w:val="0"/>
        <w:rPr>
          <w:noProof/>
        </w:rPr>
      </w:pPr>
      <w:bookmarkStart w:id="54" w:name="_Toc534893447"/>
      <w:bookmarkStart w:id="55" w:name="_Toc765060"/>
      <w:r>
        <w:rPr>
          <w:noProof/>
        </w:rPr>
        <w:t>Tīkla sastāvs un organizatoriski jautājumi</w:t>
      </w:r>
      <w:bookmarkEnd w:id="54"/>
      <w:bookmarkEnd w:id="55"/>
      <w:r>
        <w:rPr>
          <w:noProof/>
        </w:rPr>
        <w:t xml:space="preserve"> </w:t>
      </w:r>
    </w:p>
    <w:p>
      <w:pPr>
        <w:pStyle w:val="Text2"/>
        <w:ind w:left="-567"/>
        <w:rPr>
          <w:noProof/>
        </w:rPr>
      </w:pPr>
      <w:r>
        <w:rPr>
          <w:noProof/>
          <w:lang w:val="en-GB" w:eastAsia="en-GB" w:bidi="ar-SA"/>
        </w:rPr>
        <w:drawing>
          <wp:inline distT="0" distB="0" distL="0" distR="0">
            <wp:extent cx="6486525" cy="1885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0033" cy="1904415"/>
                    </a:xfrm>
                    <a:prstGeom prst="rect">
                      <a:avLst/>
                    </a:prstGeom>
                    <a:noFill/>
                    <a:ln>
                      <a:noFill/>
                    </a:ln>
                  </pic:spPr>
                </pic:pic>
              </a:graphicData>
            </a:graphic>
          </wp:inline>
        </w:drawing>
      </w:r>
    </w:p>
    <w:p>
      <w:pPr>
        <w:pStyle w:val="Heading3"/>
        <w:spacing w:before="240"/>
        <w:rPr>
          <w:noProof/>
        </w:rPr>
      </w:pPr>
      <w:bookmarkStart w:id="56" w:name="_Toc534893448"/>
      <w:bookmarkStart w:id="57" w:name="_Toc765061"/>
      <w:r>
        <w:rPr>
          <w:noProof/>
        </w:rPr>
        <w:t>Regulas prasības</w:t>
      </w:r>
      <w:bookmarkEnd w:id="56"/>
      <w:bookmarkEnd w:id="57"/>
    </w:p>
    <w:p>
      <w:pPr>
        <w:pStyle w:val="Text3"/>
        <w:ind w:left="0"/>
        <w:rPr>
          <w:noProof/>
        </w:rPr>
      </w:pPr>
      <w:r>
        <w:rPr>
          <w:noProof/>
        </w:rPr>
        <w:t xml:space="preserve">Dalībvalstīm ir jāinformē EKB par saviem </w:t>
      </w:r>
      <w:r>
        <w:rPr>
          <w:b/>
          <w:noProof/>
        </w:rPr>
        <w:t>norīkotajiem VKB</w:t>
      </w:r>
      <w:r>
        <w:rPr>
          <w:noProof/>
        </w:rPr>
        <w:t xml:space="preserve">. </w:t>
      </w:r>
      <w:r>
        <w:rPr>
          <w:b/>
          <w:noProof/>
        </w:rPr>
        <w:t>Valsts nodarbinātības dienestam</w:t>
      </w:r>
      <w:r>
        <w:rPr>
          <w:noProof/>
        </w:rPr>
        <w:t xml:space="preserve"> ir </w:t>
      </w:r>
      <w:r>
        <w:rPr>
          <w:b/>
          <w:noProof/>
        </w:rPr>
        <w:t>īpašs dalībnieka statuss</w:t>
      </w:r>
      <w:r>
        <w:rPr>
          <w:noProof/>
        </w:rPr>
        <w:t xml:space="preserve"> katrā dalībvalstī. </w:t>
      </w:r>
      <w:r>
        <w:rPr>
          <w:b/>
          <w:noProof/>
        </w:rPr>
        <w:t>Minimālo kritēriju</w:t>
      </w:r>
      <w:r>
        <w:rPr>
          <w:noProof/>
        </w:rPr>
        <w:t xml:space="preserve"> kopumā</w:t>
      </w:r>
      <w:r>
        <w:rPr>
          <w:rStyle w:val="FootnoteReference"/>
          <w:b/>
          <w:noProof/>
        </w:rPr>
        <w:footnoteReference w:id="35"/>
      </w:r>
      <w:r>
        <w:rPr>
          <w:noProof/>
        </w:rPr>
        <w:t xml:space="preserve"> ir izklāstītas </w:t>
      </w:r>
      <w:r>
        <w:rPr>
          <w:b/>
          <w:noProof/>
        </w:rPr>
        <w:t>saistības</w:t>
      </w:r>
      <w:r>
        <w:rPr>
          <w:noProof/>
        </w:rPr>
        <w:t xml:space="preserve">, kas jāizpilda </w:t>
      </w:r>
      <w:r>
        <w:rPr>
          <w:b/>
          <w:noProof/>
        </w:rPr>
        <w:t>VND</w:t>
      </w:r>
      <w:r>
        <w:rPr>
          <w:noProof/>
        </w:rPr>
        <w:t xml:space="preserve"> kā </w:t>
      </w:r>
      <w:r>
        <w:rPr>
          <w:b/>
          <w:i/>
          <w:noProof/>
        </w:rPr>
        <w:t>EURES</w:t>
      </w:r>
      <w:r>
        <w:rPr>
          <w:b/>
          <w:noProof/>
        </w:rPr>
        <w:t xml:space="preserve"> dalībniekiem</w:t>
      </w:r>
      <w:r>
        <w:rPr>
          <w:noProof/>
        </w:rPr>
        <w:t xml:space="preserve">. Lai izpildītu šo prasību, VND var savu saistību izpildi nodot ārpakalpojumā vai deleģēt organizācijām, kas ir to atbildībā, vai noslēgt īpašus nolīgumus ar minētajām organizācijām. Organizācijas, kuras bija valstu </w:t>
      </w:r>
      <w:r>
        <w:rPr>
          <w:i/>
          <w:noProof/>
        </w:rPr>
        <w:t>EURES</w:t>
      </w:r>
      <w:r>
        <w:rPr>
          <w:noProof/>
        </w:rPr>
        <w:t xml:space="preserve"> tīklu dalībnieces pirms 2016. gada regulas stāšanās spēkā, var palikt partneres </w:t>
      </w:r>
      <w:r>
        <w:rPr>
          <w:b/>
          <w:noProof/>
        </w:rPr>
        <w:t>pārejas periodā</w:t>
      </w:r>
      <w:r>
        <w:rPr>
          <w:noProof/>
        </w:rPr>
        <w:t xml:space="preserve">, līdz tās iesniedz atkārtotu pieteikumu, lai kļūtu par </w:t>
      </w:r>
      <w:r>
        <w:rPr>
          <w:i/>
          <w:noProof/>
        </w:rPr>
        <w:t>EURES</w:t>
      </w:r>
      <w:r>
        <w:rPr>
          <w:noProof/>
        </w:rPr>
        <w:t xml:space="preserve"> tīkla dalībniecēm vai partnerēm. VKB informē EKB par sava tīkla sastāvu pārejas periodā. </w:t>
      </w:r>
    </w:p>
    <w:p>
      <w:pPr>
        <w:pStyle w:val="Heading3"/>
        <w:rPr>
          <w:noProof/>
        </w:rPr>
      </w:pPr>
      <w:bookmarkStart w:id="58" w:name="_Toc534893449"/>
      <w:bookmarkStart w:id="59" w:name="_Toc765062"/>
      <w:r>
        <w:rPr>
          <w:noProof/>
        </w:rPr>
        <w:t>Īstenošana</w:t>
      </w:r>
      <w:bookmarkEnd w:id="58"/>
      <w:bookmarkEnd w:id="59"/>
    </w:p>
    <w:p>
      <w:pPr>
        <w:keepNext/>
        <w:widowControl w:val="0"/>
        <w:rPr>
          <w:noProof/>
        </w:rPr>
      </w:pPr>
      <w:r>
        <w:rPr>
          <w:noProof/>
        </w:rPr>
        <w:t xml:space="preserve">Visas dalībvalstis ir norīkojušas savu VKB un pārstāvjus Eiropas Koordinācijas grupā un informējušas par to EKB. Par VND pienākumiem un </w:t>
      </w:r>
      <w:r>
        <w:rPr>
          <w:b/>
          <w:noProof/>
        </w:rPr>
        <w:t>izmaiņām tīklā</w:t>
      </w:r>
      <w:r>
        <w:rPr>
          <w:noProof/>
        </w:rPr>
        <w:t xml:space="preserve">, ko izraisījusi jaunā </w:t>
      </w:r>
      <w:r>
        <w:rPr>
          <w:i/>
          <w:noProof/>
        </w:rPr>
        <w:t>EURES</w:t>
      </w:r>
      <w:r>
        <w:rPr>
          <w:noProof/>
        </w:rPr>
        <w:t xml:space="preserve"> regula, ir </w:t>
      </w:r>
      <w:r>
        <w:rPr>
          <w:b/>
          <w:noProof/>
        </w:rPr>
        <w:t>paziņots</w:t>
      </w:r>
      <w:r>
        <w:rPr>
          <w:noProof/>
        </w:rPr>
        <w:t xml:space="preserve"> attiecīgajām iestādēm un partneru organizācijām visās dalībvalstīs. Tā rezultātā daži VKB ir mainījuši savu </w:t>
      </w:r>
      <w:r>
        <w:rPr>
          <w:b/>
          <w:noProof/>
        </w:rPr>
        <w:t>darbinieku struktūru</w:t>
      </w:r>
      <w:r>
        <w:rPr>
          <w:noProof/>
        </w:rPr>
        <w:t xml:space="preserve"> un dažos gadījumos </w:t>
      </w:r>
      <w:r>
        <w:rPr>
          <w:i/>
          <w:noProof/>
        </w:rPr>
        <w:t>EURES</w:t>
      </w:r>
      <w:r>
        <w:rPr>
          <w:noProof/>
        </w:rPr>
        <w:t xml:space="preserve"> tīklā ir notikušas izmaiņas, piemēram, reģionālie VND biroji ir kļuvuši par dalībniekiem un kopā ar VKB veido valsts </w:t>
      </w:r>
      <w:r>
        <w:rPr>
          <w:i/>
          <w:noProof/>
        </w:rPr>
        <w:t>EURES</w:t>
      </w:r>
      <w:r>
        <w:rPr>
          <w:noProof/>
        </w:rPr>
        <w:t xml:space="preserve"> tīklu. Kā noteikts, VKB ir informējuši EKB par šīm izmaiņām valstu </w:t>
      </w:r>
      <w:r>
        <w:rPr>
          <w:i/>
          <w:noProof/>
        </w:rPr>
        <w:t>EURES</w:t>
      </w:r>
      <w:r>
        <w:rPr>
          <w:noProof/>
        </w:rPr>
        <w:t xml:space="preserve"> tīklos un VKB struktūrā ar </w:t>
      </w:r>
      <w:r>
        <w:rPr>
          <w:i/>
          <w:noProof/>
        </w:rPr>
        <w:t>EURES</w:t>
      </w:r>
      <w:r>
        <w:rPr>
          <w:noProof/>
        </w:rPr>
        <w:t xml:space="preserve"> palīdzības dienesta starpniecību. </w:t>
      </w:r>
      <w:r>
        <w:rPr>
          <w:b/>
          <w:i/>
          <w:noProof/>
        </w:rPr>
        <w:t>EURES</w:t>
      </w:r>
      <w:r>
        <w:rPr>
          <w:b/>
          <w:noProof/>
        </w:rPr>
        <w:t xml:space="preserve"> pakalpojumi darba meklētājiem un darba devējiem</w:t>
      </w:r>
      <w:r>
        <w:rPr>
          <w:noProof/>
        </w:rPr>
        <w:t xml:space="preserve"> — gan tiešsaistē, gan bezsaistē — tiek sniegti ar VND starpniecību. Vairākās dalībvalstīs </w:t>
      </w:r>
      <w:r>
        <w:rPr>
          <w:i/>
          <w:noProof/>
        </w:rPr>
        <w:t>EURES</w:t>
      </w:r>
      <w:r>
        <w:rPr>
          <w:noProof/>
        </w:rPr>
        <w:t xml:space="preserve"> pakalpojumi ir pilnīgi integrēti VND pakalpojumos.</w:t>
      </w:r>
    </w:p>
    <w:p>
      <w:pPr>
        <w:pStyle w:val="Heading3"/>
        <w:rPr>
          <w:noProof/>
        </w:rPr>
      </w:pPr>
      <w:bookmarkStart w:id="60" w:name="_Toc534893450"/>
      <w:bookmarkStart w:id="61" w:name="_Toc765063"/>
      <w:r>
        <w:rPr>
          <w:noProof/>
        </w:rPr>
        <w:t>Problēmas</w:t>
      </w:r>
      <w:bookmarkEnd w:id="60"/>
      <w:bookmarkEnd w:id="61"/>
    </w:p>
    <w:p>
      <w:pPr>
        <w:widowControl w:val="0"/>
        <w:rPr>
          <w:noProof/>
        </w:rPr>
      </w:pPr>
      <w:r>
        <w:rPr>
          <w:noProof/>
        </w:rPr>
        <w:t xml:space="preserve">Dalībvalstis ziņo, ka, lai gan, īstenojot regulu, </w:t>
      </w:r>
      <w:r>
        <w:rPr>
          <w:b/>
          <w:noProof/>
        </w:rPr>
        <w:t>ir pieaudzis to uzdevumu skaits, par kuriem atbild VKB</w:t>
      </w:r>
      <w:r>
        <w:rPr>
          <w:noProof/>
        </w:rPr>
        <w:t xml:space="preserve">, ne vienmēr tam sekoja </w:t>
      </w:r>
      <w:r>
        <w:rPr>
          <w:b/>
          <w:noProof/>
        </w:rPr>
        <w:t>darbinieku skaita vai budžeta piešķīrumu</w:t>
      </w:r>
      <w:r>
        <w:rPr>
          <w:noProof/>
        </w:rPr>
        <w:t xml:space="preserve"> pieaugums. Jo īpaši vienas personas VKB mazākās dalībvalstīs ziņo, ka saistībā ar jauno </w:t>
      </w:r>
      <w:r>
        <w:rPr>
          <w:i/>
          <w:noProof/>
        </w:rPr>
        <w:t>EURES</w:t>
      </w:r>
      <w:r>
        <w:rPr>
          <w:noProof/>
        </w:rPr>
        <w:t xml:space="preserve"> regulu viņi saskaras ar lielu </w:t>
      </w:r>
      <w:r>
        <w:rPr>
          <w:b/>
          <w:noProof/>
        </w:rPr>
        <w:t>administratīvo slogu un ziņošanas pienākumiem</w:t>
      </w:r>
      <w:r>
        <w:rPr>
          <w:noProof/>
        </w:rPr>
        <w:t xml:space="preserve">. Jo īpaši paredzams, ka </w:t>
      </w:r>
      <w:r>
        <w:rPr>
          <w:b/>
          <w:i/>
          <w:noProof/>
        </w:rPr>
        <w:t>EURES</w:t>
      </w:r>
      <w:r>
        <w:rPr>
          <w:b/>
          <w:noProof/>
        </w:rPr>
        <w:t xml:space="preserve"> tīkla paplašināšana, lai uzņemtu dalībniekus un partnerus</w:t>
      </w:r>
      <w:r>
        <w:rPr>
          <w:noProof/>
        </w:rPr>
        <w:t xml:space="preserve">, būtiski ietekmēs VKB pārvaldības vajadzības. Līdz ar tīkla paplašināšanos paplašinās arī VKB uzdevumi saistībā ar pārvaldīšanu un koordinēšanu, lai jaunie dalībnieki un partneri, kuri pieslēdzas kopīgajai IT platformai, izpildītu savas pārraudzības un ziņošanas prasības un lai tiktu nodrošināta </w:t>
      </w:r>
      <w:r>
        <w:rPr>
          <w:i/>
          <w:noProof/>
        </w:rPr>
        <w:t>EURES</w:t>
      </w:r>
      <w:r>
        <w:rPr>
          <w:noProof/>
        </w:rPr>
        <w:t xml:space="preserve"> portālā izplatīto datu (informācijas par brīvajām darbvietām un CV) kvalitāte.</w:t>
      </w:r>
    </w:p>
    <w:p>
      <w:pPr>
        <w:pStyle w:val="Heading2"/>
        <w:widowControl w:val="0"/>
        <w:rPr>
          <w:noProof/>
        </w:rPr>
      </w:pPr>
      <w:bookmarkStart w:id="62" w:name="_Toc534893451"/>
      <w:bookmarkStart w:id="63" w:name="_Toc765064"/>
      <w:r>
        <w:rPr>
          <w:noProof/>
        </w:rPr>
        <w:t xml:space="preserve">Pārvaldība un mijiedarbība ar organizācijām ārpus </w:t>
      </w:r>
      <w:r>
        <w:rPr>
          <w:i/>
          <w:noProof/>
        </w:rPr>
        <w:t>EURES</w:t>
      </w:r>
      <w:r>
        <w:rPr>
          <w:noProof/>
        </w:rPr>
        <w:t xml:space="preserve"> tīkla</w:t>
      </w:r>
      <w:bookmarkEnd w:id="62"/>
      <w:bookmarkEnd w:id="63"/>
    </w:p>
    <w:p>
      <w:pPr>
        <w:pStyle w:val="Text2"/>
        <w:ind w:left="-567"/>
        <w:rPr>
          <w:noProof/>
        </w:rPr>
      </w:pPr>
      <w:r>
        <w:rPr>
          <w:noProof/>
          <w:lang w:val="en-GB" w:eastAsia="en-GB" w:bidi="ar-SA"/>
        </w:rPr>
        <w:drawing>
          <wp:inline distT="0" distB="0" distL="0" distR="0">
            <wp:extent cx="651510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8730" cy="2058446"/>
                    </a:xfrm>
                    <a:prstGeom prst="rect">
                      <a:avLst/>
                    </a:prstGeom>
                    <a:noFill/>
                    <a:ln>
                      <a:noFill/>
                    </a:ln>
                  </pic:spPr>
                </pic:pic>
              </a:graphicData>
            </a:graphic>
          </wp:inline>
        </w:drawing>
      </w:r>
    </w:p>
    <w:p>
      <w:pPr>
        <w:pStyle w:val="Heading3"/>
        <w:spacing w:before="240"/>
        <w:rPr>
          <w:noProof/>
        </w:rPr>
      </w:pPr>
      <w:bookmarkStart w:id="64" w:name="_Toc534893452"/>
      <w:bookmarkStart w:id="65" w:name="_Toc765065"/>
      <w:r>
        <w:rPr>
          <w:noProof/>
        </w:rPr>
        <w:t>Regulas prasības</w:t>
      </w:r>
      <w:bookmarkEnd w:id="64"/>
      <w:bookmarkEnd w:id="65"/>
    </w:p>
    <w:p>
      <w:pPr>
        <w:pStyle w:val="Text3"/>
        <w:ind w:left="0"/>
        <w:rPr>
          <w:noProof/>
        </w:rPr>
      </w:pPr>
      <w:r>
        <w:rPr>
          <w:b/>
          <w:i/>
          <w:noProof/>
        </w:rPr>
        <w:t>EURES</w:t>
      </w:r>
      <w:r>
        <w:rPr>
          <w:b/>
          <w:noProof/>
        </w:rPr>
        <w:t xml:space="preserve"> tīkla galvenās organizācijas</w:t>
      </w:r>
      <w:r>
        <w:rPr>
          <w:noProof/>
        </w:rPr>
        <w:t xml:space="preserve"> dalībvalstīs ir VND un citi </w:t>
      </w:r>
      <w:r>
        <w:rPr>
          <w:i/>
          <w:noProof/>
        </w:rPr>
        <w:t>EURES</w:t>
      </w:r>
      <w:r>
        <w:rPr>
          <w:noProof/>
        </w:rPr>
        <w:t xml:space="preserve"> dalībnieki un partneri. Tomēr, lai tīkls varētu darboties, ir nepieciešama </w:t>
      </w:r>
      <w:r>
        <w:rPr>
          <w:b/>
          <w:noProof/>
        </w:rPr>
        <w:t>sadarbība</w:t>
      </w:r>
      <w:r>
        <w:rPr>
          <w:noProof/>
        </w:rPr>
        <w:t xml:space="preserve"> ar vairākām citām organizācijām. Regulā kā viens no VKB pienākumiem ir noteikta </w:t>
      </w:r>
      <w:r>
        <w:rPr>
          <w:b/>
          <w:noProof/>
        </w:rPr>
        <w:t>sadarbības veicināšana ar attiecīgajām ieinteresētajām personām</w:t>
      </w:r>
      <w:r>
        <w:rPr>
          <w:noProof/>
        </w:rPr>
        <w:t xml:space="preserve"> </w:t>
      </w:r>
      <w:r>
        <w:rPr>
          <w:i/>
          <w:noProof/>
        </w:rPr>
        <w:t>EURES</w:t>
      </w:r>
      <w:r>
        <w:rPr>
          <w:noProof/>
        </w:rPr>
        <w:t xml:space="preserve"> tīkla kontekstā. Valstu </w:t>
      </w:r>
      <w:r>
        <w:rPr>
          <w:i/>
          <w:noProof/>
        </w:rPr>
        <w:t>EURES</w:t>
      </w:r>
      <w:r>
        <w:rPr>
          <w:noProof/>
        </w:rPr>
        <w:t xml:space="preserve"> tīkliem ir jāsadarbojas arī ar citiem </w:t>
      </w:r>
      <w:r>
        <w:rPr>
          <w:b/>
          <w:noProof/>
        </w:rPr>
        <w:t>ES informācijas un konsultāciju dienestiem un tīkliem</w:t>
      </w:r>
      <w:r>
        <w:rPr>
          <w:noProof/>
        </w:rPr>
        <w:t xml:space="preserve">. Turklāt VKB būtu jāveicina regulārs dialogs ar </w:t>
      </w:r>
      <w:r>
        <w:rPr>
          <w:b/>
          <w:noProof/>
        </w:rPr>
        <w:t>sociālajiem partneriem</w:t>
      </w:r>
      <w:r>
        <w:rPr>
          <w:noProof/>
        </w:rPr>
        <w:t xml:space="preserve"> </w:t>
      </w:r>
      <w:r>
        <w:rPr>
          <w:i/>
          <w:noProof/>
        </w:rPr>
        <w:t>EURES</w:t>
      </w:r>
      <w:r>
        <w:rPr>
          <w:noProof/>
        </w:rPr>
        <w:t xml:space="preserve"> tīkla vajadzībām atbilstīgi valsts tiesību aktiem un praksei. Lai darba meklētājiem un darba devējiem nodrošinātu </w:t>
      </w:r>
      <w:r>
        <w:rPr>
          <w:b/>
          <w:noProof/>
        </w:rPr>
        <w:t>piekļuvi informācijai</w:t>
      </w:r>
      <w:r>
        <w:rPr>
          <w:noProof/>
        </w:rPr>
        <w:t xml:space="preserve"> par nodokļiem un jautājumiem saistībā ar darba līgumiem, pensijām, veselības apdrošināšanu un sociālo nodrošinājumu, kā arī par aktīviem darba tirgus pasākumiem, VKB ir arī jāizveido kontakti ar </w:t>
      </w:r>
      <w:r>
        <w:rPr>
          <w:b/>
          <w:noProof/>
        </w:rPr>
        <w:t>kompetentajām iestādēm</w:t>
      </w:r>
      <w:r>
        <w:rPr>
          <w:noProof/>
        </w:rPr>
        <w:t xml:space="preserve"> valsts līmenī. </w:t>
      </w:r>
    </w:p>
    <w:p>
      <w:pPr>
        <w:pStyle w:val="Heading3"/>
        <w:rPr>
          <w:noProof/>
        </w:rPr>
      </w:pPr>
      <w:bookmarkStart w:id="66" w:name="_Toc534893453"/>
      <w:bookmarkStart w:id="67" w:name="_Toc765066"/>
      <w:r>
        <w:rPr>
          <w:noProof/>
        </w:rPr>
        <w:t>Īstenošana</w:t>
      </w:r>
      <w:bookmarkEnd w:id="66"/>
      <w:bookmarkEnd w:id="67"/>
    </w:p>
    <w:p>
      <w:pPr>
        <w:widowControl w:val="0"/>
        <w:rPr>
          <w:noProof/>
        </w:rPr>
      </w:pPr>
      <w:r>
        <w:rPr>
          <w:noProof/>
        </w:rPr>
        <w:t xml:space="preserve">Pirmā ieinteresēto personu grupa ir valsts līmeņa iestādes, kā arī — daudzās valstīs — sociālie partneri. Parasti informācija par </w:t>
      </w:r>
      <w:r>
        <w:rPr>
          <w:i/>
          <w:noProof/>
        </w:rPr>
        <w:t>EURES</w:t>
      </w:r>
      <w:r>
        <w:rPr>
          <w:noProof/>
        </w:rPr>
        <w:t xml:space="preserve"> tiek izplatīta regulārās sanāksmēs un koordinācijas sesijās. Arī citas ieinteresēto personu organizācijas, kuras darbojas Eiropas darbaspēka mobilitātes jomā, piemēram, ES informācijas un konsultāciju dienesti, </w:t>
      </w:r>
      <w:r>
        <w:rPr>
          <w:b/>
          <w:noProof/>
        </w:rPr>
        <w:t>saņem informāciju</w:t>
      </w:r>
      <w:r>
        <w:rPr>
          <w:noProof/>
        </w:rPr>
        <w:t xml:space="preserve"> par </w:t>
      </w:r>
      <w:r>
        <w:rPr>
          <w:i/>
          <w:noProof/>
        </w:rPr>
        <w:t>EURES</w:t>
      </w:r>
      <w:r>
        <w:rPr>
          <w:noProof/>
        </w:rPr>
        <w:t xml:space="preserve"> un </w:t>
      </w:r>
      <w:r>
        <w:rPr>
          <w:b/>
          <w:noProof/>
        </w:rPr>
        <w:t xml:space="preserve">tiek regulāri aicinātas piedalīties </w:t>
      </w:r>
      <w:r>
        <w:rPr>
          <w:b/>
          <w:i/>
          <w:noProof/>
        </w:rPr>
        <w:t>EURES</w:t>
      </w:r>
      <w:r>
        <w:rPr>
          <w:b/>
          <w:noProof/>
        </w:rPr>
        <w:t xml:space="preserve"> pasākumos vai to organizēšanā</w:t>
      </w:r>
      <w:r>
        <w:rPr>
          <w:noProof/>
        </w:rPr>
        <w:t xml:space="preserve">. Vairākas dalībvalstis ir pabeigušas </w:t>
      </w:r>
      <w:r>
        <w:rPr>
          <w:b/>
          <w:noProof/>
        </w:rPr>
        <w:t>kartēt savu ieinteresēto personu</w:t>
      </w:r>
      <w:r>
        <w:rPr>
          <w:noProof/>
        </w:rPr>
        <w:t xml:space="preserve"> organizācijas, kuras ir ārpus </w:t>
      </w:r>
      <w:r>
        <w:rPr>
          <w:i/>
          <w:noProof/>
        </w:rPr>
        <w:t>EURES</w:t>
      </w:r>
      <w:r>
        <w:rPr>
          <w:noProof/>
        </w:rPr>
        <w:t xml:space="preserve"> tīkla, savukārt citas dalībvalstis vēl turpina to darīt. Nākotnē dažas no šīm organizācijām var tikt uzaicinātas kļūt par dalībniecēm vai partnerēm. Kartēšana parāda arī to, kur tīklu var pastiprināt ar partnerībām, piemēram, ar māceklības un stažēšanās iespēju nodrošinātājiem, attiecībā uz kuriem pašlaik vairākās valstīs noteikumi nav pietiekami izstrādāti. </w:t>
      </w:r>
    </w:p>
    <w:p>
      <w:pPr>
        <w:pStyle w:val="Heading3"/>
        <w:rPr>
          <w:noProof/>
        </w:rPr>
      </w:pPr>
      <w:bookmarkStart w:id="68" w:name="_Toc534893454"/>
      <w:bookmarkStart w:id="69" w:name="_Toc765067"/>
      <w:r>
        <w:rPr>
          <w:noProof/>
        </w:rPr>
        <w:t>Problēmas</w:t>
      </w:r>
      <w:bookmarkEnd w:id="68"/>
      <w:bookmarkEnd w:id="69"/>
    </w:p>
    <w:p>
      <w:pPr>
        <w:rPr>
          <w:noProof/>
        </w:rPr>
      </w:pPr>
      <w:r>
        <w:rPr>
          <w:noProof/>
        </w:rPr>
        <w:t xml:space="preserve"> Dalībvalstis neziņoja par īpašām problēmām saistībā ar šo prasību kopumu.</w:t>
      </w:r>
    </w:p>
    <w:p>
      <w:pPr>
        <w:pStyle w:val="Heading2"/>
        <w:widowControl w:val="0"/>
        <w:rPr>
          <w:noProof/>
        </w:rPr>
      </w:pPr>
      <w:bookmarkStart w:id="70" w:name="_Toc534893455"/>
      <w:bookmarkStart w:id="71" w:name="_Toc765068"/>
      <w:r>
        <w:rPr>
          <w:noProof/>
        </w:rPr>
        <w:t>Tīkla paplašināšana</w:t>
      </w:r>
      <w:bookmarkEnd w:id="70"/>
      <w:bookmarkEnd w:id="71"/>
    </w:p>
    <w:p>
      <w:pPr>
        <w:pStyle w:val="Text2"/>
        <w:ind w:left="-567"/>
        <w:rPr>
          <w:noProof/>
        </w:rPr>
      </w:pPr>
      <w:r>
        <w:rPr>
          <w:noProof/>
          <w:lang w:val="en-GB" w:eastAsia="en-GB" w:bidi="ar-SA"/>
        </w:rPr>
        <w:drawing>
          <wp:inline distT="0" distB="0" distL="0" distR="0">
            <wp:extent cx="6442537" cy="1971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755" cy="2006936"/>
                    </a:xfrm>
                    <a:prstGeom prst="rect">
                      <a:avLst/>
                    </a:prstGeom>
                    <a:noFill/>
                    <a:ln>
                      <a:noFill/>
                    </a:ln>
                  </pic:spPr>
                </pic:pic>
              </a:graphicData>
            </a:graphic>
          </wp:inline>
        </w:drawing>
      </w:r>
    </w:p>
    <w:p>
      <w:pPr>
        <w:pStyle w:val="Heading3"/>
        <w:spacing w:before="240"/>
        <w:rPr>
          <w:noProof/>
        </w:rPr>
      </w:pPr>
      <w:bookmarkStart w:id="72" w:name="_Toc534893456"/>
      <w:bookmarkStart w:id="73" w:name="_Toc765069"/>
      <w:r>
        <w:rPr>
          <w:noProof/>
        </w:rPr>
        <w:t>Regulas prasības</w:t>
      </w:r>
      <w:bookmarkEnd w:id="72"/>
      <w:bookmarkEnd w:id="73"/>
    </w:p>
    <w:p>
      <w:pPr>
        <w:widowControl w:val="0"/>
        <w:rPr>
          <w:noProof/>
        </w:rPr>
      </w:pPr>
      <w:r>
        <w:rPr>
          <w:noProof/>
        </w:rPr>
        <w:t xml:space="preserve">Lai organizācijas </w:t>
      </w:r>
      <w:r>
        <w:rPr>
          <w:b/>
          <w:noProof/>
        </w:rPr>
        <w:t xml:space="preserve">varētu pievienoties </w:t>
      </w:r>
      <w:r>
        <w:rPr>
          <w:b/>
          <w:i/>
          <w:noProof/>
        </w:rPr>
        <w:t>EURES</w:t>
      </w:r>
      <w:r>
        <w:rPr>
          <w:b/>
          <w:noProof/>
        </w:rPr>
        <w:t xml:space="preserve"> tīklam kā dalībnieces vai partneres</w:t>
      </w:r>
      <w:r>
        <w:rPr>
          <w:noProof/>
        </w:rPr>
        <w:t xml:space="preserve">, tās var uzņemt valstu </w:t>
      </w:r>
      <w:r>
        <w:rPr>
          <w:b/>
          <w:noProof/>
        </w:rPr>
        <w:t>uzņemšanas sistēmās</w:t>
      </w:r>
      <w:r>
        <w:rPr>
          <w:noProof/>
        </w:rPr>
        <w:t xml:space="preserve">, kas ir jāievieš katrai dalībvalstij, pamatojoties uz </w:t>
      </w:r>
      <w:r>
        <w:rPr>
          <w:i/>
          <w:noProof/>
        </w:rPr>
        <w:t>EURES</w:t>
      </w:r>
      <w:r>
        <w:rPr>
          <w:noProof/>
        </w:rPr>
        <w:t xml:space="preserve"> regulā noteiktajiem minimālajiem kritērijiem. Dalībvalstis var pievienot valsts kritērijus uzņemšanai, lai saglabātu kontroli pār jaunu dalībnieku un partneru akreditāciju atbilstīgi valsts prasībām un Regulai. Saskaņā ar </w:t>
      </w:r>
      <w:r>
        <w:rPr>
          <w:i/>
          <w:noProof/>
        </w:rPr>
        <w:t>EURES</w:t>
      </w:r>
      <w:r>
        <w:rPr>
          <w:noProof/>
        </w:rPr>
        <w:t xml:space="preserve"> regulu un saistīto īstenošanas lēmumu visām dalībvalstīm ir jāievieš šāda uzņemšanas sistēma, arī tāpēc, lai pārraudzītu dalībnieku un partneru atbilstību, un ir jāinformē par to EKB</w:t>
      </w:r>
      <w:r>
        <w:rPr>
          <w:rStyle w:val="FootnoteReference"/>
          <w:noProof/>
        </w:rPr>
        <w:footnoteReference w:id="36"/>
      </w:r>
      <w:r>
        <w:rPr>
          <w:noProof/>
        </w:rPr>
        <w:t xml:space="preserve">. Pirms 2018. gada maija, kad tika ieviesta uzņemšanas sistēma, lai paplašinātu tīklu, Regulā tika noteikts </w:t>
      </w:r>
      <w:r>
        <w:rPr>
          <w:b/>
          <w:noProof/>
        </w:rPr>
        <w:t>pārejas periods</w:t>
      </w:r>
      <w:r>
        <w:rPr>
          <w:noProof/>
        </w:rPr>
        <w:t xml:space="preserve">. Tas ļāva </w:t>
      </w:r>
      <w:r>
        <w:rPr>
          <w:i/>
          <w:noProof/>
        </w:rPr>
        <w:t>EURES</w:t>
      </w:r>
      <w:r>
        <w:rPr>
          <w:noProof/>
        </w:rPr>
        <w:t xml:space="preserve"> tīkliem turpināt savu sadarbību ar partneru organizācijām, piemēram, pārrobežu partneriem, sagatavojot prasības dalībniekiem un partneriem saskaņā ar jauno </w:t>
      </w:r>
      <w:r>
        <w:rPr>
          <w:i/>
          <w:noProof/>
        </w:rPr>
        <w:t>EURES</w:t>
      </w:r>
      <w:r>
        <w:rPr>
          <w:noProof/>
        </w:rPr>
        <w:t xml:space="preserve"> regulu. </w:t>
      </w:r>
    </w:p>
    <w:p>
      <w:pPr>
        <w:pStyle w:val="Heading3"/>
        <w:rPr>
          <w:noProof/>
        </w:rPr>
      </w:pPr>
      <w:bookmarkStart w:id="74" w:name="_Toc534893457"/>
      <w:bookmarkStart w:id="75" w:name="_Toc765070"/>
      <w:r>
        <w:rPr>
          <w:noProof/>
        </w:rPr>
        <w:t>Īstenošana</w:t>
      </w:r>
      <w:bookmarkEnd w:id="74"/>
      <w:bookmarkEnd w:id="75"/>
    </w:p>
    <w:p>
      <w:pPr>
        <w:widowControl w:val="0"/>
        <w:rPr>
          <w:b/>
          <w:noProof/>
        </w:rPr>
      </w:pPr>
      <w:r>
        <w:rPr>
          <w:noProof/>
        </w:rPr>
        <w:t xml:space="preserve">Visas dalībvalstis, izņemot vienu, ir norādījušas, ka ir sagatavojušas vai ieviesušas uzņemšanas sistēmu, bet tikai viena trešdaļa no šīm valstīm līdz 2018. gada jūlijam bija informējušas EKB par savām attiecīgajām sistēmām. Vairākās dalībvalstīs iespējamos dalībniekus un partnerus uzaicina piedalīties sanāksmēs un darbsemināros par </w:t>
      </w:r>
      <w:r>
        <w:rPr>
          <w:i/>
          <w:noProof/>
        </w:rPr>
        <w:t>EURES</w:t>
      </w:r>
      <w:r>
        <w:rPr>
          <w:noProof/>
        </w:rPr>
        <w:t xml:space="preserve"> darbībām un par to, kā kļūt par dalībnieku vai partneri, savukārt citas dalībvalstis ir ieviesušas komunikācijas stratēģijas, lai sazinātos ar iespējamiem dalībniekiem un partneriem, informējot tos par </w:t>
      </w:r>
      <w:r>
        <w:rPr>
          <w:i/>
          <w:noProof/>
        </w:rPr>
        <w:t>EURES</w:t>
      </w:r>
      <w:r>
        <w:rPr>
          <w:noProof/>
        </w:rPr>
        <w:t xml:space="preserve"> tīklu. Līdz 2018. gada jūlijam nebija uzņemts neviens jauns dalībnieks vai partneris, taču vairāki VKB ir paziņojuši par to, ka vērtē pieteikumus vai ir publicējuši </w:t>
      </w:r>
      <w:r>
        <w:rPr>
          <w:b/>
          <w:noProof/>
        </w:rPr>
        <w:t>uzaicinājumus iesniegt pieteikumus</w:t>
      </w:r>
      <w:r>
        <w:rPr>
          <w:noProof/>
        </w:rPr>
        <w:t>.</w:t>
      </w:r>
    </w:p>
    <w:p>
      <w:pPr>
        <w:widowControl w:val="0"/>
        <w:rPr>
          <w:noProof/>
        </w:rPr>
      </w:pPr>
      <w:r>
        <w:rPr>
          <w:noProof/>
        </w:rPr>
        <w:t xml:space="preserve">Dalībvalstis pārraudzīs savu dalībnieku un partneru atbilstību Regulai un ir vai nu ieviesušas </w:t>
      </w:r>
      <w:r>
        <w:rPr>
          <w:b/>
          <w:noProof/>
        </w:rPr>
        <w:t>atbilstošas sistēmas</w:t>
      </w:r>
      <w:r>
        <w:rPr>
          <w:noProof/>
        </w:rPr>
        <w:t xml:space="preserve">, vai gatavo mehānismu, lai to izdarītu. Atbilstība ietver datu paziņošanu un informācijas apmaiņu ar VKB, kas savukārt informē EKB. </w:t>
      </w:r>
    </w:p>
    <w:p>
      <w:pPr>
        <w:pStyle w:val="Heading3"/>
        <w:rPr>
          <w:noProof/>
        </w:rPr>
      </w:pPr>
      <w:bookmarkStart w:id="76" w:name="_Toc534893458"/>
      <w:bookmarkStart w:id="77" w:name="_Toc765071"/>
      <w:r>
        <w:rPr>
          <w:noProof/>
        </w:rPr>
        <w:t>Problēmas</w:t>
      </w:r>
      <w:bookmarkEnd w:id="76"/>
      <w:bookmarkEnd w:id="77"/>
    </w:p>
    <w:p>
      <w:pPr>
        <w:widowControl w:val="0"/>
        <w:rPr>
          <w:noProof/>
        </w:rPr>
      </w:pPr>
      <w:r>
        <w:rPr>
          <w:noProof/>
        </w:rPr>
        <w:t xml:space="preserve">Gandrīz puse dalībvalstu apgalvo, ka saskaras ar </w:t>
      </w:r>
      <w:r>
        <w:rPr>
          <w:b/>
          <w:noProof/>
        </w:rPr>
        <w:t>aizkavēšanos valsts likumdošanas procedūrā saistībā ar uzņemšanas sistēmas ieviešanu</w:t>
      </w:r>
      <w:r>
        <w:rPr>
          <w:noProof/>
        </w:rPr>
        <w:t xml:space="preserve">. Turklāt </w:t>
      </w:r>
      <w:r>
        <w:rPr>
          <w:i/>
          <w:noProof/>
        </w:rPr>
        <w:t>EURES</w:t>
      </w:r>
      <w:r>
        <w:rPr>
          <w:noProof/>
        </w:rPr>
        <w:t xml:space="preserve"> paplašināšanas dēļ VKB ir jāpārvalda </w:t>
      </w:r>
      <w:r>
        <w:rPr>
          <w:b/>
          <w:noProof/>
        </w:rPr>
        <w:t>lielāks tīkls</w:t>
      </w:r>
      <w:r>
        <w:rPr>
          <w:noProof/>
        </w:rPr>
        <w:t xml:space="preserve">, lai nodrošinātu dalībnieku un partneru pievienošanu kopīgajai IT platformai un sadarbspēju ar to un lai garantētu tīklā un </w:t>
      </w:r>
      <w:r>
        <w:rPr>
          <w:i/>
          <w:noProof/>
        </w:rPr>
        <w:t>EURES</w:t>
      </w:r>
      <w:r>
        <w:rPr>
          <w:noProof/>
        </w:rPr>
        <w:t xml:space="preserve"> portālā izplatīto un paziņoto datu un informācijas kvalitāti.</w:t>
      </w:r>
    </w:p>
    <w:p>
      <w:pPr>
        <w:pStyle w:val="Heading2"/>
        <w:widowControl w:val="0"/>
        <w:tabs>
          <w:tab w:val="clear" w:pos="1004"/>
          <w:tab w:val="num" w:pos="1200"/>
        </w:tabs>
        <w:ind w:left="1200"/>
        <w:rPr>
          <w:noProof/>
        </w:rPr>
      </w:pPr>
      <w:bookmarkStart w:id="78" w:name="_Toc534893459"/>
      <w:bookmarkStart w:id="79" w:name="_Toc765072"/>
      <w:r>
        <w:rPr>
          <w:noProof/>
        </w:rPr>
        <w:t>Informācijas par brīvajām darbvietām un CV apmaiņa</w:t>
      </w:r>
      <w:bookmarkEnd w:id="78"/>
      <w:bookmarkEnd w:id="79"/>
    </w:p>
    <w:p>
      <w:pPr>
        <w:pStyle w:val="Text2"/>
        <w:ind w:left="-567"/>
        <w:rPr>
          <w:noProof/>
        </w:rPr>
      </w:pPr>
      <w:r>
        <w:rPr>
          <w:noProof/>
          <w:lang w:val="en-GB" w:eastAsia="en-GB" w:bidi="ar-SA"/>
        </w:rPr>
        <w:drawing>
          <wp:inline distT="0" distB="0" distL="0" distR="0">
            <wp:extent cx="6367192" cy="885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4170" cy="907664"/>
                    </a:xfrm>
                    <a:prstGeom prst="rect">
                      <a:avLst/>
                    </a:prstGeom>
                    <a:noFill/>
                    <a:ln>
                      <a:noFill/>
                    </a:ln>
                  </pic:spPr>
                </pic:pic>
              </a:graphicData>
            </a:graphic>
          </wp:inline>
        </w:drawing>
      </w:r>
    </w:p>
    <w:p>
      <w:pPr>
        <w:pStyle w:val="Heading3"/>
        <w:spacing w:before="240" w:after="120"/>
        <w:ind w:left="2279"/>
        <w:rPr>
          <w:noProof/>
        </w:rPr>
      </w:pPr>
      <w:bookmarkStart w:id="80" w:name="_Toc534893460"/>
      <w:bookmarkStart w:id="81" w:name="_Toc765073"/>
      <w:r>
        <w:rPr>
          <w:noProof/>
        </w:rPr>
        <w:t>Regulas prasības</w:t>
      </w:r>
      <w:bookmarkEnd w:id="80"/>
      <w:bookmarkEnd w:id="81"/>
    </w:p>
    <w:p>
      <w:pPr>
        <w:widowControl w:val="0"/>
        <w:rPr>
          <w:noProof/>
        </w:rPr>
      </w:pPr>
      <w:r>
        <w:rPr>
          <w:noProof/>
        </w:rPr>
        <w:t xml:space="preserve">Pārredzama </w:t>
      </w:r>
      <w:r>
        <w:rPr>
          <w:b/>
          <w:noProof/>
        </w:rPr>
        <w:t>informācijas par brīvajām darbvietām, darba pieteikumu un CV apmaiņa</w:t>
      </w:r>
      <w:r>
        <w:rPr>
          <w:noProof/>
        </w:rPr>
        <w:t xml:space="preserve"> ir viena no jaunās </w:t>
      </w:r>
      <w:r>
        <w:rPr>
          <w:i/>
          <w:noProof/>
        </w:rPr>
        <w:t>EURES</w:t>
      </w:r>
      <w:r>
        <w:rPr>
          <w:noProof/>
        </w:rPr>
        <w:t xml:space="preserve"> regulas galvenajām iezīmēm. Regulā ir noteikts, ka visiem </w:t>
      </w:r>
      <w:r>
        <w:rPr>
          <w:i/>
          <w:noProof/>
        </w:rPr>
        <w:t>EURES</w:t>
      </w:r>
      <w:r>
        <w:rPr>
          <w:noProof/>
        </w:rPr>
        <w:t xml:space="preserve"> dalībniekiem un partneriem ir </w:t>
      </w:r>
      <w:r>
        <w:rPr>
          <w:b/>
          <w:noProof/>
        </w:rPr>
        <w:t xml:space="preserve">jānodod </w:t>
      </w:r>
      <w:r>
        <w:rPr>
          <w:b/>
          <w:i/>
          <w:noProof/>
        </w:rPr>
        <w:t>EURES</w:t>
      </w:r>
      <w:r>
        <w:rPr>
          <w:b/>
          <w:noProof/>
        </w:rPr>
        <w:t xml:space="preserve"> portālam </w:t>
      </w:r>
      <w:r>
        <w:rPr>
          <w:noProof/>
        </w:rPr>
        <w:t xml:space="preserve">informācija par savām </w:t>
      </w:r>
      <w:r>
        <w:rPr>
          <w:b/>
          <w:noProof/>
        </w:rPr>
        <w:t>publiski pieejamajām brīvajām darbvietām</w:t>
      </w:r>
      <w:r>
        <w:rPr>
          <w:noProof/>
        </w:rPr>
        <w:t xml:space="preserve"> un ir jāsagatavojas datu apmaiņai par māceklību un stažēšanos. Paredzams, ka dalībvalstis apmainīsies arī ar informāciju par valsts praksi un jautājumiem, kas saistīti ar datiem. Visai datu apmaiņai ir jānotiek </w:t>
      </w:r>
      <w:r>
        <w:rPr>
          <w:b/>
          <w:noProof/>
        </w:rPr>
        <w:t>vienotā saskaņotā kanālā</w:t>
      </w:r>
      <w:r>
        <w:rPr>
          <w:noProof/>
        </w:rPr>
        <w:t xml:space="preserve">. Visiem būtu jāpiemēro </w:t>
      </w:r>
      <w:r>
        <w:rPr>
          <w:b/>
          <w:noProof/>
        </w:rPr>
        <w:t>tehniskie standarti</w:t>
      </w:r>
      <w:r>
        <w:rPr>
          <w:noProof/>
        </w:rPr>
        <w:t xml:space="preserve">, lai varētu darboties automatizētā piemeklēšana. Dalībvalstīm būtu jāpārrauga arī </w:t>
      </w:r>
      <w:r>
        <w:rPr>
          <w:i/>
          <w:noProof/>
        </w:rPr>
        <w:t>EURES</w:t>
      </w:r>
      <w:r>
        <w:rPr>
          <w:noProof/>
        </w:rPr>
        <w:t xml:space="preserve"> dalībnieku un partneru pieteikumi un jānodrošina </w:t>
      </w:r>
      <w:r>
        <w:rPr>
          <w:i/>
          <w:noProof/>
        </w:rPr>
        <w:t>EURES</w:t>
      </w:r>
      <w:r>
        <w:rPr>
          <w:noProof/>
        </w:rPr>
        <w:t xml:space="preserve"> atpazīstamība valsts līmenī. </w:t>
      </w:r>
    </w:p>
    <w:p>
      <w:pPr>
        <w:pStyle w:val="Heading3"/>
        <w:spacing w:after="120"/>
        <w:ind w:left="2279"/>
        <w:rPr>
          <w:noProof/>
        </w:rPr>
      </w:pPr>
      <w:bookmarkStart w:id="82" w:name="_Toc534893461"/>
      <w:bookmarkStart w:id="83" w:name="_Toc765074"/>
      <w:r>
        <w:rPr>
          <w:noProof/>
        </w:rPr>
        <w:t>Īstenošana</w:t>
      </w:r>
      <w:bookmarkEnd w:id="82"/>
      <w:bookmarkEnd w:id="83"/>
    </w:p>
    <w:p>
      <w:pPr>
        <w:widowControl w:val="0"/>
        <w:rPr>
          <w:noProof/>
        </w:rPr>
      </w:pPr>
      <w:r>
        <w:rPr>
          <w:noProof/>
        </w:rPr>
        <w:t xml:space="preserve">Dalībvalstis ir veikušas vajadzīgās korekcijas, lai varētu ieviest vienoto saskaņoto kanālu. Lai gan vairums dalībvalstu ir ievērojušas termiņu — 2018. gada maijs, kas tika noteikts attiecībā uz informācijas par </w:t>
      </w:r>
      <w:r>
        <w:rPr>
          <w:b/>
          <w:noProof/>
        </w:rPr>
        <w:t>brīvajām darbvietām apmaiņu</w:t>
      </w:r>
      <w:r>
        <w:rPr>
          <w:noProof/>
        </w:rPr>
        <w:t>, šķiet, ka CV apmaiņai ir vajadzīgs vairāk laika</w:t>
      </w:r>
      <w:r>
        <w:rPr>
          <w:rStyle w:val="FootnoteReference"/>
          <w:noProof/>
        </w:rPr>
        <w:footnoteReference w:id="37"/>
      </w:r>
      <w:r>
        <w:rPr>
          <w:noProof/>
        </w:rPr>
        <w:t xml:space="preserve">. Informācija par </w:t>
      </w:r>
      <w:r>
        <w:rPr>
          <w:b/>
          <w:noProof/>
        </w:rPr>
        <w:t>māceklības un stažēšanās iespējām</w:t>
      </w:r>
      <w:r>
        <w:rPr>
          <w:noProof/>
        </w:rPr>
        <w:t xml:space="preserve"> ar profesionālo sastāvdaļu ir nodota </w:t>
      </w:r>
      <w:r>
        <w:rPr>
          <w:i/>
          <w:noProof/>
        </w:rPr>
        <w:t>EURES</w:t>
      </w:r>
      <w:r>
        <w:rPr>
          <w:noProof/>
        </w:rPr>
        <w:t xml:space="preserve"> portālam vairumā dalībvalstu kopā ar informāciju par citām brīvajām darbvietām. Vairākas dalībvalstis strādā, lai uzlabotu savus māceklības un stažēšanās piedāvājumus </w:t>
      </w:r>
      <w:r>
        <w:rPr>
          <w:i/>
          <w:noProof/>
        </w:rPr>
        <w:t>EURES</w:t>
      </w:r>
      <w:r>
        <w:rPr>
          <w:noProof/>
        </w:rPr>
        <w:t xml:space="preserve">, sazinoties ar to nodrošinātājiem un ieviešot sistēmu informācijas par brīvajām darbvietām vākšanai. </w:t>
      </w:r>
    </w:p>
    <w:p>
      <w:pPr>
        <w:widowControl w:val="0"/>
        <w:rPr>
          <w:b/>
          <w:noProof/>
        </w:rPr>
      </w:pPr>
      <w:r>
        <w:rPr>
          <w:noProof/>
        </w:rPr>
        <w:t xml:space="preserve">Nolūkā izstrādāt automatizētu </w:t>
      </w:r>
      <w:r>
        <w:rPr>
          <w:b/>
          <w:noProof/>
        </w:rPr>
        <w:t>piemeklēšanas instrumentu</w:t>
      </w:r>
      <w:r>
        <w:rPr>
          <w:noProof/>
        </w:rPr>
        <w:t xml:space="preserve"> </w:t>
      </w:r>
      <w:r>
        <w:rPr>
          <w:i/>
          <w:noProof/>
        </w:rPr>
        <w:t>EURES</w:t>
      </w:r>
      <w:r>
        <w:rPr>
          <w:noProof/>
        </w:rPr>
        <w:t xml:space="preserve"> portālā visas dalībvalstis </w:t>
      </w:r>
      <w:r>
        <w:rPr>
          <w:i/>
          <w:noProof/>
        </w:rPr>
        <w:t>EURES</w:t>
      </w:r>
      <w:r>
        <w:rPr>
          <w:noProof/>
        </w:rPr>
        <w:t xml:space="preserve"> portālā pakāpeniski ievieš </w:t>
      </w:r>
      <w:r>
        <w:rPr>
          <w:b/>
          <w:noProof/>
        </w:rPr>
        <w:t>Eiropas prasmju/kompetenču, kvalifikāciju un profesiju klasifikāciju (</w:t>
      </w:r>
      <w:r>
        <w:rPr>
          <w:b/>
          <w:i/>
          <w:noProof/>
        </w:rPr>
        <w:t>ESCO</w:t>
      </w:r>
      <w:r>
        <w:rPr>
          <w:b/>
          <w:noProof/>
        </w:rPr>
        <w:t>)</w:t>
      </w:r>
      <w:r>
        <w:rPr>
          <w:noProof/>
        </w:rPr>
        <w:t xml:space="preserve">. Šā pārskata sagatavošanas laikā vairumā dalībvalstu bija pabeigta vai turpinājās valstu klasifikācijas sistēmu analīze, kas parāda neatbilstības </w:t>
      </w:r>
      <w:r>
        <w:rPr>
          <w:i/>
          <w:noProof/>
        </w:rPr>
        <w:t>ESCO</w:t>
      </w:r>
      <w:r>
        <w:rPr>
          <w:noProof/>
        </w:rPr>
        <w:t xml:space="preserve">. </w:t>
      </w:r>
    </w:p>
    <w:p>
      <w:pPr>
        <w:pStyle w:val="Heading3"/>
        <w:spacing w:after="120"/>
        <w:ind w:left="2279"/>
        <w:rPr>
          <w:noProof/>
        </w:rPr>
      </w:pPr>
      <w:bookmarkStart w:id="84" w:name="_Toc534893462"/>
      <w:bookmarkStart w:id="85" w:name="_Toc765075"/>
      <w:r>
        <w:rPr>
          <w:noProof/>
        </w:rPr>
        <w:t>Problēmas</w:t>
      </w:r>
      <w:bookmarkEnd w:id="84"/>
      <w:bookmarkEnd w:id="85"/>
    </w:p>
    <w:p>
      <w:pPr>
        <w:widowControl w:val="0"/>
        <w:rPr>
          <w:noProof/>
        </w:rPr>
      </w:pPr>
      <w:r>
        <w:rPr>
          <w:b/>
          <w:noProof/>
        </w:rPr>
        <w:t>CV apmaiņa</w:t>
      </w:r>
      <w:r>
        <w:rPr>
          <w:noProof/>
        </w:rPr>
        <w:t xml:space="preserve"> vēl aizvien ir “nepabeigts darbs” lielākajā daļā dalībvalstu. Līdz termiņam 2018. gada jūlijā darbu bija pabeigusi tikai viena dalībvalsts, un bija paredzēts, ka dažas citas valstis varēs pievienoties līdz 2018. gada beigām. Joprojām ir nepieciešamas tehniskas izmaiņas, lai pielāgotu IT sistēmas vienotajam saskaņotajam kanālam. Vēl viena problēma ir </w:t>
      </w:r>
      <w:r>
        <w:rPr>
          <w:b/>
          <w:noProof/>
        </w:rPr>
        <w:t>novecojusī IT infrastruktūra</w:t>
      </w:r>
      <w:r>
        <w:rPr>
          <w:noProof/>
        </w:rPr>
        <w:t xml:space="preserve"> dažos reģionos, kas nespēj veikt darbības, kurām būtu jābūt integrēto koordinācijas mehānismu daļai. Nepietiekami cilvēku, finanšu vai IT resursi ir biežāk minētie iemesli, kāpēc kavējās plānoto ar IT saistīto darbību īstenošana valsts līmenī. Visbeidzot, dažas dalībvalstis ir paudušas bažas par personas datu aizsardzību un drošību, apmainoties </w:t>
      </w:r>
      <w:r>
        <w:rPr>
          <w:i/>
          <w:noProof/>
        </w:rPr>
        <w:t>EURES</w:t>
      </w:r>
      <w:r>
        <w:rPr>
          <w:noProof/>
        </w:rPr>
        <w:t xml:space="preserve"> portālā ar informāciju par brīvajām darbvietām un CV. EKB ir pievērsies šai problēmai.</w:t>
      </w:r>
    </w:p>
    <w:p>
      <w:pPr>
        <w:pStyle w:val="Heading2"/>
        <w:widowControl w:val="0"/>
        <w:rPr>
          <w:noProof/>
        </w:rPr>
      </w:pPr>
      <w:bookmarkStart w:id="86" w:name="_Toc534893463"/>
      <w:bookmarkStart w:id="87" w:name="_Toc765076"/>
      <w:r>
        <w:rPr>
          <w:noProof/>
        </w:rPr>
        <w:t>Atbalsta pakalpojumi</w:t>
      </w:r>
      <w:bookmarkEnd w:id="86"/>
      <w:bookmarkEnd w:id="87"/>
    </w:p>
    <w:p>
      <w:pPr>
        <w:pStyle w:val="Text2"/>
        <w:ind w:left="-567"/>
        <w:rPr>
          <w:noProof/>
        </w:rPr>
      </w:pPr>
      <w:r>
        <w:rPr>
          <w:noProof/>
          <w:lang w:val="en-GB" w:eastAsia="en-GB" w:bidi="ar-SA"/>
        </w:rPr>
        <w:drawing>
          <wp:inline distT="0" distB="0" distL="0" distR="0">
            <wp:extent cx="6381750" cy="2628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8115" cy="2631522"/>
                    </a:xfrm>
                    <a:prstGeom prst="rect">
                      <a:avLst/>
                    </a:prstGeom>
                    <a:noFill/>
                    <a:ln>
                      <a:noFill/>
                    </a:ln>
                  </pic:spPr>
                </pic:pic>
              </a:graphicData>
            </a:graphic>
          </wp:inline>
        </w:drawing>
      </w:r>
    </w:p>
    <w:p>
      <w:pPr>
        <w:pStyle w:val="Heading3"/>
        <w:spacing w:before="240" w:after="120"/>
        <w:ind w:left="2279"/>
        <w:rPr>
          <w:noProof/>
        </w:rPr>
      </w:pPr>
      <w:bookmarkStart w:id="88" w:name="_Toc534893464"/>
      <w:bookmarkStart w:id="89" w:name="_Toc765077"/>
      <w:r>
        <w:rPr>
          <w:noProof/>
        </w:rPr>
        <w:t>Regulas prasības</w:t>
      </w:r>
      <w:bookmarkEnd w:id="88"/>
      <w:bookmarkEnd w:id="89"/>
    </w:p>
    <w:p>
      <w:pPr>
        <w:pStyle w:val="Text3"/>
        <w:ind w:left="0"/>
        <w:rPr>
          <w:noProof/>
        </w:rPr>
      </w:pPr>
      <w:r>
        <w:rPr>
          <w:noProof/>
        </w:rPr>
        <w:t xml:space="preserve">Dalībvalstīm ir jānodrošina </w:t>
      </w:r>
      <w:r>
        <w:rPr>
          <w:i/>
          <w:noProof/>
        </w:rPr>
        <w:t>EURES</w:t>
      </w:r>
      <w:r>
        <w:rPr>
          <w:noProof/>
        </w:rPr>
        <w:t xml:space="preserve"> pakalpojumu </w:t>
      </w:r>
      <w:r>
        <w:rPr>
          <w:b/>
          <w:noProof/>
        </w:rPr>
        <w:t>nepārtrauktība</w:t>
      </w:r>
      <w:r>
        <w:rPr>
          <w:noProof/>
        </w:rPr>
        <w:t xml:space="preserve">, izmantojot savus VND, jāsniedz </w:t>
      </w:r>
      <w:r>
        <w:rPr>
          <w:b/>
          <w:noProof/>
        </w:rPr>
        <w:t>informācija</w:t>
      </w:r>
      <w:r>
        <w:rPr>
          <w:noProof/>
        </w:rPr>
        <w:t xml:space="preserve"> un </w:t>
      </w:r>
      <w:r>
        <w:rPr>
          <w:b/>
          <w:noProof/>
        </w:rPr>
        <w:t>palīdzība</w:t>
      </w:r>
      <w:r>
        <w:rPr>
          <w:noProof/>
        </w:rPr>
        <w:t xml:space="preserve"> darba meklētājiem un darba devējiem, kuri ir reģistrējušies </w:t>
      </w:r>
      <w:r>
        <w:rPr>
          <w:i/>
          <w:noProof/>
        </w:rPr>
        <w:t>EURES</w:t>
      </w:r>
      <w:r>
        <w:rPr>
          <w:noProof/>
        </w:rPr>
        <w:t xml:space="preserve"> portālā, un </w:t>
      </w:r>
      <w:r>
        <w:rPr>
          <w:b/>
          <w:noProof/>
        </w:rPr>
        <w:t>jāpārrauga</w:t>
      </w:r>
      <w:r>
        <w:rPr>
          <w:noProof/>
        </w:rPr>
        <w:t xml:space="preserve"> nākamo dalībnieku un partneru </w:t>
      </w:r>
      <w:r>
        <w:rPr>
          <w:b/>
          <w:noProof/>
        </w:rPr>
        <w:t>pieteikumi</w:t>
      </w:r>
      <w:r>
        <w:rPr>
          <w:noProof/>
        </w:rPr>
        <w:t xml:space="preserve">. Atbalsta pakalpojumi ir jāsniedz arī </w:t>
      </w:r>
      <w:r>
        <w:rPr>
          <w:b/>
          <w:noProof/>
        </w:rPr>
        <w:t>pārrobežu reģionos</w:t>
      </w:r>
      <w:r>
        <w:rPr>
          <w:noProof/>
        </w:rPr>
        <w:t xml:space="preserve">, un ir paredzēts, ka dalībvalstis </w:t>
      </w:r>
      <w:r>
        <w:rPr>
          <w:b/>
          <w:noProof/>
        </w:rPr>
        <w:t>iekļaus atbalstu mobilitātei</w:t>
      </w:r>
      <w:r>
        <w:rPr>
          <w:noProof/>
        </w:rPr>
        <w:t xml:space="preserve"> savā valsts darba tirgus politikā.</w:t>
      </w:r>
    </w:p>
    <w:p>
      <w:pPr>
        <w:pStyle w:val="Heading3"/>
        <w:spacing w:after="120"/>
        <w:ind w:left="2279"/>
        <w:rPr>
          <w:noProof/>
        </w:rPr>
      </w:pPr>
      <w:bookmarkStart w:id="90" w:name="_Toc534893465"/>
      <w:bookmarkStart w:id="91" w:name="_Toc765078"/>
      <w:r>
        <w:rPr>
          <w:noProof/>
        </w:rPr>
        <w:t>Īstenošana</w:t>
      </w:r>
      <w:bookmarkEnd w:id="90"/>
      <w:bookmarkEnd w:id="91"/>
    </w:p>
    <w:p>
      <w:pPr>
        <w:widowControl w:val="0"/>
        <w:rPr>
          <w:noProof/>
        </w:rPr>
      </w:pPr>
      <w:r>
        <w:rPr>
          <w:noProof/>
        </w:rPr>
        <w:t xml:space="preserve">Gandrīz visas dalībvalstis ziņo, ka nodrošina darba meklētājiem un darba devējiem sniegto </w:t>
      </w:r>
      <w:r>
        <w:rPr>
          <w:b/>
          <w:noProof/>
        </w:rPr>
        <w:t>atbalsta pakalpojumu nepārtrauktību</w:t>
      </w:r>
      <w:r>
        <w:rPr>
          <w:noProof/>
        </w:rPr>
        <w:t xml:space="preserve">. </w:t>
      </w:r>
      <w:r>
        <w:rPr>
          <w:b/>
          <w:noProof/>
        </w:rPr>
        <w:t xml:space="preserve">Informācija par </w:t>
      </w:r>
      <w:r>
        <w:rPr>
          <w:b/>
          <w:i/>
          <w:noProof/>
        </w:rPr>
        <w:t>EURES</w:t>
      </w:r>
      <w:r>
        <w:rPr>
          <w:noProof/>
        </w:rPr>
        <w:t xml:space="preserve"> ir pieejama visās VND tīmekļa vietnēs un attiecīgā gadījumā valstu </w:t>
      </w:r>
      <w:r>
        <w:rPr>
          <w:i/>
          <w:noProof/>
        </w:rPr>
        <w:t>EURES</w:t>
      </w:r>
      <w:r>
        <w:rPr>
          <w:noProof/>
        </w:rPr>
        <w:t xml:space="preserve"> portālos. Kā viens no </w:t>
      </w:r>
      <w:r>
        <w:rPr>
          <w:i/>
          <w:noProof/>
        </w:rPr>
        <w:t>EURES</w:t>
      </w:r>
      <w:r>
        <w:rPr>
          <w:noProof/>
        </w:rPr>
        <w:t xml:space="preserve"> atbalsta pakalpojumiem </w:t>
      </w:r>
      <w:r>
        <w:rPr>
          <w:b/>
          <w:noProof/>
        </w:rPr>
        <w:t>darba meklētājiem un darba devējiem tiek sniegti norādījumi</w:t>
      </w:r>
      <w:r>
        <w:rPr>
          <w:noProof/>
        </w:rPr>
        <w:t xml:space="preserve">, kā reģistrēties </w:t>
      </w:r>
      <w:r>
        <w:rPr>
          <w:i/>
          <w:noProof/>
        </w:rPr>
        <w:t>EURES</w:t>
      </w:r>
      <w:r>
        <w:rPr>
          <w:noProof/>
        </w:rPr>
        <w:t xml:space="preserve"> portālā. Horvātijā tas tiek papildināts ar mācību video, kuros parādīts, kā lietot </w:t>
      </w:r>
      <w:r>
        <w:rPr>
          <w:i/>
          <w:noProof/>
        </w:rPr>
        <w:t>EURES</w:t>
      </w:r>
      <w:r>
        <w:rPr>
          <w:noProof/>
        </w:rPr>
        <w:t xml:space="preserve"> portālu. Sīkāka informācija parasti ir pieejama tiešsaistē, jo īpaši par </w:t>
      </w:r>
      <w:r>
        <w:rPr>
          <w:b/>
          <w:noProof/>
        </w:rPr>
        <w:t>mērķtiecīgām mobilitātes shēmām</w:t>
      </w:r>
      <w:r>
        <w:rPr>
          <w:noProof/>
        </w:rPr>
        <w:t xml:space="preserve">. Vairākas dalībvalstis pauž uzskatu, ka informācija </w:t>
      </w:r>
      <w:r>
        <w:rPr>
          <w:i/>
          <w:noProof/>
        </w:rPr>
        <w:t>EURES</w:t>
      </w:r>
      <w:r>
        <w:rPr>
          <w:noProof/>
        </w:rPr>
        <w:t xml:space="preserve"> portālā un VND tīmekļa vietnē būtu jāpadara vieglāk pieejama — ar dažiem klikšķiem. </w:t>
      </w:r>
    </w:p>
    <w:p>
      <w:pPr>
        <w:widowControl w:val="0"/>
        <w:rPr>
          <w:noProof/>
        </w:rPr>
      </w:pPr>
      <w:r>
        <w:rPr>
          <w:noProof/>
        </w:rPr>
        <w:t xml:space="preserve">Atbalsta pakalpojumi tiek sniegti arī </w:t>
      </w:r>
      <w:r>
        <w:rPr>
          <w:b/>
          <w:noProof/>
        </w:rPr>
        <w:t>pārrobežu reģionos</w:t>
      </w:r>
      <w:r>
        <w:rPr>
          <w:noProof/>
        </w:rPr>
        <w:t xml:space="preserve">, un 17 dalībvalstīs ir pabeigta vai tiek veikta to organizāciju noteikšana, kuras var sniegt atbalsta pakalpojumus pārrobežu reģionos, tostarp saistībā ar darba meklēšanu. Tomēr, lai izpildītu Regulas prasības, dažām dalībvalstīm ir jāuzlabo atbalsts, kas tiek sniegts darba meklējumos ārvalstīs, tostarp atverot aktīvā darba tirgus politiku, lai tajā iekļautu palīdzību darba meklējumos ārzemēs, un ļaujot nepilsoņiem izmantot šo pakalpojumu. </w:t>
      </w:r>
    </w:p>
    <w:p>
      <w:pPr>
        <w:widowControl w:val="0"/>
        <w:rPr>
          <w:noProof/>
        </w:rPr>
      </w:pPr>
      <w:r>
        <w:rPr>
          <w:noProof/>
        </w:rPr>
        <w:t xml:space="preserve">Katrā dalībvalstī </w:t>
      </w:r>
      <w:r>
        <w:rPr>
          <w:b/>
          <w:noProof/>
        </w:rPr>
        <w:t xml:space="preserve">darbiniekiem, kuri izskata </w:t>
      </w:r>
      <w:r>
        <w:rPr>
          <w:b/>
          <w:i/>
          <w:noProof/>
        </w:rPr>
        <w:t>EURES</w:t>
      </w:r>
      <w:r>
        <w:rPr>
          <w:b/>
          <w:noProof/>
        </w:rPr>
        <w:t xml:space="preserve"> lietas,</w:t>
      </w:r>
      <w:r>
        <w:rPr>
          <w:noProof/>
        </w:rPr>
        <w:t xml:space="preserve"> pēc tam, kad viņus ir pārbaudījis VKB, </w:t>
      </w:r>
      <w:r>
        <w:rPr>
          <w:b/>
          <w:noProof/>
        </w:rPr>
        <w:t xml:space="preserve">ir pilnīga piekļuve </w:t>
      </w:r>
      <w:r>
        <w:rPr>
          <w:b/>
          <w:i/>
          <w:noProof/>
        </w:rPr>
        <w:t>EURES</w:t>
      </w:r>
      <w:r>
        <w:rPr>
          <w:b/>
          <w:noProof/>
        </w:rPr>
        <w:t xml:space="preserve"> portālam</w:t>
      </w:r>
      <w:r>
        <w:rPr>
          <w:noProof/>
        </w:rPr>
        <w:t xml:space="preserve">, tostarp informācijai par brīvajām darbvietām un CV. Viņi arī saņem informāciju un vadlīnijas par izskatīšanas procedūrām, kurās īpaša uzmanība ir pievērsta CV datu aizsardzības jautājumam, kurš, kā paziņojusi viena dalībvalsts, tiks iekļauts </w:t>
      </w:r>
      <w:r>
        <w:rPr>
          <w:i/>
          <w:noProof/>
        </w:rPr>
        <w:t>EURES</w:t>
      </w:r>
      <w:r>
        <w:rPr>
          <w:noProof/>
        </w:rPr>
        <w:t xml:space="preserve"> padomdevēju apmācībā.</w:t>
      </w:r>
    </w:p>
    <w:p>
      <w:pPr>
        <w:pStyle w:val="Heading3"/>
        <w:spacing w:after="120"/>
        <w:ind w:left="2279"/>
        <w:rPr>
          <w:noProof/>
        </w:rPr>
      </w:pPr>
      <w:bookmarkStart w:id="92" w:name="_Toc534893466"/>
      <w:bookmarkStart w:id="93" w:name="_Toc765079"/>
      <w:r>
        <w:rPr>
          <w:noProof/>
        </w:rPr>
        <w:t>Problēmas</w:t>
      </w:r>
      <w:bookmarkEnd w:id="92"/>
      <w:bookmarkEnd w:id="93"/>
    </w:p>
    <w:p>
      <w:pPr>
        <w:pStyle w:val="Text3"/>
        <w:ind w:left="0"/>
        <w:rPr>
          <w:noProof/>
        </w:rPr>
      </w:pPr>
      <w:r>
        <w:rPr>
          <w:noProof/>
        </w:rPr>
        <w:t xml:space="preserve">Dalībvalstis neziņoja par īpašām problēmām saistībā ar šo prasību kopumu. </w:t>
      </w:r>
    </w:p>
    <w:p>
      <w:pPr>
        <w:pStyle w:val="Heading2"/>
        <w:widowControl w:val="0"/>
        <w:rPr>
          <w:noProof/>
        </w:rPr>
      </w:pPr>
      <w:bookmarkStart w:id="94" w:name="_Toc534893467"/>
      <w:bookmarkStart w:id="95" w:name="_Toc765080"/>
      <w:r>
        <w:rPr>
          <w:noProof/>
        </w:rPr>
        <w:t>Informācijas apmaiņa, plānošana un izpildes novērtēšana</w:t>
      </w:r>
      <w:bookmarkEnd w:id="94"/>
      <w:bookmarkEnd w:id="95"/>
    </w:p>
    <w:p>
      <w:pPr>
        <w:pStyle w:val="Text2"/>
        <w:ind w:left="-567"/>
        <w:rPr>
          <w:noProof/>
        </w:rPr>
      </w:pPr>
      <w:r>
        <w:rPr>
          <w:noProof/>
          <w:lang w:val="en-GB" w:eastAsia="en-GB" w:bidi="ar-SA"/>
        </w:rPr>
        <w:drawing>
          <wp:inline distT="0" distB="0" distL="0" distR="0">
            <wp:extent cx="6296025" cy="1733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878" cy="1748653"/>
                    </a:xfrm>
                    <a:prstGeom prst="rect">
                      <a:avLst/>
                    </a:prstGeom>
                    <a:noFill/>
                    <a:ln>
                      <a:noFill/>
                    </a:ln>
                  </pic:spPr>
                </pic:pic>
              </a:graphicData>
            </a:graphic>
          </wp:inline>
        </w:drawing>
      </w:r>
    </w:p>
    <w:p>
      <w:pPr>
        <w:pStyle w:val="Heading3"/>
        <w:spacing w:before="240" w:after="120"/>
        <w:ind w:left="2279"/>
        <w:rPr>
          <w:noProof/>
        </w:rPr>
      </w:pPr>
      <w:bookmarkStart w:id="96" w:name="_Toc534893468"/>
      <w:bookmarkStart w:id="97" w:name="_Toc765081"/>
      <w:r>
        <w:rPr>
          <w:noProof/>
        </w:rPr>
        <w:t>Regulas prasības</w:t>
      </w:r>
      <w:bookmarkEnd w:id="96"/>
      <w:bookmarkEnd w:id="97"/>
    </w:p>
    <w:p>
      <w:pPr>
        <w:widowControl w:val="0"/>
        <w:rPr>
          <w:noProof/>
        </w:rPr>
      </w:pPr>
      <w:r>
        <w:rPr>
          <w:b/>
          <w:noProof/>
        </w:rPr>
        <w:t>Informācijas apmaiņa</w:t>
      </w:r>
      <w:r>
        <w:rPr>
          <w:noProof/>
        </w:rPr>
        <w:t xml:space="preserve"> </w:t>
      </w:r>
      <w:r>
        <w:rPr>
          <w:i/>
          <w:noProof/>
        </w:rPr>
        <w:t>EURES</w:t>
      </w:r>
      <w:r>
        <w:rPr>
          <w:noProof/>
        </w:rPr>
        <w:t xml:space="preserve"> tīklā par darbībām, stratēģijām un notikumiem ir pamats </w:t>
      </w:r>
      <w:r>
        <w:rPr>
          <w:b/>
          <w:noProof/>
        </w:rPr>
        <w:t>sadarbībai valstīs, starp valstīm</w:t>
      </w:r>
      <w:r>
        <w:rPr>
          <w:noProof/>
        </w:rPr>
        <w:t xml:space="preserve"> un ar Eiropas Komisiju. Koordināciju visā </w:t>
      </w:r>
      <w:r>
        <w:rPr>
          <w:i/>
          <w:noProof/>
        </w:rPr>
        <w:t>EURES</w:t>
      </w:r>
      <w:r>
        <w:rPr>
          <w:noProof/>
        </w:rPr>
        <w:t xml:space="preserve"> tīklā atbalsta informācijas apmaiņa starp attiecīgajiem darbiniekiem un struktūrām katrā dalībvalstī un atbilstoši iekšējās sadarbības nolīgumi. Ir ieviesti īpaši </w:t>
      </w:r>
      <w:r>
        <w:rPr>
          <w:b/>
          <w:noProof/>
        </w:rPr>
        <w:t>koordinācijas mehānismi</w:t>
      </w:r>
      <w:r>
        <w:rPr>
          <w:noProof/>
        </w:rPr>
        <w:t xml:space="preserve"> katrai valstij, kas vajadzīgi Regulā prasītās informācijas vākšanai un paziņošanai VKB.</w:t>
      </w:r>
    </w:p>
    <w:p>
      <w:pPr>
        <w:pStyle w:val="Heading3"/>
        <w:spacing w:after="120"/>
        <w:ind w:left="2279"/>
        <w:rPr>
          <w:noProof/>
        </w:rPr>
      </w:pPr>
      <w:bookmarkStart w:id="98" w:name="_Toc534893469"/>
      <w:bookmarkStart w:id="99" w:name="_Toc765082"/>
      <w:r>
        <w:rPr>
          <w:noProof/>
        </w:rPr>
        <w:t>Īstenošana</w:t>
      </w:r>
      <w:bookmarkEnd w:id="98"/>
      <w:bookmarkEnd w:id="99"/>
    </w:p>
    <w:p>
      <w:pPr>
        <w:widowControl w:val="0"/>
        <w:rPr>
          <w:noProof/>
        </w:rPr>
      </w:pPr>
      <w:r>
        <w:rPr>
          <w:noProof/>
        </w:rPr>
        <w:t xml:space="preserve">Vairākās dalībvalstīs ir izstrādāta </w:t>
      </w:r>
      <w:r>
        <w:rPr>
          <w:b/>
          <w:noProof/>
        </w:rPr>
        <w:t>veidne vai tiešsaistes instruments</w:t>
      </w:r>
      <w:r>
        <w:rPr>
          <w:noProof/>
        </w:rPr>
        <w:t xml:space="preserve">, lai visas iesaistītās personas varētu vieglāk izpildīt savus ziņošanas pienākumus. Svarīgi, ka koordinācijas pūliņi vairākās dalībvalstīs ir pastiprinājuši sadarbību starp </w:t>
      </w:r>
      <w:r>
        <w:rPr>
          <w:i/>
          <w:noProof/>
        </w:rPr>
        <w:t>EURES</w:t>
      </w:r>
      <w:r>
        <w:rPr>
          <w:noProof/>
        </w:rPr>
        <w:t xml:space="preserve"> darbiniekiem un VND darba devēju pakalpojumiem. Saistībā ar koordināciju, kas jānodrošina saskaņā ar Regulu, ir organizēti </w:t>
      </w:r>
      <w:r>
        <w:rPr>
          <w:b/>
          <w:noProof/>
        </w:rPr>
        <w:t>regulāri pasākumi un kopīgas sanāksmes</w:t>
      </w:r>
      <w:r>
        <w:rPr>
          <w:noProof/>
        </w:rPr>
        <w:t xml:space="preserve"> ar visām ieinteresētajām personām valsts līmenī, tostarp uzņēmējdarbības forumi un pasākumi darba devējiem. Lai vairāk ieviestu tīklā zinātību, dažās dalībvalstīs VND iesaista partnerus, piemēram, māceklības un stažēšanās jautājumos. </w:t>
      </w:r>
    </w:p>
    <w:p>
      <w:pPr>
        <w:widowControl w:val="0"/>
        <w:rPr>
          <w:noProof/>
        </w:rPr>
      </w:pPr>
      <w:r>
        <w:rPr>
          <w:noProof/>
        </w:rPr>
        <w:t xml:space="preserve">Jomas, kurās dalībvalstis īsteno centienus ieviest informācijas apmaiņu, ir paplašinājušās, ietverot </w:t>
      </w:r>
      <w:r>
        <w:rPr>
          <w:b/>
          <w:noProof/>
        </w:rPr>
        <w:t>darbaspēka trūkumu un pārpalikumu valsts un nozaru darba tirgos</w:t>
      </w:r>
      <w:r>
        <w:rPr>
          <w:noProof/>
        </w:rPr>
        <w:t xml:space="preserve">, un tagad šos aspektus izskata 22 dalībvalstis. Šīs datu vākšanas rezultātā vairums dalībvalstu veic ieguldījumu kopīgā darba tirgus analīzē </w:t>
      </w:r>
      <w:r>
        <w:rPr>
          <w:i/>
          <w:noProof/>
        </w:rPr>
        <w:t>EURES</w:t>
      </w:r>
      <w:r>
        <w:rPr>
          <w:noProof/>
        </w:rPr>
        <w:t xml:space="preserve"> vajadzībām, kā arī uzlabo darbību un valstu mērķtiecīgas sadarbības plānošanu. </w:t>
      </w:r>
    </w:p>
    <w:p>
      <w:pPr>
        <w:widowControl w:val="0"/>
        <w:rPr>
          <w:noProof/>
        </w:rPr>
      </w:pPr>
      <w:r>
        <w:rPr>
          <w:i/>
          <w:noProof/>
        </w:rPr>
        <w:t>EURES</w:t>
      </w:r>
      <w:r>
        <w:rPr>
          <w:noProof/>
        </w:rPr>
        <w:t xml:space="preserve"> vispārējo sniegumu vērtē ar RINS, kurai EKB ir izveidojis ziņošanas instrumentu, ko izmanto visi VKB. Ņemot vērā pienācīgas ziņošanas pienākumu, vairākas dalībvalstis ir ieviesušas savas valsts datu vākšanas procedūras. Turklāt Regulā ir prasīts, lai VKB ziņotu par starpību starp to brīvo darbvietu skaitu, informācija par kurām ir nodota </w:t>
      </w:r>
      <w:r>
        <w:rPr>
          <w:i/>
          <w:noProof/>
        </w:rPr>
        <w:t>EURES</w:t>
      </w:r>
      <w:r>
        <w:rPr>
          <w:noProof/>
        </w:rPr>
        <w:t xml:space="preserve"> portālam, un to brīvo darbvietu skaitu, informācija par kurām ir publiski pieejama VND, dalībniekiem un partneriem, kā arī par starpību starp to brīvo darbvietu skaitu, informācija par kurām ir nodota </w:t>
      </w:r>
      <w:r>
        <w:rPr>
          <w:i/>
          <w:noProof/>
        </w:rPr>
        <w:t>EURES</w:t>
      </w:r>
      <w:r>
        <w:rPr>
          <w:noProof/>
        </w:rPr>
        <w:t xml:space="preserve"> portālam, un visu brīvo darbvietu skaitu valstī. Pēdējā minētajā gadījumā vairākas valstis ziņo, ka tām nav pieejami dati par brīvajām darbvietām valsts līmenī, jo šādi dati netiek vākti. </w:t>
      </w:r>
    </w:p>
    <w:p>
      <w:pPr>
        <w:widowControl w:val="0"/>
        <w:rPr>
          <w:noProof/>
        </w:rPr>
      </w:pPr>
      <w:r>
        <w:rPr>
          <w:noProof/>
        </w:rPr>
        <w:t xml:space="preserve">Saistībā ar </w:t>
      </w:r>
      <w:r>
        <w:rPr>
          <w:b/>
          <w:noProof/>
        </w:rPr>
        <w:t>plānošanas</w:t>
      </w:r>
      <w:r>
        <w:rPr>
          <w:noProof/>
        </w:rPr>
        <w:t xml:space="preserve"> ciklu paredzams, ka sadarbību tīklā lielā mērā uzlabos salīdzinošās vērtēšanas un tādu veidņu uzlabošana, kurās dalībvalstis var aplūkot viena otras darba programmu nākamajam gadam un izteikt piezīmes par to. </w:t>
      </w:r>
    </w:p>
    <w:p>
      <w:pPr>
        <w:pStyle w:val="Heading3"/>
        <w:rPr>
          <w:noProof/>
        </w:rPr>
      </w:pPr>
      <w:bookmarkStart w:id="100" w:name="_Toc534893470"/>
      <w:bookmarkStart w:id="101" w:name="_Toc765083"/>
      <w:r>
        <w:rPr>
          <w:noProof/>
        </w:rPr>
        <w:t>Problēmas</w:t>
      </w:r>
      <w:bookmarkEnd w:id="100"/>
      <w:bookmarkEnd w:id="101"/>
    </w:p>
    <w:p>
      <w:pPr>
        <w:widowControl w:val="0"/>
        <w:rPr>
          <w:noProof/>
        </w:rPr>
      </w:pPr>
      <w:r>
        <w:rPr>
          <w:noProof/>
        </w:rPr>
        <w:t xml:space="preserve">Dalībvalstis ziņo par </w:t>
      </w:r>
      <w:r>
        <w:rPr>
          <w:b/>
          <w:noProof/>
        </w:rPr>
        <w:t>problēmām savākt un paziņot datus</w:t>
      </w:r>
      <w:r>
        <w:rPr>
          <w:noProof/>
        </w:rPr>
        <w:t xml:space="preserve"> gan RINS, gan plānošanas cikla vajadzībām un ierosina veikt uzlabojumus. Kopumā visu datu vākšanas metožu saskaņošanas mērķis ir samazināt ziņošanas slogu VKB. Lai gan vairākām dalībvalstīm pašlaik nav nekādu grūtību, citas uzskata, ka ziņošanas pienākumu izpilde ir problemātiska. Piemēram, ne visām dalībvalstīm pašlaik ir pieejami vajadzīgie dati, lai tās varētu ziņot par katru RINS rādītāju. Paredzams, ka </w:t>
      </w:r>
      <w:r>
        <w:rPr>
          <w:b/>
          <w:noProof/>
        </w:rPr>
        <w:t>tiešsaistes ziņošanas instruments</w:t>
      </w:r>
      <w:r>
        <w:rPr>
          <w:noProof/>
        </w:rPr>
        <w:t xml:space="preserve">, kas ļauj veikt ar VND sistēmu saistītu datu automatizētu ieguvi, ierobežotu kļūdas, kas rodas, ziņojot manuāli. Lai uzlabotu paziņoto datu kvalitāti, ir vajadzīgi arī </w:t>
      </w:r>
      <w:r>
        <w:rPr>
          <w:b/>
          <w:noProof/>
        </w:rPr>
        <w:t>papildu norādījumi</w:t>
      </w:r>
      <w:r>
        <w:rPr>
          <w:noProof/>
        </w:rPr>
        <w:t xml:space="preserve"> par to, kā lietot un salīdzināt dažādus datu avotus, piemēram, </w:t>
      </w:r>
      <w:r>
        <w:rPr>
          <w:i/>
          <w:noProof/>
        </w:rPr>
        <w:t>Eurostat</w:t>
      </w:r>
      <w:r>
        <w:rPr>
          <w:noProof/>
        </w:rPr>
        <w:t xml:space="preserve"> un VND datus, valsts statistiku, datus, kas iegūti no IT sistēmām, kā arī no citu valstu ziņojumiem.</w:t>
      </w:r>
    </w:p>
    <w:p>
      <w:pPr>
        <w:widowControl w:val="0"/>
        <w:rPr>
          <w:noProof/>
        </w:rPr>
      </w:pPr>
      <w:r>
        <w:rPr>
          <w:noProof/>
        </w:rPr>
        <w:t xml:space="preserve">Būtiska problēma, kas saistīta ar pilnīga priekšstata iegūšanu par </w:t>
      </w:r>
      <w:r>
        <w:rPr>
          <w:i/>
          <w:noProof/>
        </w:rPr>
        <w:t>EURES</w:t>
      </w:r>
      <w:r>
        <w:rPr>
          <w:noProof/>
        </w:rPr>
        <w:t xml:space="preserve"> darbības rezultātiem, ir </w:t>
      </w:r>
      <w:r>
        <w:rPr>
          <w:b/>
          <w:noProof/>
        </w:rPr>
        <w:t>darbā iekārtošanas datu vākšana</w:t>
      </w:r>
      <w:r>
        <w:rPr>
          <w:noProof/>
        </w:rPr>
        <w:t xml:space="preserve">, izmantojot </w:t>
      </w:r>
      <w:r>
        <w:rPr>
          <w:i/>
          <w:noProof/>
        </w:rPr>
        <w:t>EURES</w:t>
      </w:r>
      <w:r>
        <w:rPr>
          <w:noProof/>
        </w:rPr>
        <w:t xml:space="preserve"> tīklu</w:t>
      </w:r>
      <w:r>
        <w:rPr>
          <w:rStyle w:val="FootnoteReference"/>
          <w:noProof/>
        </w:rPr>
        <w:footnoteReference w:id="38"/>
      </w:r>
      <w:r>
        <w:rPr>
          <w:noProof/>
        </w:rPr>
        <w:t xml:space="preserve">. Līdz 2017. gadam </w:t>
      </w:r>
      <w:r>
        <w:rPr>
          <w:i/>
          <w:noProof/>
        </w:rPr>
        <w:t>EURES</w:t>
      </w:r>
      <w:r>
        <w:rPr>
          <w:noProof/>
        </w:rPr>
        <w:t xml:space="preserve"> padomdevēji informāciju par darbā iekārtoto darba meklētāju skaitu sniedza brīvprātīgi (ziņoja aptuveni 50–60 % no visiem padomdevējiem). Turklāt pašus </w:t>
      </w:r>
      <w:r>
        <w:rPr>
          <w:i/>
          <w:noProof/>
        </w:rPr>
        <w:t>EURES</w:t>
      </w:r>
      <w:r>
        <w:rPr>
          <w:noProof/>
        </w:rPr>
        <w:t xml:space="preserve"> padomdevējus darba meklētāji un darba devēji sistemātiski neinformē par darbā iekārtošanas gadījumiem.</w:t>
      </w:r>
    </w:p>
    <w:p>
      <w:pPr>
        <w:pStyle w:val="Heading1"/>
        <w:widowControl w:val="0"/>
        <w:rPr>
          <w:noProof/>
        </w:rPr>
      </w:pPr>
      <w:bookmarkStart w:id="102" w:name="_Toc534893471"/>
      <w:bookmarkStart w:id="103" w:name="_Toc765084"/>
      <w:r>
        <w:rPr>
          <w:noProof/>
        </w:rPr>
        <w:t>Kā Eiropas Komisija īsteno Regulu</w:t>
      </w:r>
      <w:bookmarkEnd w:id="102"/>
      <w:bookmarkEnd w:id="103"/>
      <w:r>
        <w:rPr>
          <w:noProof/>
        </w:rPr>
        <w:t xml:space="preserve"> </w:t>
      </w:r>
    </w:p>
    <w:p>
      <w:pPr>
        <w:widowControl w:val="0"/>
        <w:spacing w:beforeLines="60" w:before="144" w:after="0"/>
        <w:rPr>
          <w:noProof/>
        </w:rPr>
      </w:pPr>
      <w:r>
        <w:rPr>
          <w:noProof/>
        </w:rPr>
        <w:t xml:space="preserve">Šajā sadaļā ir aprakstīts stāvoklis šīs regulas piemērošanas jomā </w:t>
      </w:r>
      <w:r>
        <w:rPr>
          <w:b/>
          <w:noProof/>
        </w:rPr>
        <w:t>ES līmenī</w:t>
      </w:r>
      <w:r>
        <w:rPr>
          <w:noProof/>
        </w:rPr>
        <w:t xml:space="preserve">, kā noteikts šīs regulas 33. panta otrajā daļā un apkopots tālāk dotajā atbilstības kontrollapā. </w:t>
      </w:r>
    </w:p>
    <w:p>
      <w:pPr>
        <w:pStyle w:val="Heading3"/>
        <w:spacing w:before="240"/>
        <w:ind w:left="2279"/>
        <w:rPr>
          <w:noProof/>
        </w:rPr>
      </w:pPr>
      <w:bookmarkStart w:id="104" w:name="_Toc534893472"/>
      <w:bookmarkStart w:id="105" w:name="_Toc765085"/>
      <w:r>
        <w:rPr>
          <w:noProof/>
        </w:rPr>
        <w:t>Regulas prasības</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EKB darbības jomas</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Stāvoklis</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Horizontālo atbalsta pasākumu īstenošana, lai uzlabotu </w:t>
            </w:r>
            <w:r>
              <w:rPr>
                <w:rFonts w:ascii="Times New Roman" w:eastAsiaTheme="minorHAnsi" w:hAnsi="Times New Roman"/>
                <w:i/>
                <w:noProof/>
                <w:sz w:val="22"/>
              </w:rPr>
              <w:t>EURES</w:t>
            </w:r>
            <w:r>
              <w:rPr>
                <w:rFonts w:ascii="Times New Roman" w:eastAsiaTheme="minorHAnsi" w:hAnsi="Times New Roman"/>
                <w:noProof/>
                <w:sz w:val="22"/>
              </w:rPr>
              <w:t xml:space="preserve"> tīklu</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Sagatavošanās EURES regulas piemērošanai</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Tīklošanas, savstarpējas mācīšanās un paraugprakses apmaiņas veicināšana (8. pants)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Informācijas un komunikācijas pasākumi saistībā ar EURES tīklu (1.–8. pants)</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Mācību programmas nodrošināšana VKB, kas ir EURES dalībnieki/partneri (8. pants)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Atbalsts tīkla un uzņemšanas sistēmu paplašināšanai (3., 7., 11. pants)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Plānošanas cikls un informācijas apmaiņa par darba tirgu, tostarp kopīga analīze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i/>
                <w:noProof/>
                <w:sz w:val="22"/>
              </w:rPr>
              <w:t>EURES</w:t>
            </w:r>
            <w:r>
              <w:rPr>
                <w:rFonts w:ascii="Times New Roman" w:eastAsiaTheme="minorHAnsi" w:hAnsi="Times New Roman"/>
                <w:noProof/>
                <w:sz w:val="22"/>
              </w:rPr>
              <w:t xml:space="preserve"> portāla (tostarp palīdzības dienesta funkcijas) un sadarbspējas platformas (tostarp attiecībā uz māceklības un stažēšanās iespējām) izstrāde un ekspluatēšana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Darbības rezultātu novērtēšana un pārraudzības progress</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Pārvaldība un dialogs ES līmenī</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765086"/>
      <w:r>
        <w:rPr>
          <w:noProof/>
        </w:rPr>
        <w:t>Īstenošana</w:t>
      </w:r>
      <w:bookmarkEnd w:id="106"/>
      <w:bookmarkEnd w:id="107"/>
    </w:p>
    <w:p>
      <w:pPr>
        <w:rPr>
          <w:noProof/>
        </w:rPr>
      </w:pPr>
      <w:r>
        <w:rPr>
          <w:noProof/>
        </w:rPr>
        <w:t xml:space="preserve">EKB ir pabeidzis visas sagatavošanas un ar jauno </w:t>
      </w:r>
      <w:r>
        <w:rPr>
          <w:i/>
          <w:noProof/>
        </w:rPr>
        <w:t>EURES</w:t>
      </w:r>
      <w:r>
        <w:rPr>
          <w:noProof/>
        </w:rPr>
        <w:t xml:space="preserve"> regulu saistītās darbības un sniedzis </w:t>
      </w:r>
      <w:r>
        <w:rPr>
          <w:b/>
          <w:noProof/>
        </w:rPr>
        <w:t>īstenošanas norādījumus</w:t>
      </w:r>
      <w:r>
        <w:rPr>
          <w:noProof/>
        </w:rPr>
        <w:t xml:space="preserve"> </w:t>
      </w:r>
      <w:r>
        <w:rPr>
          <w:i/>
          <w:noProof/>
        </w:rPr>
        <w:t>EURES</w:t>
      </w:r>
      <w:r>
        <w:rPr>
          <w:noProof/>
        </w:rPr>
        <w:t xml:space="preserve"> organizācijām valsts līmenī, piemēram, par apmācību, savstarpējas mācīšanās pasākumiem u. c. Tas ir veicis visas vajadzīgās darbības jaunas </w:t>
      </w:r>
      <w:r>
        <w:rPr>
          <w:b/>
          <w:noProof/>
        </w:rPr>
        <w:t>datu apmaiņas sistēmas</w:t>
      </w:r>
      <w:r>
        <w:rPr>
          <w:noProof/>
        </w:rPr>
        <w:t xml:space="preserve"> ieviešanai. </w:t>
      </w:r>
    </w:p>
    <w:p>
      <w:pPr>
        <w:rPr>
          <w:noProof/>
        </w:rPr>
      </w:pPr>
      <w:r>
        <w:rPr>
          <w:noProof/>
        </w:rPr>
        <w:t xml:space="preserve">EKB ir gatavs turpmāk </w:t>
      </w:r>
      <w:r>
        <w:rPr>
          <w:b/>
          <w:noProof/>
        </w:rPr>
        <w:t xml:space="preserve">uzlabot </w:t>
      </w:r>
      <w:r>
        <w:rPr>
          <w:b/>
          <w:i/>
          <w:noProof/>
        </w:rPr>
        <w:t>EURES</w:t>
      </w:r>
      <w:r>
        <w:rPr>
          <w:b/>
          <w:noProof/>
        </w:rPr>
        <w:t xml:space="preserve"> ekstraneta lietderīgumu un iezīmes</w:t>
      </w:r>
      <w:r>
        <w:rPr>
          <w:noProof/>
        </w:rPr>
        <w:t xml:space="preserve"> un piešķirt līdzekļus tīkla efektivitātes uzlabošanai, īstenojot pasākumus un darbseminārus, kā arī izstrādājot </w:t>
      </w:r>
      <w:r>
        <w:rPr>
          <w:i/>
          <w:noProof/>
        </w:rPr>
        <w:t>EURES</w:t>
      </w:r>
      <w:r>
        <w:rPr>
          <w:noProof/>
        </w:rPr>
        <w:t xml:space="preserve"> komunikācijas instrumentus. </w:t>
      </w:r>
    </w:p>
    <w:p>
      <w:pPr>
        <w:rPr>
          <w:noProof/>
        </w:rPr>
      </w:pPr>
      <w:r>
        <w:rPr>
          <w:noProof/>
        </w:rPr>
        <w:t xml:space="preserve">Attiecībā uz </w:t>
      </w:r>
      <w:r>
        <w:rPr>
          <w:b/>
          <w:noProof/>
        </w:rPr>
        <w:t>personāla apmācības</w:t>
      </w:r>
      <w:r>
        <w:rPr>
          <w:noProof/>
        </w:rPr>
        <w:t xml:space="preserve"> pasākumiem — EKB ir pilnībā uzsācis savas </w:t>
      </w:r>
      <w:r>
        <w:rPr>
          <w:i/>
          <w:noProof/>
        </w:rPr>
        <w:t>EURES</w:t>
      </w:r>
      <w:r>
        <w:rPr>
          <w:noProof/>
        </w:rPr>
        <w:t xml:space="preserve"> Akadēmijas darbu, kā arī izmanto ārējo ieinteresēto personu sagatavotās un centralizētās mācību programmas. </w:t>
      </w:r>
    </w:p>
    <w:p>
      <w:pPr>
        <w:rPr>
          <w:noProof/>
        </w:rPr>
      </w:pPr>
      <w:r>
        <w:rPr>
          <w:noProof/>
        </w:rPr>
        <w:t xml:space="preserve">Lai ieviestu </w:t>
      </w:r>
      <w:r>
        <w:rPr>
          <w:i/>
          <w:noProof/>
        </w:rPr>
        <w:t>EURES</w:t>
      </w:r>
      <w:r>
        <w:rPr>
          <w:noProof/>
        </w:rPr>
        <w:t xml:space="preserve"> pārraudzības ciklu, ir pabeigta </w:t>
      </w:r>
      <w:r>
        <w:rPr>
          <w:b/>
          <w:noProof/>
        </w:rPr>
        <w:t>ziņošanas veidņu sagatavošana</w:t>
      </w:r>
      <w:r>
        <w:rPr>
          <w:noProof/>
        </w:rPr>
        <w:t xml:space="preserve"> un </w:t>
      </w:r>
      <w:r>
        <w:rPr>
          <w:b/>
          <w:noProof/>
        </w:rPr>
        <w:t>kopīga analīze</w:t>
      </w:r>
      <w:r>
        <w:rPr>
          <w:noProof/>
        </w:rPr>
        <w:t xml:space="preserve">. Šajā saistībā EKB turpina izstrādāt saskaņotu pieeju informācijai par darba tirgu, kas vajadzīga </w:t>
      </w:r>
      <w:r>
        <w:rPr>
          <w:i/>
          <w:noProof/>
        </w:rPr>
        <w:t>EURES</w:t>
      </w:r>
      <w:r>
        <w:rPr>
          <w:noProof/>
        </w:rPr>
        <w:t>. RINS ir pilnīgi ieviesta un sniegs darbības rezultātus 2018. pārskata gadā. RINS izvērtēšanas un pārraudzības metožu izvēršana vēl ir jāpabeidz.</w:t>
      </w:r>
    </w:p>
    <w:p>
      <w:pPr>
        <w:spacing w:after="120"/>
        <w:rPr>
          <w:noProof/>
        </w:rPr>
      </w:pPr>
      <w:r>
        <w:rPr>
          <w:noProof/>
        </w:rPr>
        <w:t xml:space="preserve">Visbeidzot, EKB ir pabeidzis savu projektu, kura mērķis ir nodrošināt </w:t>
      </w:r>
      <w:r>
        <w:rPr>
          <w:b/>
          <w:noProof/>
        </w:rPr>
        <w:t>centralizētu palīdzības dienestu</w:t>
      </w:r>
      <w:r>
        <w:rPr>
          <w:noProof/>
        </w:rPr>
        <w:t xml:space="preserve"> </w:t>
      </w:r>
      <w:r>
        <w:rPr>
          <w:i/>
          <w:noProof/>
        </w:rPr>
        <w:t>EURES</w:t>
      </w:r>
      <w:r>
        <w:rPr>
          <w:noProof/>
        </w:rPr>
        <w:t xml:space="preserve"> portālā. </w:t>
      </w:r>
    </w:p>
    <w:p>
      <w:pPr>
        <w:pStyle w:val="Heading3"/>
        <w:spacing w:before="240" w:after="120"/>
        <w:ind w:left="2279"/>
        <w:rPr>
          <w:noProof/>
        </w:rPr>
      </w:pPr>
      <w:bookmarkStart w:id="108" w:name="_Toc534893474"/>
      <w:bookmarkStart w:id="109" w:name="_Toc765087"/>
      <w:r>
        <w:rPr>
          <w:noProof/>
        </w:rPr>
        <w:t>Problēmas</w:t>
      </w:r>
      <w:bookmarkEnd w:id="108"/>
      <w:bookmarkEnd w:id="109"/>
    </w:p>
    <w:p>
      <w:pPr>
        <w:rPr>
          <w:noProof/>
        </w:rPr>
      </w:pPr>
      <w:r>
        <w:rPr>
          <w:noProof/>
        </w:rPr>
        <w:t xml:space="preserve">Attiecībā uz savstarpējas mācīšanās un informācijas apmaiņas par </w:t>
      </w:r>
      <w:r>
        <w:rPr>
          <w:i/>
          <w:noProof/>
        </w:rPr>
        <w:t>EURES</w:t>
      </w:r>
      <w:r>
        <w:rPr>
          <w:noProof/>
        </w:rPr>
        <w:t xml:space="preserve"> dalībnieku un partneru uzņemšanas procedūrām ilgtermiņa satvaru — EKB atzīst, ka tas joprojām ir “nepabeigts darbs”. </w:t>
      </w:r>
    </w:p>
    <w:p>
      <w:pPr>
        <w:pStyle w:val="Heading1"/>
        <w:widowControl w:val="0"/>
        <w:rPr>
          <w:noProof/>
        </w:rPr>
      </w:pPr>
      <w:bookmarkStart w:id="110" w:name="_Toc534893475"/>
      <w:bookmarkStart w:id="111" w:name="_Toc765088"/>
      <w:r>
        <w:rPr>
          <w:noProof/>
        </w:rPr>
        <w:t>Secinājumi un ieteikumi</w:t>
      </w:r>
      <w:bookmarkEnd w:id="110"/>
      <w:bookmarkEnd w:id="111"/>
    </w:p>
    <w:p>
      <w:pPr>
        <w:pStyle w:val="Heading2"/>
        <w:rPr>
          <w:noProof/>
        </w:rPr>
      </w:pPr>
      <w:bookmarkStart w:id="112" w:name="_Toc534893476"/>
      <w:bookmarkStart w:id="113" w:name="_Toc765089"/>
      <w:r>
        <w:rPr>
          <w:noProof/>
        </w:rPr>
        <w:t>Secinājumi</w:t>
      </w:r>
      <w:bookmarkEnd w:id="112"/>
      <w:bookmarkEnd w:id="113"/>
    </w:p>
    <w:p>
      <w:pPr>
        <w:widowControl w:val="0"/>
        <w:spacing w:beforeLines="60" w:before="144" w:afterLines="60" w:after="144"/>
        <w:rPr>
          <w:noProof/>
        </w:rPr>
      </w:pPr>
      <w:r>
        <w:rPr>
          <w:i/>
          <w:noProof/>
        </w:rPr>
        <w:t>EURES</w:t>
      </w:r>
      <w:r>
        <w:rPr>
          <w:noProof/>
        </w:rPr>
        <w:t xml:space="preserve"> regulā, kas stājās spēkā 2016. gada 12. maijā, paredzētā vērienīgā </w:t>
      </w:r>
      <w:r>
        <w:rPr>
          <w:i/>
          <w:noProof/>
        </w:rPr>
        <w:t>EURES</w:t>
      </w:r>
      <w:r>
        <w:rPr>
          <w:noProof/>
        </w:rPr>
        <w:t xml:space="preserve"> reforma tuvojas noslēgumam, jo tās īstenošanas termiņš beidzās 2018. gada maijā. Īstenošanas process ir noticis problemātiskā vidē, ko ietekmē vairāki ārēji faktori, piemēram, valstu darbībām pieejamā finansiālā atbalsta izmaiņas un jaunas datu aizsardzības prasības. Tomēr vairums pienākumu gan Eiropas, gan valsts līmenī ir izpildīti vai tiek veiksmīgi pildīti, līdz tiks pilnīgi pabeigti. Tālāk dotajā sarakstā ir minēti daži pārskata periodā gūto sasniegumu piemēri: </w:t>
      </w:r>
    </w:p>
    <w:p>
      <w:pPr>
        <w:pStyle w:val="ListParagraph"/>
        <w:widowControl w:val="0"/>
        <w:numPr>
          <w:ilvl w:val="0"/>
          <w:numId w:val="22"/>
        </w:numPr>
        <w:spacing w:beforeLines="20" w:before="48" w:after="0"/>
        <w:ind w:left="714" w:hanging="357"/>
        <w:contextualSpacing w:val="0"/>
        <w:rPr>
          <w:noProof/>
        </w:rPr>
      </w:pPr>
      <w:r>
        <w:rPr>
          <w:noProof/>
        </w:rPr>
        <w:t xml:space="preserve">pieņemot 6 īstenošanas lēmumus saskaņā ar </w:t>
      </w:r>
      <w:r>
        <w:rPr>
          <w:i/>
          <w:noProof/>
        </w:rPr>
        <w:t>EURES</w:t>
      </w:r>
      <w:r>
        <w:rPr>
          <w:noProof/>
        </w:rPr>
        <w:t xml:space="preserve"> regulu, ir ieviests pilnīgs tiesiskais regulējums;</w:t>
      </w:r>
    </w:p>
    <w:p>
      <w:pPr>
        <w:pStyle w:val="ListParagraph"/>
        <w:widowControl w:val="0"/>
        <w:numPr>
          <w:ilvl w:val="0"/>
          <w:numId w:val="22"/>
        </w:numPr>
        <w:spacing w:beforeLines="20" w:before="48" w:after="0"/>
        <w:ind w:left="714" w:hanging="357"/>
        <w:contextualSpacing w:val="0"/>
        <w:rPr>
          <w:noProof/>
        </w:rPr>
      </w:pPr>
      <w:r>
        <w:rPr>
          <w:noProof/>
        </w:rPr>
        <w:t xml:space="preserve">visas dalībvalstis ir iecēlušas VKB un norīkojušas VND kā </w:t>
      </w:r>
      <w:r>
        <w:rPr>
          <w:i/>
          <w:noProof/>
        </w:rPr>
        <w:t>EURES</w:t>
      </w:r>
      <w:r>
        <w:rPr>
          <w:noProof/>
        </w:rPr>
        <w:t xml:space="preserve"> dalībniekus;</w:t>
      </w:r>
    </w:p>
    <w:p>
      <w:pPr>
        <w:pStyle w:val="ListParagraph"/>
        <w:widowControl w:val="0"/>
        <w:numPr>
          <w:ilvl w:val="0"/>
          <w:numId w:val="22"/>
        </w:numPr>
        <w:spacing w:beforeLines="20" w:before="48" w:after="0"/>
        <w:ind w:left="714" w:hanging="357"/>
        <w:contextualSpacing w:val="0"/>
        <w:rPr>
          <w:noProof/>
        </w:rPr>
      </w:pPr>
      <w:r>
        <w:rPr>
          <w:i/>
          <w:noProof/>
        </w:rPr>
        <w:t>EURES</w:t>
      </w:r>
      <w:r>
        <w:rPr>
          <w:noProof/>
        </w:rPr>
        <w:t xml:space="preserve"> jau ir sācis darboties kā dinamiskāks tīkls, kurā ir vairāk dalībnieku, darbību un pakalpojumu un kurā ir pastiprināta komunikācija, tostarp sociālajos plašsaziņas līdzekļos;</w:t>
      </w:r>
    </w:p>
    <w:p>
      <w:pPr>
        <w:pStyle w:val="ListParagraph"/>
        <w:widowControl w:val="0"/>
        <w:numPr>
          <w:ilvl w:val="0"/>
          <w:numId w:val="22"/>
        </w:numPr>
        <w:spacing w:beforeLines="20" w:before="48" w:after="0"/>
        <w:ind w:left="714" w:hanging="357"/>
        <w:contextualSpacing w:val="0"/>
        <w:rPr>
          <w:noProof/>
        </w:rPr>
      </w:pPr>
      <w:r>
        <w:rPr>
          <w:noProof/>
        </w:rPr>
        <w:t>turpinās pāreja uz jaunu datu apmaiņas sistēmu attiecībā uz brīvajām darbvietām un CV, pamatojoties uz to, ka ir definēti jauni formāti un standarti;</w:t>
      </w:r>
    </w:p>
    <w:p>
      <w:pPr>
        <w:pStyle w:val="ListParagraph"/>
        <w:widowControl w:val="0"/>
        <w:numPr>
          <w:ilvl w:val="0"/>
          <w:numId w:val="22"/>
        </w:numPr>
        <w:spacing w:beforeLines="20" w:before="48" w:after="0"/>
        <w:ind w:left="714" w:hanging="357"/>
        <w:contextualSpacing w:val="0"/>
        <w:rPr>
          <w:noProof/>
        </w:rPr>
      </w:pPr>
      <w:r>
        <w:rPr>
          <w:i/>
          <w:noProof/>
        </w:rPr>
        <w:t>EURES</w:t>
      </w:r>
      <w:r>
        <w:rPr>
          <w:noProof/>
        </w:rPr>
        <w:t xml:space="preserve"> ir kļuvis par zinātības centru saistībā ar jautājumiem par darbaspēka mobilitāti un par laboratoriju novatorisku mobilitātes projektu (mērķtiecīgu mobilitātes shēmu) īstenošanai; </w:t>
      </w:r>
    </w:p>
    <w:p>
      <w:pPr>
        <w:pStyle w:val="ListParagraph"/>
        <w:numPr>
          <w:ilvl w:val="0"/>
          <w:numId w:val="56"/>
        </w:numPr>
        <w:spacing w:beforeLines="20" w:before="48"/>
        <w:ind w:left="714" w:hanging="357"/>
        <w:contextualSpacing w:val="0"/>
        <w:rPr>
          <w:noProof/>
        </w:rPr>
      </w:pPr>
      <w:r>
        <w:rPr>
          <w:i/>
          <w:noProof/>
        </w:rPr>
        <w:t>EURES</w:t>
      </w:r>
      <w:r>
        <w:rPr>
          <w:noProof/>
        </w:rPr>
        <w:t xml:space="preserve"> portāls joprojām ir efektīvs Eiropas darbā iekārtošanas instruments;</w:t>
      </w:r>
    </w:p>
    <w:p>
      <w:pPr>
        <w:pStyle w:val="ListParagraph"/>
        <w:numPr>
          <w:ilvl w:val="0"/>
          <w:numId w:val="56"/>
        </w:numPr>
        <w:spacing w:beforeLines="20" w:before="48"/>
        <w:ind w:left="714" w:hanging="357"/>
        <w:contextualSpacing w:val="0"/>
        <w:rPr>
          <w:noProof/>
        </w:rPr>
      </w:pPr>
      <w:r>
        <w:rPr>
          <w:noProof/>
        </w:rPr>
        <w:t xml:space="preserve">jaunajā regulā noteiktās pārraudzības un ziņošanas prasības ir izpildītas un ļaus pilnīgāk un saskaņotāk ziņot par </w:t>
      </w:r>
      <w:r>
        <w:rPr>
          <w:i/>
          <w:noProof/>
        </w:rPr>
        <w:t>EURES</w:t>
      </w:r>
      <w:r>
        <w:rPr>
          <w:noProof/>
        </w:rPr>
        <w:t xml:space="preserve"> darbībām, tostarp par darbā iekārtošanu nākotnē. </w:t>
      </w:r>
    </w:p>
    <w:p>
      <w:pPr>
        <w:spacing w:after="200"/>
        <w:rPr>
          <w:noProof/>
        </w:rPr>
      </w:pPr>
      <w:r>
        <w:rPr>
          <w:noProof/>
        </w:rPr>
        <w:t xml:space="preserve">Tomēr vēl aizvien ir vairākas problēmas, kuras ir jānovērš gan īsākā termiņā, gan ilgtermiņā. Lai reāli paplašinātu tīklu ar jauniem dalībniekiem un partneriem, visām dalībvalstīm ir jāievieš efektīvas un pārredzamas uzņemšanas sistēmas un jādalās ar informāciju par uzņemtajām organizācijām visā tīklā. Visām dalībvalstīm ir pilnīgi jāievieš informācijas par brīvajām darbvietām un CV apmaiņas sistēma, vienlaikus nodrošinot, ka informācija par visām atbilstošajām brīvajām darbvietām un visi CV tiek savlaicīgi nosūtīti </w:t>
      </w:r>
      <w:r>
        <w:rPr>
          <w:i/>
          <w:noProof/>
        </w:rPr>
        <w:t>EURES</w:t>
      </w:r>
      <w:r>
        <w:rPr>
          <w:noProof/>
        </w:rPr>
        <w:t xml:space="preserve"> portālam un ka ir ievēroti kopīgie kvalitātes standarti. Ilgtermiņā būs jānodrošina arī atbilstošas sinerģijas ar tādām līdzīgām vai papildinošām iniciatīvām kā </w:t>
      </w:r>
      <w:r>
        <w:rPr>
          <w:i/>
          <w:noProof/>
        </w:rPr>
        <w:t>Europass2</w:t>
      </w:r>
      <w:r>
        <w:rPr>
          <w:noProof/>
        </w:rPr>
        <w:t xml:space="preserve"> un vienotā digitālā vārteja. </w:t>
      </w:r>
    </w:p>
    <w:p>
      <w:pPr>
        <w:spacing w:after="200"/>
        <w:rPr>
          <w:noProof/>
          <w:szCs w:val="24"/>
        </w:rPr>
      </w:pPr>
      <w:r>
        <w:rPr>
          <w:noProof/>
        </w:rPr>
        <w:t xml:space="preserve">Šie jautājumi tiks risināti kopā ar </w:t>
      </w:r>
      <w:r>
        <w:rPr>
          <w:noProof/>
          <w:szCs w:val="24"/>
        </w:rPr>
        <w:t xml:space="preserve">Eiropas Darba iestādes izveidi, kuru 2018. gada martā ierosināja </w:t>
      </w:r>
      <w:r>
        <w:rPr>
          <w:noProof/>
        </w:rPr>
        <w:t xml:space="preserve">Komisija un par ko Eiropas Parlaments un Padome 2019. gada februārī </w:t>
      </w:r>
      <w:r>
        <w:rPr>
          <w:noProof/>
          <w:szCs w:val="24"/>
        </w:rPr>
        <w:t xml:space="preserve">panāca pagaidu vienošanos. </w:t>
      </w:r>
      <w:r>
        <w:rPr>
          <w:noProof/>
        </w:rPr>
        <w:t xml:space="preserve">Vidējā termiņā par </w:t>
      </w:r>
      <w:r>
        <w:rPr>
          <w:i/>
          <w:noProof/>
        </w:rPr>
        <w:t>EURES</w:t>
      </w:r>
      <w:r>
        <w:rPr>
          <w:noProof/>
        </w:rPr>
        <w:t xml:space="preserve"> koordinēšanas darbībām būs atbildīga </w:t>
      </w:r>
      <w:r>
        <w:rPr>
          <w:noProof/>
          <w:szCs w:val="24"/>
        </w:rPr>
        <w:t>EDI, kuras pilna darbībspēja tiktu sasniegta 2024. gadā</w:t>
      </w:r>
      <w:r>
        <w:rPr>
          <w:noProof/>
        </w:rPr>
        <w:t xml:space="preserve">. </w:t>
      </w:r>
      <w:r>
        <w:rPr>
          <w:noProof/>
          <w:szCs w:val="24"/>
        </w:rPr>
        <w:t xml:space="preserve">Tas tiks panākts, oficiāli pārceļot </w:t>
      </w:r>
      <w:r>
        <w:rPr>
          <w:i/>
          <w:noProof/>
          <w:szCs w:val="24"/>
        </w:rPr>
        <w:t>EURES</w:t>
      </w:r>
      <w:r>
        <w:rPr>
          <w:noProof/>
          <w:szCs w:val="24"/>
        </w:rPr>
        <w:t xml:space="preserve"> </w:t>
      </w:r>
      <w:r>
        <w:rPr>
          <w:noProof/>
        </w:rPr>
        <w:t xml:space="preserve">Eiropas Koordinācijas biroju (EKB) </w:t>
      </w:r>
      <w:r>
        <w:rPr>
          <w:noProof/>
          <w:szCs w:val="24"/>
        </w:rPr>
        <w:t>uz EDI.</w:t>
      </w:r>
    </w:p>
    <w:p>
      <w:pPr>
        <w:spacing w:after="200"/>
        <w:rPr>
          <w:noProof/>
        </w:rPr>
      </w:pPr>
      <w:r>
        <w:rPr>
          <w:noProof/>
          <w:szCs w:val="24"/>
        </w:rPr>
        <w:t xml:space="preserve">Esot EDI paspārnē, EKB stiprinās </w:t>
      </w:r>
      <w:r>
        <w:rPr>
          <w:i/>
          <w:noProof/>
          <w:szCs w:val="24"/>
        </w:rPr>
        <w:t>EURES</w:t>
      </w:r>
      <w:r>
        <w:rPr>
          <w:noProof/>
          <w:szCs w:val="24"/>
        </w:rPr>
        <w:t xml:space="preserve"> nozīmi taisnīgas mobilitātes nosacījumu sekmēšanā. Tādējādi tiks gūts labumu no ES </w:t>
      </w:r>
      <w:r>
        <w:rPr>
          <w:noProof/>
        </w:rPr>
        <w:t xml:space="preserve">darbaspēka </w:t>
      </w:r>
      <w:r>
        <w:rPr>
          <w:noProof/>
          <w:szCs w:val="24"/>
        </w:rPr>
        <w:t>mobilitātei veltītas visaptverošas darbības struktūras, kā arī no dažādu nozaru specializētām zināšanām, kas var sniegt idejas par turpmāk risināmiem jautājumiem vai inovatīvām politikas pieejām un rīkiem. Savukārt, EKB sniegs ieguldījumu iestādes darbībā, izmantojot savas zināšanas, tīklu un rīkus.</w:t>
      </w:r>
    </w:p>
    <w:p>
      <w:pPr>
        <w:pStyle w:val="Heading2"/>
        <w:rPr>
          <w:noProof/>
        </w:rPr>
      </w:pPr>
      <w:bookmarkStart w:id="114" w:name="_Toc534893477"/>
      <w:bookmarkStart w:id="115" w:name="_Toc765090"/>
      <w:r>
        <w:rPr>
          <w:noProof/>
        </w:rPr>
        <w:t>Ieteikumi dalībvalstīm nākamajam pārskata periodam</w:t>
      </w:r>
      <w:bookmarkEnd w:id="114"/>
      <w:bookmarkEnd w:id="115"/>
    </w:p>
    <w:p>
      <w:pPr>
        <w:keepNext/>
        <w:widowControl w:val="0"/>
        <w:rPr>
          <w:noProof/>
          <w:color w:val="000000" w:themeColor="text1"/>
        </w:rPr>
      </w:pPr>
      <w:r>
        <w:rPr>
          <w:noProof/>
          <w:color w:val="000000" w:themeColor="text1"/>
        </w:rPr>
        <w:t xml:space="preserve">Pašlaik dalībvalstu prioritātes nākamajam pārskata periodam ir šādas: </w:t>
      </w:r>
      <w:r>
        <w:rPr>
          <w:b/>
          <w:noProof/>
          <w:color w:val="000000" w:themeColor="text1"/>
        </w:rPr>
        <w:t>finansēšanas shēmas, dialogs</w:t>
      </w:r>
      <w:r>
        <w:rPr>
          <w:noProof/>
          <w:color w:val="000000" w:themeColor="text1"/>
        </w:rPr>
        <w:t xml:space="preserve"> un </w:t>
      </w:r>
      <w:r>
        <w:rPr>
          <w:b/>
          <w:noProof/>
          <w:color w:val="000000" w:themeColor="text1"/>
        </w:rPr>
        <w:t>sadarbība, digitālās darbības, informācijas apmaiņa</w:t>
      </w:r>
      <w:r>
        <w:rPr>
          <w:noProof/>
          <w:color w:val="000000" w:themeColor="text1"/>
        </w:rPr>
        <w:t xml:space="preserve"> un </w:t>
      </w:r>
      <w:r>
        <w:rPr>
          <w:b/>
          <w:noProof/>
          <w:color w:val="000000" w:themeColor="text1"/>
        </w:rPr>
        <w:t>pārraudzības un izvērtēšanas metodes</w:t>
      </w:r>
      <w:r>
        <w:rPr>
          <w:noProof/>
          <w:color w:val="000000" w:themeColor="text1"/>
        </w:rPr>
        <w:t xml:space="preserve">. </w:t>
      </w:r>
    </w:p>
    <w:p>
      <w:pPr>
        <w:widowControl w:val="0"/>
        <w:rPr>
          <w:noProof/>
          <w:color w:val="000000" w:themeColor="text1"/>
        </w:rPr>
      </w:pPr>
      <w:r>
        <w:rPr>
          <w:noProof/>
          <w:color w:val="000000" w:themeColor="text1"/>
        </w:rPr>
        <w:t xml:space="preserve">Lai </w:t>
      </w:r>
      <w:r>
        <w:rPr>
          <w:i/>
          <w:noProof/>
          <w:color w:val="000000" w:themeColor="text1"/>
        </w:rPr>
        <w:t>EURES</w:t>
      </w:r>
      <w:r>
        <w:rPr>
          <w:noProof/>
          <w:color w:val="000000" w:themeColor="text1"/>
        </w:rPr>
        <w:t xml:space="preserve"> tīkls un 2016. gadā veiktā reforma darbotos, ir ļoti svarīgi, lai </w:t>
      </w:r>
      <w:r>
        <w:rPr>
          <w:b/>
          <w:noProof/>
          <w:color w:val="000000" w:themeColor="text1"/>
        </w:rPr>
        <w:t>dalībvalstis nodrošinātu VKB visus cilvēku un IKT resursus, kas vajadzīgi</w:t>
      </w:r>
      <w:r>
        <w:rPr>
          <w:noProof/>
          <w:color w:val="000000" w:themeColor="text1"/>
        </w:rPr>
        <w:t xml:space="preserve"> to uzdevumu izpildei, kā arī visiem VKB ir jāiekļaujas Regulā paredzētajos </w:t>
      </w:r>
      <w:r>
        <w:rPr>
          <w:b/>
          <w:noProof/>
          <w:color w:val="000000" w:themeColor="text1"/>
        </w:rPr>
        <w:t>transponēšanas un īstenošanas periodos</w:t>
      </w:r>
      <w:r>
        <w:rPr>
          <w:noProof/>
          <w:color w:val="000000" w:themeColor="text1"/>
        </w:rPr>
        <w:t xml:space="preserve">, </w:t>
      </w:r>
      <w:r>
        <w:rPr>
          <w:b/>
          <w:noProof/>
          <w:color w:val="000000" w:themeColor="text1"/>
        </w:rPr>
        <w:t>vienlaikus ievērojot apstiprinātos ziņojumu iesniegšanas</w:t>
      </w:r>
      <w:r>
        <w:rPr>
          <w:noProof/>
          <w:color w:val="000000" w:themeColor="text1"/>
        </w:rPr>
        <w:t xml:space="preserve">, pārraudzības un citu kopīgo tīkla uzdevumu izpildes </w:t>
      </w:r>
      <w:r>
        <w:rPr>
          <w:b/>
          <w:noProof/>
          <w:color w:val="000000" w:themeColor="text1"/>
        </w:rPr>
        <w:t>datumus</w:t>
      </w:r>
      <w:r>
        <w:rPr>
          <w:noProof/>
          <w:color w:val="000000" w:themeColor="text1"/>
        </w:rPr>
        <w:t>.</w:t>
      </w:r>
    </w:p>
    <w:p>
      <w:pPr>
        <w:widowControl w:val="0"/>
        <w:rPr>
          <w:noProof/>
        </w:rPr>
      </w:pPr>
      <w:r>
        <w:rPr>
          <w:b/>
          <w:noProof/>
          <w:color w:val="000000" w:themeColor="text1"/>
        </w:rPr>
        <w:t xml:space="preserve">Dalībvalstu veikta ar </w:t>
      </w:r>
      <w:r>
        <w:rPr>
          <w:b/>
          <w:i/>
          <w:noProof/>
          <w:color w:val="000000" w:themeColor="text1"/>
        </w:rPr>
        <w:t>EURES</w:t>
      </w:r>
      <w:r>
        <w:rPr>
          <w:b/>
          <w:noProof/>
          <w:color w:val="000000" w:themeColor="text1"/>
        </w:rPr>
        <w:t xml:space="preserve"> saistīto mobilitātes shēmu pārskatīšana un labāka integrācija</w:t>
      </w:r>
      <w:r>
        <w:rPr>
          <w:noProof/>
          <w:color w:val="000000" w:themeColor="text1"/>
        </w:rPr>
        <w:t xml:space="preserve"> — gan attiecībā uz finansēšanas mehānismu, gan plānošanu un kopīgu ziņošanu — labvēlīgi ietekmētu visu </w:t>
      </w:r>
      <w:r>
        <w:rPr>
          <w:i/>
          <w:noProof/>
          <w:color w:val="000000" w:themeColor="text1"/>
        </w:rPr>
        <w:t>EURES</w:t>
      </w:r>
      <w:r>
        <w:rPr>
          <w:noProof/>
          <w:color w:val="000000" w:themeColor="text1"/>
        </w:rPr>
        <w:t xml:space="preserve"> tīklu un uzlabotu to </w:t>
      </w:r>
      <w:r>
        <w:rPr>
          <w:i/>
          <w:noProof/>
          <w:color w:val="000000" w:themeColor="text1"/>
        </w:rPr>
        <w:t>EURES</w:t>
      </w:r>
      <w:r>
        <w:rPr>
          <w:noProof/>
          <w:color w:val="000000" w:themeColor="text1"/>
        </w:rPr>
        <w:t xml:space="preserve"> darbinieku uztveri, kuri veic administratīvos uzdevumus. </w:t>
      </w:r>
      <w:r>
        <w:rPr>
          <w:noProof/>
        </w:rPr>
        <w:t xml:space="preserve">Turklāt </w:t>
      </w:r>
      <w:r>
        <w:rPr>
          <w:b/>
          <w:noProof/>
        </w:rPr>
        <w:t xml:space="preserve">darbaspēka trūkuma un pārpalikuma noteikšana citās </w:t>
      </w:r>
      <w:r>
        <w:rPr>
          <w:b/>
          <w:i/>
          <w:noProof/>
        </w:rPr>
        <w:t>EURES</w:t>
      </w:r>
      <w:r>
        <w:rPr>
          <w:b/>
          <w:noProof/>
        </w:rPr>
        <w:t xml:space="preserve"> dalībvalstīs</w:t>
      </w:r>
      <w:r>
        <w:rPr>
          <w:noProof/>
        </w:rPr>
        <w:t xml:space="preserve"> ir nozīmīgs veids, kā atbalstīt kopīgu darbā pieņemšanas pasākumu izstrādi tīklā. Uzlabojumi ir iespējami, saskaņojot darbības un pastiprinot sadarbību starp valstīm ar savstarpēji papildinošu informāciju par darbaspēka trūkumu un pārpalikumu.</w:t>
      </w:r>
    </w:p>
    <w:p>
      <w:pPr>
        <w:widowControl w:val="0"/>
        <w:rPr>
          <w:noProof/>
          <w:color w:val="000000" w:themeColor="text1"/>
        </w:rPr>
      </w:pPr>
      <w:r>
        <w:rPr>
          <w:noProof/>
          <w:color w:val="000000" w:themeColor="text1"/>
        </w:rPr>
        <w:t xml:space="preserve">Daži VKB ir norādījuši, ka tie pašreizējos apstākļos </w:t>
      </w:r>
      <w:r>
        <w:rPr>
          <w:b/>
          <w:noProof/>
          <w:color w:val="000000" w:themeColor="text1"/>
        </w:rPr>
        <w:t xml:space="preserve">nevar pilnīgi garantēt </w:t>
      </w:r>
      <w:r>
        <w:rPr>
          <w:noProof/>
          <w:color w:val="000000" w:themeColor="text1"/>
        </w:rPr>
        <w:t xml:space="preserve">to </w:t>
      </w:r>
      <w:r>
        <w:rPr>
          <w:b/>
          <w:noProof/>
          <w:color w:val="000000" w:themeColor="text1"/>
        </w:rPr>
        <w:t>CV un brīvo darbvietu kvalitāti</w:t>
      </w:r>
      <w:r>
        <w:rPr>
          <w:noProof/>
          <w:color w:val="000000" w:themeColor="text1"/>
        </w:rPr>
        <w:t xml:space="preserve">, datus par kuriem ir iesnieguši jaunie </w:t>
      </w:r>
      <w:r>
        <w:rPr>
          <w:i/>
          <w:noProof/>
          <w:color w:val="000000" w:themeColor="text1"/>
        </w:rPr>
        <w:t>EURES</w:t>
      </w:r>
      <w:r>
        <w:rPr>
          <w:noProof/>
          <w:color w:val="000000" w:themeColor="text1"/>
        </w:rPr>
        <w:t xml:space="preserve"> dalībnieki un partneri. Tāpēc VKB būtu daudz ātrāk jāpieņem savas valsts IT sistēmas un jāvienojas par konkrētiem kvalitātes standartiem, lai </w:t>
      </w:r>
      <w:r>
        <w:rPr>
          <w:b/>
          <w:noProof/>
          <w:color w:val="000000" w:themeColor="text1"/>
        </w:rPr>
        <w:t>uzlabotu datu nodošanu</w:t>
      </w:r>
      <w:r>
        <w:rPr>
          <w:noProof/>
          <w:color w:val="000000" w:themeColor="text1"/>
        </w:rPr>
        <w:t xml:space="preserve">, ņemot vērā visas ES datu aizsardzības prasības. Arī dalībvalstīm būtu pilnīgi jāizmanto ar </w:t>
      </w:r>
      <w:r>
        <w:rPr>
          <w:i/>
          <w:noProof/>
          <w:color w:val="000000" w:themeColor="text1"/>
        </w:rPr>
        <w:t>EURES</w:t>
      </w:r>
      <w:r>
        <w:rPr>
          <w:noProof/>
          <w:color w:val="000000" w:themeColor="text1"/>
        </w:rPr>
        <w:t xml:space="preserve"> saistītie dati, lai uzlabotu un papildinātu savus valsts pakalpojumus, piemēram, </w:t>
      </w:r>
      <w:r>
        <w:rPr>
          <w:b/>
          <w:noProof/>
          <w:color w:val="000000" w:themeColor="text1"/>
        </w:rPr>
        <w:t xml:space="preserve">aktīvāk izmantojot </w:t>
      </w:r>
      <w:r>
        <w:rPr>
          <w:b/>
          <w:i/>
          <w:noProof/>
          <w:color w:val="000000" w:themeColor="text1"/>
        </w:rPr>
        <w:t>EURES</w:t>
      </w:r>
      <w:r>
        <w:rPr>
          <w:b/>
          <w:noProof/>
          <w:color w:val="000000" w:themeColor="text1"/>
        </w:rPr>
        <w:t xml:space="preserve"> lietojumprogrammas saskarnes</w:t>
      </w:r>
      <w:r>
        <w:rPr>
          <w:noProof/>
          <w:color w:val="000000" w:themeColor="text1"/>
        </w:rPr>
        <w:t xml:space="preserve">. </w:t>
      </w:r>
    </w:p>
    <w:p>
      <w:pPr>
        <w:widowControl w:val="0"/>
        <w:spacing w:after="160" w:line="259" w:lineRule="auto"/>
        <w:rPr>
          <w:noProof/>
        </w:rPr>
      </w:pPr>
      <w:r>
        <w:rPr>
          <w:b/>
          <w:i/>
          <w:noProof/>
        </w:rPr>
        <w:t>EURES</w:t>
      </w:r>
      <w:r>
        <w:rPr>
          <w:b/>
          <w:noProof/>
        </w:rPr>
        <w:t xml:space="preserve"> tīkla paplašināšana</w:t>
      </w:r>
      <w:r>
        <w:rPr>
          <w:noProof/>
        </w:rPr>
        <w:t xml:space="preserve"> ir jāveicina, VKB pieņemot piemērotas uzņemšanas sistēmas un ieviešot kopīgu uzvedības kodeksu, lai palielinātu </w:t>
      </w:r>
      <w:r>
        <w:rPr>
          <w:i/>
          <w:noProof/>
        </w:rPr>
        <w:t>EURES</w:t>
      </w:r>
      <w:r>
        <w:rPr>
          <w:noProof/>
        </w:rPr>
        <w:t xml:space="preserve"> dalībnieku un partneru pašreizējo spektru. Turklāt dalībvalstīm ir </w:t>
      </w:r>
      <w:r>
        <w:rPr>
          <w:b/>
          <w:noProof/>
        </w:rPr>
        <w:t>jāstiprina sadarbība</w:t>
      </w:r>
      <w:r>
        <w:rPr>
          <w:noProof/>
        </w:rPr>
        <w:t xml:space="preserve"> </w:t>
      </w:r>
      <w:r>
        <w:rPr>
          <w:i/>
          <w:noProof/>
        </w:rPr>
        <w:t>EURES</w:t>
      </w:r>
      <w:r>
        <w:rPr>
          <w:noProof/>
        </w:rPr>
        <w:t xml:space="preserve"> tīklā (piem., ar citiem VKB, PRP, mērķtiecīgajām mobilitātes shēmām) un jāturpina uzrunāt pēc iespējas plašāku </w:t>
      </w:r>
      <w:r>
        <w:rPr>
          <w:i/>
          <w:noProof/>
        </w:rPr>
        <w:t>EURES</w:t>
      </w:r>
      <w:r>
        <w:rPr>
          <w:noProof/>
        </w:rPr>
        <w:t xml:space="preserve"> ieinteresēto personu loku, piemēram, sociālos partnerus, apmācības un izglītības nodrošinātājus un citus ES informācijas un pakalpojumu tīklus.</w:t>
      </w:r>
    </w:p>
    <w:p>
      <w:pPr>
        <w:widowControl w:val="0"/>
        <w:spacing w:after="160" w:line="259" w:lineRule="auto"/>
        <w:rPr>
          <w:noProof/>
          <w:color w:val="000000" w:themeColor="text1"/>
        </w:rPr>
      </w:pPr>
      <w:r>
        <w:rPr>
          <w:noProof/>
        </w:rPr>
        <w:t xml:space="preserve">Dalībvalstis tiek mudinātas </w:t>
      </w:r>
      <w:r>
        <w:rPr>
          <w:b/>
          <w:noProof/>
        </w:rPr>
        <w:t>pilnīgi izmantot sabiedrisko attiecību un informēšanas instrumentus un pamatnostādnes</w:t>
      </w:r>
      <w:r>
        <w:rPr>
          <w:noProof/>
        </w:rPr>
        <w:t xml:space="preserve">, kas paredzēti Eiropas līmenī, un saskaņot savas iekšējās un ārējās komunikācijas darbības saistībā ar </w:t>
      </w:r>
      <w:r>
        <w:rPr>
          <w:i/>
          <w:noProof/>
        </w:rPr>
        <w:t>EURES</w:t>
      </w:r>
      <w:r>
        <w:rPr>
          <w:noProof/>
        </w:rPr>
        <w:t>.</w:t>
      </w:r>
    </w:p>
    <w:p>
      <w:pPr>
        <w:pStyle w:val="Heading2"/>
        <w:rPr>
          <w:noProof/>
        </w:rPr>
      </w:pPr>
      <w:bookmarkStart w:id="116" w:name="_Toc534893478"/>
      <w:bookmarkStart w:id="117" w:name="_Toc765091"/>
      <w:r>
        <w:rPr>
          <w:noProof/>
        </w:rPr>
        <w:t>Darbības, kuras jāturpina Eiropas Komisijai</w:t>
      </w:r>
      <w:bookmarkEnd w:id="116"/>
      <w:bookmarkEnd w:id="117"/>
      <w:r>
        <w:rPr>
          <w:noProof/>
        </w:rPr>
        <w:t xml:space="preserve"> </w:t>
      </w:r>
    </w:p>
    <w:p>
      <w:pPr>
        <w:widowControl w:val="0"/>
        <w:rPr>
          <w:noProof/>
        </w:rPr>
      </w:pPr>
      <w:r>
        <w:rPr>
          <w:b/>
          <w:noProof/>
        </w:rPr>
        <w:t>Rādītāju izpildes novērtēšanas sistēmas pilnīga izvēršana un turpmāka analīze</w:t>
      </w:r>
      <w:r>
        <w:rPr>
          <w:noProof/>
        </w:rPr>
        <w:t xml:space="preserve">, kā arī citu </w:t>
      </w:r>
      <w:r>
        <w:rPr>
          <w:b/>
          <w:i/>
          <w:noProof/>
        </w:rPr>
        <w:t>EURES</w:t>
      </w:r>
      <w:r>
        <w:rPr>
          <w:b/>
          <w:noProof/>
        </w:rPr>
        <w:t xml:space="preserve"> portāla uzlabotu iezīmju</w:t>
      </w:r>
      <w:r>
        <w:rPr>
          <w:noProof/>
        </w:rPr>
        <w:t xml:space="preserve"> izstrāde būs EKB galvenās darbības jomas nākamajā pārskata periodā. EKB būtu jāturpina sniegt </w:t>
      </w:r>
      <w:r>
        <w:rPr>
          <w:b/>
          <w:noProof/>
        </w:rPr>
        <w:t>norādījumi un konsultācijas</w:t>
      </w:r>
      <w:r>
        <w:rPr>
          <w:noProof/>
        </w:rPr>
        <w:t xml:space="preserve"> dalībvalstīm par Regulas prasību izpildi un būtu jāapspriež līdzekļi, ar kuriem var piemeklēt risinājumus dalībvalstu īpašajām situācijām vai administratīvajai kārtībai. Tas varētu ietvert </w:t>
      </w:r>
      <w:r>
        <w:rPr>
          <w:b/>
          <w:noProof/>
        </w:rPr>
        <w:t>lietotājam draudzīgākas</w:t>
      </w:r>
      <w:r>
        <w:rPr>
          <w:noProof/>
        </w:rPr>
        <w:t xml:space="preserve"> </w:t>
      </w:r>
      <w:r>
        <w:rPr>
          <w:i/>
          <w:noProof/>
        </w:rPr>
        <w:t>EURES</w:t>
      </w:r>
      <w:r>
        <w:rPr>
          <w:noProof/>
        </w:rPr>
        <w:t xml:space="preserve"> ekstraneta un ziņošanas veidņu elektroniskās versijas. Lietotājam draudzīgākas ziņošanas veidnes varētu ietvert, piemēram, iepriekš noteiktus laukus un nolaižamu sarakstu sadaļas, pamatojoties uz RINS rādītājiem. Tas nodrošinātu saskaņotību un samazinātu VKB administratīvo slogu, vienlaikus veicinot datu ieguvi un analīzi. </w:t>
      </w:r>
    </w:p>
    <w:p>
      <w:pPr>
        <w:widowControl w:val="0"/>
        <w:rPr>
          <w:noProof/>
          <w:color w:val="000000" w:themeColor="text1"/>
        </w:rPr>
      </w:pPr>
      <w:r>
        <w:rPr>
          <w:noProof/>
        </w:rPr>
        <w:t xml:space="preserve">Nākamajā pārskata periodā kā EKB prioritāte būtu jāsaglabā </w:t>
      </w:r>
      <w:r>
        <w:rPr>
          <w:b/>
          <w:noProof/>
        </w:rPr>
        <w:t>uzņemšanas sistēmu saskaņošana un vadlīniju sagatavošana</w:t>
      </w:r>
      <w:r>
        <w:rPr>
          <w:noProof/>
        </w:rPr>
        <w:t xml:space="preserve">. </w:t>
      </w:r>
      <w:r>
        <w:rPr>
          <w:noProof/>
          <w:color w:val="000000" w:themeColor="text1"/>
        </w:rPr>
        <w:t xml:space="preserve">VKB uzsver to, ka tie </w:t>
      </w:r>
      <w:r>
        <w:rPr>
          <w:b/>
          <w:noProof/>
          <w:color w:val="000000" w:themeColor="text1"/>
        </w:rPr>
        <w:t>novērtē sadarbību ar EKB</w:t>
      </w:r>
      <w:r>
        <w:rPr>
          <w:noProof/>
          <w:color w:val="000000" w:themeColor="text1"/>
        </w:rPr>
        <w:t xml:space="preserve">, jo īpaši gatavojot kopīgus dokumentus un savstarpējas mācīšanās pasākumus, un aicina turpināt šo labo praksi. Tomēr tiek sagaidīts, ka EKB sniegs lielāku atbalstu VKB, palielinot </w:t>
      </w:r>
      <w:r>
        <w:rPr>
          <w:i/>
          <w:noProof/>
          <w:color w:val="000000" w:themeColor="text1"/>
        </w:rPr>
        <w:t>EURES</w:t>
      </w:r>
      <w:r>
        <w:rPr>
          <w:noProof/>
          <w:color w:val="000000" w:themeColor="text1"/>
        </w:rPr>
        <w:t xml:space="preserve"> atpazīstamību darba meklētāju un darba devēju vidū valsts līmenī. To varētu panākt, vēlreiz izveidojot </w:t>
      </w:r>
      <w:r>
        <w:rPr>
          <w:b/>
          <w:noProof/>
          <w:color w:val="000000" w:themeColor="text1"/>
        </w:rPr>
        <w:t>informācijas un komunikācijas darba grupu</w:t>
      </w:r>
      <w:r>
        <w:rPr>
          <w:noProof/>
          <w:color w:val="000000" w:themeColor="text1"/>
        </w:rPr>
        <w:t xml:space="preserve">, kurā VKB varētu apmainīties ar paraugpraksi. Vēl viens attīstības punkts ir </w:t>
      </w:r>
      <w:r>
        <w:rPr>
          <w:b/>
          <w:noProof/>
          <w:color w:val="000000" w:themeColor="text1"/>
        </w:rPr>
        <w:t>sinerģijas</w:t>
      </w:r>
      <w:r>
        <w:rPr>
          <w:noProof/>
          <w:color w:val="000000" w:themeColor="text1"/>
        </w:rPr>
        <w:t xml:space="preserve"> un nepieciešamība samazināt pārklāšanos ar citām Komisijas iniciatīvām un ES tīkliem, jo īpaši </w:t>
      </w:r>
      <w:r>
        <w:rPr>
          <w:i/>
          <w:noProof/>
          <w:color w:val="000000" w:themeColor="text1"/>
        </w:rPr>
        <w:t>EUROPASS2</w:t>
      </w:r>
      <w:r>
        <w:rPr>
          <w:noProof/>
          <w:color w:val="000000" w:themeColor="text1"/>
        </w:rPr>
        <w:t xml:space="preserve"> un vienoto digitālo vārteju.</w:t>
      </w:r>
    </w:p>
    <w:p>
      <w:pPr>
        <w:widowControl w:val="0"/>
        <w:rPr>
          <w:noProof/>
        </w:rPr>
      </w:pPr>
      <w:r>
        <w:rPr>
          <w:b/>
          <w:noProof/>
        </w:rPr>
        <w:t>Pārrobežu darbību integrācija</w:t>
      </w:r>
      <w:r>
        <w:rPr>
          <w:noProof/>
        </w:rPr>
        <w:t xml:space="preserve"> un </w:t>
      </w:r>
      <w:r>
        <w:rPr>
          <w:b/>
          <w:noProof/>
        </w:rPr>
        <w:t>sistemātiska informācija par</w:t>
      </w:r>
      <w:r>
        <w:rPr>
          <w:noProof/>
        </w:rPr>
        <w:t xml:space="preserve"> PRP </w:t>
      </w:r>
      <w:r>
        <w:rPr>
          <w:b/>
          <w:noProof/>
        </w:rPr>
        <w:t>darbībām</w:t>
      </w:r>
      <w:r>
        <w:rPr>
          <w:noProof/>
        </w:rPr>
        <w:t xml:space="preserve"> būtu lietderīga saistībā ar paraugprakses apmaiņu un darba tirgus analīzi pārrobežu reģionos. Kopumā </w:t>
      </w:r>
      <w:r>
        <w:rPr>
          <w:b/>
          <w:noProof/>
        </w:rPr>
        <w:t>sistemātiska informācijas apmaiņa</w:t>
      </w:r>
      <w:r>
        <w:rPr>
          <w:noProof/>
        </w:rPr>
        <w:t xml:space="preserve"> joprojām ir nepietiekama vairākos PRP darbību aspektos un šis jautājums tiek risināts, izstrādājot PRP dokumentus. Pamatnostādnes pa to, kā vislabāk iekļaut PRP </w:t>
      </w:r>
      <w:r>
        <w:rPr>
          <w:i/>
          <w:noProof/>
        </w:rPr>
        <w:t>EURES</w:t>
      </w:r>
      <w:r>
        <w:rPr>
          <w:noProof/>
        </w:rPr>
        <w:t xml:space="preserve"> tīklā un RINS, būtiski uzlabotu pārraudzības un datu apmaiņas kvalitāti.</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765092"/>
      <w:r>
        <w:rPr>
          <w:b/>
          <w:smallCaps/>
          <w:noProof/>
        </w:rPr>
        <w:t>Pielikums. Atbilstošie rādītāji</w:t>
      </w:r>
      <w:bookmarkEnd w:id="118"/>
      <w:bookmarkEnd w:id="119"/>
    </w:p>
    <w:p>
      <w:pPr>
        <w:pStyle w:val="Caption"/>
        <w:widowControl w:val="0"/>
        <w:spacing w:beforeLines="60" w:before="144" w:afterLines="60" w:after="144"/>
        <w:jc w:val="center"/>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attēls. EURES padomdevēju skaits uz 100 000 iedzīvotāju darbspējīgā vecumā (20–64 gadi) 2017. gadā</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Avots: EURES portāls — Vienotā tirgus rezultātu apkopojums par 2017. gadu.</w:t>
      </w:r>
    </w:p>
    <w:p>
      <w:pPr>
        <w:pStyle w:val="Caption"/>
        <w:widowControl w:val="0"/>
        <w:spacing w:beforeLines="60" w:before="144" w:afterLines="60" w:after="144"/>
        <w:jc w:val="center"/>
        <w:rPr>
          <w:noProof/>
          <w:szCs w:val="22"/>
        </w:rPr>
      </w:pP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attēls. EURES padomdevēju un līdzīgu darbinieku skaits ES līmenī 2017. gadā</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Avots: EKB — Vienotā tirgus rezultātu apkopojums par 2017. gadu.</w:t>
      </w:r>
    </w:p>
    <w:p>
      <w:pPr>
        <w:spacing w:after="0"/>
        <w:jc w:val="left"/>
        <w:rPr>
          <w:i/>
          <w:noProof/>
          <w:sz w:val="22"/>
        </w:rPr>
      </w:pPr>
      <w:r>
        <w:rPr>
          <w:noProof/>
        </w:rPr>
        <w:br w:type="page"/>
      </w:r>
    </w:p>
    <w:p>
      <w:pPr>
        <w:pStyle w:val="Caption"/>
        <w:widowControl w:val="0"/>
        <w:jc w:val="center"/>
        <w:rPr>
          <w:noProof/>
        </w:rPr>
      </w:pP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tabula. EURES portālā reģistrētie darba meklētāji</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EURES dzīvesvietas valsts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Darba meklētāji, kuri paši reģistrējušies EURES portālā (2018. gada pirmajā pusgadā)</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i/>
          <w:noProof/>
          <w:sz w:val="18"/>
        </w:rPr>
      </w:pPr>
    </w:p>
    <w:p>
      <w:pPr>
        <w:widowControl w:val="0"/>
        <w:autoSpaceDE w:val="0"/>
        <w:autoSpaceDN w:val="0"/>
        <w:adjustRightInd w:val="0"/>
        <w:spacing w:before="240" w:afterLines="60" w:after="144"/>
        <w:jc w:val="center"/>
        <w:rPr>
          <w:noProof/>
        </w:rPr>
      </w:pPr>
      <w:r>
        <w:rPr>
          <w:i/>
          <w:noProof/>
          <w:sz w:val="18"/>
        </w:rPr>
        <w:t>Avots: EURES rādītāju izpildes novērtēšanas sistēmas ziņojums par 2018. gada pirmo pusgadu un EURES portāls (atzīmēts ar “*”).</w:t>
      </w:r>
      <w:r>
        <w:rPr>
          <w:noProof/>
        </w:rPr>
        <w:t xml:space="preserve"> </w:t>
      </w:r>
    </w:p>
    <w:p>
      <w:pPr>
        <w:pStyle w:val="Caption"/>
        <w:widowControl w:val="0"/>
        <w:spacing w:after="120"/>
        <w:jc w:val="center"/>
        <w:rPr>
          <w:noProof/>
        </w:rPr>
      </w:pPr>
      <w:r>
        <w:rPr>
          <w:noProof/>
        </w:rPr>
        <w:t xml:space="preserv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attēls. Galvenās nosūtītājas valstis (no kurām izceļojuši vismaz 50 000 valstspiederīgo) un izmaiņas salīdzinājumā ar 2014. gadu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Dzīvesvietas valsts</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Izceļojušie valstspiederīgie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(galvenās nosūtītājas valstis)</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Avots: </w:t>
      </w:r>
      <w:r>
        <w:rPr>
          <w:i/>
          <w:noProof/>
          <w:sz w:val="18"/>
        </w:rPr>
        <w:t>2017. gada ziņojums par darbaspēka mobilitāti ES iekšienē.</w:t>
      </w:r>
    </w:p>
    <w:p>
      <w:pPr>
        <w:pStyle w:val="Caption"/>
        <w:widowControl w:val="0"/>
        <w:jc w:val="center"/>
        <w:rPr>
          <w:noProof/>
        </w:rPr>
      </w:pP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attēls. Mobilitātes ES iekšienē sastāvs sadalījumā pa dažādiem veidiem, ES-28 pilsoņi ES-28 valstīs 2016. gadā</w:t>
      </w:r>
    </w:p>
    <w:tbl>
      <w:tblPr>
        <w:tblStyle w:val="ECTableStyle"/>
        <w:tblW w:w="0" w:type="auto"/>
        <w:tblLook w:val="04A0" w:firstRow="1" w:lastRow="0" w:firstColumn="1" w:lastColumn="0" w:noHBand="0" w:noVBand="1"/>
      </w:tblPr>
      <w:tblGrid>
        <w:gridCol w:w="7098"/>
        <w:gridCol w:w="1736"/>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Mobilitātes veids</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Apmērs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ES-28 iedzīvotāji darbspējīgā vecumā</w:t>
            </w:r>
            <w:r>
              <w:rPr>
                <w:rFonts w:ascii="Times New Roman" w:hAnsi="Times New Roman" w:cs="Times New Roman"/>
                <w:noProof/>
                <w:sz w:val="22"/>
                <w:szCs w:val="22"/>
              </w:rPr>
              <w:t xml:space="preserve"> (20–64 gadi), </w:t>
            </w:r>
            <w:r>
              <w:rPr>
                <w:rFonts w:ascii="Times New Roman" w:hAnsi="Times New Roman" w:cs="Times New Roman"/>
                <w:b/>
                <w:noProof/>
                <w:sz w:val="22"/>
                <w:szCs w:val="22"/>
              </w:rPr>
              <w:t>kas pārcēlušies “ilgtermiņā”</w:t>
            </w:r>
            <w:r>
              <w:rPr>
                <w:rFonts w:ascii="Times New Roman" w:hAnsi="Times New Roman" w:cs="Times New Roman"/>
                <w:noProof/>
                <w:sz w:val="22"/>
                <w:szCs w:val="22"/>
              </w:rPr>
              <w:t xml:space="preserve"> un dzīvo ES-28 valstīs (</w:t>
            </w:r>
            <w:r>
              <w:rPr>
                <w:rFonts w:ascii="Times New Roman" w:hAnsi="Times New Roman" w:cs="Times New Roman"/>
                <w:i/>
                <w:noProof/>
                <w:sz w:val="22"/>
                <w:szCs w:val="22"/>
              </w:rPr>
              <w:t>Eurostat</w:t>
            </w:r>
            <w:r>
              <w:rPr>
                <w:rFonts w:ascii="Times New Roman" w:hAnsi="Times New Roman" w:cs="Times New Roman"/>
                <w:noProof/>
                <w:sz w:val="22"/>
                <w:szCs w:val="22"/>
              </w:rPr>
              <w:t xml:space="preserve"> demogrāfiskie rādītāji)</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miljoni</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i/>
                <w:noProof/>
                <w:sz w:val="22"/>
                <w:szCs w:val="22"/>
              </w:rPr>
              <w:t>(kā daļa no visiem ES-28 iedzīvotājiem darbspējīgā vecumā</w:t>
            </w:r>
            <w:r>
              <w:rPr>
                <w:rStyle w:val="FootnoteReference"/>
                <w:rFonts w:ascii="Times New Roman" w:hAnsi="Times New Roman" w:cs="Times New Roman"/>
                <w:i/>
                <w:noProof/>
                <w:sz w:val="22"/>
                <w:szCs w:val="22"/>
              </w:rPr>
              <w:footnoteReference w:id="39"/>
            </w:r>
            <w:r>
              <w:rPr>
                <w:rFonts w:ascii="Times New Roman" w:hAnsi="Times New Roman" w:cs="Times New Roman"/>
                <w:i/>
                <w:noProof/>
                <w:sz w:val="22"/>
                <w:szCs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noProof/>
                <w:sz w:val="22"/>
                <w:szCs w:val="22"/>
              </w:rPr>
              <w:t>ES-28 iedzīvotāji darbspējīgā vecumā, kas pārcēlušies un dzīvo ES-28 valstīs** (ES darbaspēka apsekojuma rādītāji)</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miljoni</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noProof/>
                <w:sz w:val="22"/>
                <w:szCs w:val="22"/>
              </w:rPr>
              <w:t xml:space="preserve">no kuriem </w:t>
            </w:r>
            <w:r>
              <w:rPr>
                <w:rFonts w:ascii="Times New Roman" w:hAnsi="Times New Roman" w:cs="Times New Roman"/>
                <w:b/>
                <w:noProof/>
                <w:sz w:val="22"/>
                <w:szCs w:val="22"/>
              </w:rPr>
              <w:t>aktīvi ES-28 iedzīvotāji, kas pārcēlušies</w:t>
            </w:r>
            <w:r>
              <w:rPr>
                <w:rFonts w:ascii="Times New Roman" w:hAnsi="Times New Roman" w:cs="Times New Roman"/>
                <w:noProof/>
                <w:sz w:val="22"/>
                <w:szCs w:val="22"/>
              </w:rPr>
              <w:t xml:space="preserve"> (nodarbināti vai meklē darbu)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miljons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22"/>
              </w:rPr>
            </w:pPr>
            <w:r>
              <w:rPr>
                <w:rFonts w:ascii="Times New Roman" w:hAnsi="Times New Roman" w:cs="Times New Roman"/>
                <w:i/>
                <w:noProof/>
                <w:sz w:val="22"/>
                <w:szCs w:val="22"/>
              </w:rPr>
              <w:t>(kā daļa no visa darbaspēka ES-28 valstīs)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Pārrobežu darba ņēmēji</w:t>
            </w:r>
            <w:r>
              <w:rPr>
                <w:rFonts w:ascii="Times New Roman" w:hAnsi="Times New Roman" w:cs="Times New Roman"/>
                <w:noProof/>
                <w:sz w:val="22"/>
                <w:szCs w:val="22"/>
              </w:rPr>
              <w:t xml:space="preserve"> (20–64 gadi)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miljoni</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22"/>
              </w:rPr>
            </w:pPr>
            <w:r>
              <w:rPr>
                <w:rFonts w:ascii="Times New Roman" w:hAnsi="Times New Roman" w:cs="Times New Roman"/>
                <w:i/>
                <w:noProof/>
                <w:sz w:val="22"/>
                <w:szCs w:val="22"/>
              </w:rPr>
              <w:t>(kā daļa no visiem nodarbinātajiem ES-28 valstīs)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Darbā norīkotu personu skaits</w:t>
            </w:r>
            <w:r>
              <w:rPr>
                <w:rStyle w:val="FootnoteReference"/>
                <w:rFonts w:ascii="Times New Roman" w:hAnsi="Times New Roman" w:cs="Times New Roman"/>
                <w:b/>
                <w:noProof/>
                <w:sz w:val="22"/>
                <w:szCs w:val="22"/>
              </w:rPr>
              <w:footnoteReference w:id="40"/>
            </w:r>
            <w:r>
              <w:rPr>
                <w:rFonts w:ascii="Times New Roman" w:hAnsi="Times New Roman" w:cs="Times New Roman"/>
                <w:noProof/>
                <w:sz w:val="22"/>
                <w:szCs w:val="22"/>
              </w:rPr>
              <w:t xml:space="preserve"> (nodarbināti un pašnodarbināti) (PD A1 numurs)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miljoni</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Gada atgriešanās mobilitāte</w:t>
            </w:r>
            <w:r>
              <w:rPr>
                <w:rFonts w:ascii="Times New Roman" w:hAnsi="Times New Roman" w:cs="Times New Roman"/>
                <w:noProof/>
                <w:sz w:val="22"/>
                <w:szCs w:val="22"/>
              </w:rPr>
              <w:t xml:space="preserve"> (20–64 gadi)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22"/>
              </w:rPr>
            </w:pPr>
            <w:r>
              <w:rPr>
                <w:rFonts w:ascii="Times New Roman" w:hAnsi="Times New Roman" w:cs="Times New Roman"/>
                <w:i/>
                <w:noProof/>
                <w:sz w:val="22"/>
                <w:szCs w:val="22"/>
              </w:rPr>
              <w:t>(kā daļa no ES-28 iedzīvotājiem, kas pametuši savu izcelsmes valsti 2014. gadā)</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Avots: 2017. gada ziņojums par darbaspēka mobilitāti ES iekšienē.</w:t>
      </w:r>
    </w:p>
    <w:p>
      <w:pPr>
        <w:pStyle w:val="Caption"/>
        <w:widowControl w:val="0"/>
        <w:spacing w:after="0"/>
        <w:jc w:val="center"/>
        <w:rPr>
          <w:noProof/>
        </w:rPr>
      </w:pP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attēls. Nesen pārcēlušos ES-28 iedzīvotāju un valstspiederīgo nodarbinātības līmenis sadalījumā pa nozarēm, ES-28 kopējais līmenis 2016. gadā</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472430" cy="35947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2430" cy="3594793"/>
                    </a:xfrm>
                    <a:prstGeom prst="rect">
                      <a:avLst/>
                    </a:prstGeom>
                    <a:noFill/>
                    <a:ln>
                      <a:noFill/>
                    </a:ln>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765093"/>
      <w:r>
        <w:rPr>
          <w:i/>
          <w:noProof/>
          <w:sz w:val="16"/>
        </w:rPr>
        <w:t>Avots: 2017. gada ziņojums par darbaspēka mobilitāti ES iekšienē; ES 2016. gada darbaspēka apsekojuma rādītāji, “Milieu” aprēķins.</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6. attēls. Brīvo darbvietu apmaiņas īstenošanas statuss dalībvalstīs (2018. gada jūnijs)</w:t>
      </w:r>
    </w:p>
    <w:p>
      <w:pPr>
        <w:pStyle w:val="Caption"/>
        <w:widowControl w:val="0"/>
        <w:spacing w:after="0"/>
        <w:jc w:val="center"/>
        <w:rPr>
          <w:i w:val="0"/>
          <w:noProof/>
        </w:rPr>
      </w:pPr>
      <w:r>
        <w:rPr>
          <w:noProof/>
          <w:lang w:val="en-GB" w:eastAsia="en-GB" w:bidi="ar-SA"/>
        </w:rPr>
        <w:drawing>
          <wp:inline distT="0" distB="0" distL="0" distR="0">
            <wp:extent cx="5472430" cy="537147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430" cy="5371478"/>
                    </a:xfrm>
                    <a:prstGeom prst="rect">
                      <a:avLst/>
                    </a:prstGeom>
                    <a:noFill/>
                    <a:ln>
                      <a:noFill/>
                    </a:ln>
                  </pic:spPr>
                </pic:pic>
              </a:graphicData>
            </a:graphic>
          </wp:inline>
        </w:drawing>
      </w:r>
      <w:r>
        <w:rPr>
          <w:noProof/>
        </w:rPr>
        <w:br w:type="page"/>
      </w:r>
    </w:p>
    <w:p>
      <w:pPr>
        <w:pStyle w:val="Caption"/>
        <w:widowControl w:val="0"/>
        <w:spacing w:after="0"/>
        <w:jc w:val="center"/>
        <w:rPr>
          <w:noProof/>
        </w:rPr>
      </w:pPr>
      <w:r>
        <w:rPr>
          <w:noProof/>
        </w:rPr>
        <w:t>7. attēls. CV apmaiņas īstenošanas statuss dalībvalstīs (2018. gada jūnijs)</w:t>
      </w:r>
    </w:p>
    <w:p>
      <w:pPr>
        <w:pStyle w:val="Caption"/>
        <w:widowControl w:val="0"/>
        <w:spacing w:after="0"/>
        <w:jc w:val="center"/>
        <w:rPr>
          <w:i w:val="0"/>
          <w:noProof/>
        </w:rPr>
      </w:pPr>
      <w:r>
        <w:rPr>
          <w:noProof/>
          <w:lang w:val="en-GB" w:eastAsia="en-GB" w:bidi="ar-SA"/>
        </w:rPr>
        <w:drawing>
          <wp:inline distT="0" distB="0" distL="0" distR="0">
            <wp:extent cx="5472430" cy="47856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4785694"/>
                    </a:xfrm>
                    <a:prstGeom prst="rect">
                      <a:avLst/>
                    </a:prstGeom>
                    <a:noFill/>
                    <a:ln>
                      <a:noFill/>
                    </a:ln>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pasta adrese"/>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Piezīme. Šajā pārskatā termini “darba ņēmēji” un “darbinieki” ir lietoti kā sinonīmi. Turklāt </w:t>
      </w:r>
      <w:r>
        <w:rPr>
          <w:i/>
        </w:rPr>
        <w:t>EURES</w:t>
      </w:r>
      <w:r>
        <w:t xml:space="preserve"> regulā ir minēts šādi: “</w:t>
      </w:r>
      <w:r>
        <w:rPr>
          <w:i/>
        </w:rPr>
        <w:t>Tiesa uzskatīja, ka LESD 45. pantā minētā darba ņēmēju pārvietošanās brīvība ietver arī konkrētas tiesības dalībvalstu valstspiederīgajiem, kas Savienībā pārvietojas darba meklēšanas nolūkā. Tāpēc “darba ņēmēja” jēdziens šajā regulā būtu jāsaprot tā, ka tas attiecas arī uz darba meklētājiem — neatkarīgi no tā, vai viņi tobrīd ir stājušies darba tiesiskajās attiecībās.</w:t>
      </w:r>
      <w:r>
        <w:t>” (Regulas (ES) 2016/589 7. apsvērums.)</w:t>
      </w:r>
    </w:p>
  </w:footnote>
  <w:footnote w:id="2">
    <w:p>
      <w:pPr>
        <w:pStyle w:val="FootnoteText"/>
      </w:pPr>
      <w:r>
        <w:rPr>
          <w:rStyle w:val="FootnoteReference"/>
        </w:rPr>
        <w:footnoteRef/>
      </w:r>
      <w:r>
        <w:t xml:space="preserve"> </w:t>
      </w:r>
      <w:r>
        <w:rPr>
          <w:i/>
        </w:rPr>
        <w:t>EURES</w:t>
      </w:r>
      <w:r>
        <w:t xml:space="preserve"> tīkla mērķi ir noteikti Regulas (ES) 2016/589 6. pantā.</w:t>
      </w:r>
    </w:p>
  </w:footnote>
  <w:footnote w:id="3">
    <w:p>
      <w:pPr>
        <w:pStyle w:val="FootnoteText"/>
      </w:pPr>
      <w:r>
        <w:rPr>
          <w:rStyle w:val="FootnoteReference"/>
        </w:rPr>
        <w:footnoteRef/>
      </w:r>
      <w:r>
        <w:t xml:space="preserve"> </w:t>
      </w:r>
      <w:r>
        <w:rPr>
          <w:i/>
        </w:rPr>
        <w:t>EURES</w:t>
      </w:r>
      <w:r>
        <w:t xml:space="preserve"> portāls </w:t>
      </w:r>
      <w:hyperlink r:id="rId1">
        <w:r>
          <w:t xml:space="preserve">ir pieejams: </w:t>
        </w:r>
        <w:r>
          <w:rPr>
            <w:rStyle w:val="Hyperlink"/>
          </w:rPr>
          <w:t>https://ec.europa.eu/eures/public/lv/homepage.</w:t>
        </w:r>
      </w:hyperlink>
      <w:r>
        <w:t xml:space="preserve"> </w:t>
      </w:r>
    </w:p>
  </w:footnote>
  <w:footnote w:id="4">
    <w:p>
      <w:pPr>
        <w:pStyle w:val="FootnoteText"/>
      </w:pPr>
      <w:r>
        <w:rPr>
          <w:rStyle w:val="FootnoteReference"/>
        </w:rPr>
        <w:footnoteRef/>
      </w:r>
      <w:r>
        <w:t xml:space="preserve"> Šajā pārskatā “</w:t>
      </w:r>
      <w:r>
        <w:rPr>
          <w:i/>
        </w:rPr>
        <w:t>EURES</w:t>
      </w:r>
      <w:r>
        <w:t xml:space="preserve"> darbinieki” ir darbinieki, kuri ir tieši vai netieši iesaistīti pakalpojumu sniegšanā un citās </w:t>
      </w:r>
      <w:r>
        <w:rPr>
          <w:i/>
        </w:rPr>
        <w:t>EURES</w:t>
      </w:r>
      <w:r>
        <w:t xml:space="preserve"> tīkla darbībās saskaņā ar Regulu (ES) 2016/589, kā arī tās īstenošanas pasākumos.</w:t>
      </w:r>
    </w:p>
  </w:footnote>
  <w:footnote w:id="5">
    <w:p>
      <w:pPr>
        <w:pStyle w:val="FootnoteText"/>
      </w:pPr>
      <w:r>
        <w:rPr>
          <w:rStyle w:val="FootnoteReference"/>
        </w:rPr>
        <w:footnoteRef/>
      </w:r>
      <w:r>
        <w:t xml:space="preserve"> Komisijas 1993. gada 22. oktobra Lēmums 93/569/EEK par to, kā īstenot Padomes Regulu (EEK) Nr. 1612/68 par darba ņēmēju pārvietošanās brīvību Kopienā, jo īpaši </w:t>
      </w:r>
      <w:r>
        <w:rPr>
          <w:i/>
        </w:rPr>
        <w:t>EURES</w:t>
      </w:r>
      <w:r>
        <w:t xml:space="preserve"> (Eiropas nodarbinātības dienestu) tīkla kontekstā.</w:t>
      </w:r>
    </w:p>
  </w:footnote>
  <w:footnote w:id="6">
    <w:p>
      <w:pPr>
        <w:pStyle w:val="FootnoteText"/>
        <w:spacing w:after="0"/>
      </w:pPr>
      <w:r>
        <w:rPr>
          <w:rStyle w:val="FootnoteReference"/>
        </w:rPr>
        <w:footnoteRef/>
      </w:r>
      <w:r>
        <w:t xml:space="preserve"> Komisijas 2017. gada 11. jūlija Īstenošanas lēmums (ES) 2017/1255 par paraugu, kas izmantojams, lai aprakstītu valstu sistēmas un procedūras organizāciju uzņemšanai par </w:t>
      </w:r>
      <w:r>
        <w:rPr>
          <w:i/>
        </w:rPr>
        <w:t>EURES</w:t>
      </w:r>
      <w:r>
        <w:t xml:space="preserve"> dalībniecēm un partnerēm. </w:t>
      </w:r>
    </w:p>
    <w:p>
      <w:pPr>
        <w:pStyle w:val="FootnoteText"/>
        <w:spacing w:after="0"/>
      </w:pPr>
      <w:r>
        <w:t xml:space="preserve">Komisijas 2017. gada 11. jūlija Īstenošanas lēmums (ES) 2017/1256 par paraugiem un procedūrām, ko izmanto, lai </w:t>
      </w:r>
      <w:r>
        <w:rPr>
          <w:i/>
        </w:rPr>
        <w:t>EURES</w:t>
      </w:r>
      <w:r>
        <w:t xml:space="preserve"> tīklā Savienības līmenī apmainītos ar informāciju par valsts darba programmām.</w:t>
      </w:r>
    </w:p>
    <w:p>
      <w:pPr>
        <w:pStyle w:val="FootnoteText"/>
        <w:spacing w:after="0"/>
      </w:pPr>
      <w:r>
        <w:t xml:space="preserve">Komisijas 2017. gada 11. jūlija Īstenošanas lēmums (ES) 2017/1257 par tehniskajiem standartiem un formātiem, kas nepieciešami vienotai sistēmai, kura dotu iespēju </w:t>
      </w:r>
      <w:r>
        <w:rPr>
          <w:i/>
        </w:rPr>
        <w:t>EURES</w:t>
      </w:r>
      <w:r>
        <w:t xml:space="preserve"> portālā piemeklēt brīvās darbvietas darba pieteikumiem un CV.</w:t>
      </w:r>
    </w:p>
    <w:p>
      <w:pPr>
        <w:pStyle w:val="FootnoteText"/>
        <w:spacing w:after="0"/>
      </w:pPr>
      <w:r>
        <w:t xml:space="preserve">Komisijas 2018. gada 2. februāra Īstenošanas lēmums (ES) 2018/170 par vienotām, detalizētām specifikācijām datu vākšanai un analīzei, lai uzraudzītu un izvērtētu </w:t>
      </w:r>
      <w:r>
        <w:rPr>
          <w:i/>
        </w:rPr>
        <w:t>EURES</w:t>
      </w:r>
      <w:r>
        <w:t xml:space="preserve"> tīkla darbību. </w:t>
      </w:r>
    </w:p>
    <w:p>
      <w:pPr>
        <w:pStyle w:val="FootnoteText"/>
        <w:spacing w:after="0"/>
      </w:pPr>
      <w:r>
        <w:t xml:space="preserve">Komisijas 2018. gada 18. jūlija Īstenošanas lēmums (ES) 2018/1020 par Eiropas klasifikācijas prasmju, kompetenču un profesiju saraksta pieņemšanu un atjaunināšanu automātiskas piemeklēšanas vajadzībām, izmantojot </w:t>
      </w:r>
      <w:r>
        <w:rPr>
          <w:i/>
        </w:rPr>
        <w:t>EURES</w:t>
      </w:r>
      <w:r>
        <w:t xml:space="preserve"> kopīgo IT platformu. </w:t>
      </w:r>
    </w:p>
    <w:p>
      <w:pPr>
        <w:pStyle w:val="FootnoteText"/>
      </w:pPr>
      <w:r>
        <w:t xml:space="preserve">Komisijas 2018. gada 18. jūlija Īstenošanas lēmums (ES) 2018/1021 ar ko pieņem tehniskos standartus un formātus, kuri nepieciešami automātiskai piemeklēšanai kopīgā IT platformā, izmantojot Eiropas klasifikāciju un valstu sistēmu un Eiropas klasifikācijas sadarbspēju. </w:t>
      </w:r>
    </w:p>
  </w:footnote>
  <w:footnote w:id="7">
    <w:p>
      <w:pPr>
        <w:pStyle w:val="FootnoteText"/>
      </w:pPr>
      <w:r>
        <w:rPr>
          <w:rStyle w:val="FootnoteReference"/>
        </w:rPr>
        <w:footnoteRef/>
      </w:r>
      <w:r>
        <w:t xml:space="preserve"> Dalībvalstis var izslēgt tādu darbvietu piedāvājumus, </w:t>
      </w:r>
      <w:r>
        <w:rPr>
          <w:i/>
        </w:rPr>
        <w:t>“kuras, ņemot vērā to veidu vai valsts noteikumus, ir pieejamas tikai konkrētās valsts pilsoņiem”</w:t>
      </w:r>
      <w:r>
        <w:t xml:space="preserve">, </w:t>
      </w:r>
      <w:r>
        <w:rPr>
          <w:i/>
        </w:rPr>
        <w:t>“ir saistītas ar tādām māceklības un stažēšanās kategorijām, kas ir vērstas galvenokārt uz mācīšanos un ir valsts izglītības sistēmas daļa vai tiek publiski finansētas kā daļa no dalībvalsts aktīvas darba tirgus politikas”</w:t>
      </w:r>
      <w:r>
        <w:t xml:space="preserve">, kā arī </w:t>
      </w:r>
      <w:r>
        <w:rPr>
          <w:i/>
        </w:rPr>
        <w:t>“citas brīvās darbvietas, kuras ir daļa no dalībvalsts aktīvas darba tirgus politikas”</w:t>
      </w:r>
      <w:r>
        <w:t xml:space="preserve">, kā noteikts Regulas (ES) 2016/589 17. pantā. </w:t>
      </w:r>
    </w:p>
  </w:footnote>
  <w:footnote w:id="8">
    <w:p>
      <w:pPr>
        <w:pStyle w:val="FootnoteText"/>
        <w:jc w:val="left"/>
      </w:pPr>
      <w:r>
        <w:rPr>
          <w:rStyle w:val="FootnoteReference"/>
        </w:rPr>
        <w:footnoteRef/>
      </w:r>
      <w:r>
        <w:t xml:space="preserve"> Dati no 2017. gada </w:t>
      </w:r>
      <w:r>
        <w:rPr>
          <w:i/>
        </w:rPr>
        <w:t>EURES</w:t>
      </w:r>
      <w:r>
        <w:t xml:space="preserve"> Vienotā tirgus rezultātu apkopojuma: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Līdz 2017. gadam </w:t>
      </w:r>
      <w:r>
        <w:rPr>
          <w:i/>
        </w:rPr>
        <w:t>EURES</w:t>
      </w:r>
      <w:r>
        <w:t xml:space="preserve"> padomdevēji informāciju par darbā iekārtoto darba meklētāju skaitu sniedza brīvprātīgi (ziņoja aptuveni 50–60 % no visiem padomdevējiem), savukārt pašus </w:t>
      </w:r>
      <w:r>
        <w:rPr>
          <w:i/>
        </w:rPr>
        <w:t>EURES</w:t>
      </w:r>
      <w:r>
        <w:t xml:space="preserve"> padomdevējus darba meklētāji un darba devēji sistemātiski neinformē par darbā iekārtošanas gadījumiem.</w:t>
      </w:r>
    </w:p>
  </w:footnote>
  <w:footnote w:id="10">
    <w:p>
      <w:pPr>
        <w:pStyle w:val="FootnoteText"/>
      </w:pPr>
      <w:r>
        <w:rPr>
          <w:rStyle w:val="FootnoteReference"/>
        </w:rPr>
        <w:footnoteRef/>
      </w:r>
      <w:r>
        <w:t xml:space="preserve"> </w:t>
      </w:r>
      <w:r>
        <w:rPr>
          <w:i/>
        </w:rPr>
        <w:t>EURES</w:t>
      </w:r>
      <w:r>
        <w:t xml:space="preserve"> plānošanas cikls, valstu 2016. un 2017. gada darbības pārskatu novērtējums.</w:t>
      </w:r>
    </w:p>
  </w:footnote>
  <w:footnote w:id="11">
    <w:p>
      <w:pPr>
        <w:pStyle w:val="FootnoteText"/>
      </w:pPr>
      <w:r>
        <w:rPr>
          <w:rStyle w:val="FootnoteReference"/>
        </w:rPr>
        <w:footnoteRef/>
      </w:r>
      <w:r>
        <w:t xml:space="preserve"> Kā noteikts Regulas (ES) Nr. 2016/589 3. panta 7) punktā.</w:t>
      </w:r>
    </w:p>
  </w:footnote>
  <w:footnote w:id="12">
    <w:p>
      <w:pPr>
        <w:pStyle w:val="FootnoteText"/>
      </w:pPr>
      <w:r>
        <w:rPr>
          <w:rStyle w:val="FootnoteReference"/>
        </w:rPr>
        <w:footnoteRef/>
      </w:r>
      <w:r>
        <w:t xml:space="preserve"> Dati un uzraudzības ziņojumi ir pieejami tikai par pārrobežu partnerībām, kas saņem finansējumu saskaņā ar </w:t>
      </w:r>
      <w:r>
        <w:rPr>
          <w:i/>
        </w:rPr>
        <w:t>EURES</w:t>
      </w:r>
      <w:r>
        <w:t xml:space="preserve"> apakšprogrammu </w:t>
      </w:r>
      <w:r>
        <w:rPr>
          <w:i/>
        </w:rPr>
        <w:t>EaSI</w:t>
      </w:r>
      <w:r>
        <w:t xml:space="preserve"> ietvaros. Informācijai — ES 2014. finanšu gadā to veiksmīgi izdarīja 11 PRP (VP/2014/011), 2015. finanšu gadā — 12 PRP (VP/2015/008), 2016. finanšu gadā — 10 PRP (uzaicinājumi iesniegt priekšlikumus VP/2016/005) un 2017. finanšu gadā — 9 PRP (VP/2017/006).</w:t>
      </w:r>
    </w:p>
  </w:footnote>
  <w:footnote w:id="13">
    <w:p>
      <w:pPr>
        <w:pStyle w:val="FootnoteText"/>
      </w:pPr>
      <w:r>
        <w:rPr>
          <w:rStyle w:val="FootnoteReference"/>
        </w:rPr>
        <w:footnoteRef/>
      </w:r>
      <w:r>
        <w:t xml:space="preserve"> Eiropas Komisija, </w:t>
      </w:r>
      <w:r>
        <w:rPr>
          <w:i/>
        </w:rPr>
        <w:t>EURES</w:t>
      </w:r>
      <w:r>
        <w:t xml:space="preserve"> pārrobežu partnerības, Pirmais uzraudzības ziņojums (2016) un Otrais uzraudzības ziņojums (2017). </w:t>
      </w:r>
    </w:p>
  </w:footnote>
  <w:footnote w:id="14">
    <w:p>
      <w:pPr>
        <w:pStyle w:val="FootnoteText"/>
      </w:pPr>
      <w:r>
        <w:rPr>
          <w:rStyle w:val="FootnoteReference"/>
        </w:rPr>
        <w:footnoteRef/>
      </w:r>
      <w:r>
        <w:t xml:space="preserve"> Valsts darbības pārskats — Itālija, 2016.</w:t>
      </w:r>
    </w:p>
  </w:footnote>
  <w:footnote w:id="15">
    <w:p>
      <w:pPr>
        <w:pStyle w:val="FootnoteText"/>
      </w:pPr>
      <w:r>
        <w:rPr>
          <w:rStyle w:val="FootnoteReference"/>
        </w:rPr>
        <w:footnoteRef/>
      </w:r>
      <w:r>
        <w:t xml:space="preserve"> Eiropadomes Secinājumi, 2012. gada 28. un 29. jūnijs. Dokuments pieejams vietnē: </w:t>
      </w:r>
      <w:hyperlink r:id="rId3">
        <w:r>
          <w:rPr>
            <w:rStyle w:val="Hyperlink"/>
          </w:rPr>
          <w:t>http://europa.eu/rapid/press-release_DOC-12-8_lv.htm</w:t>
        </w:r>
      </w:hyperlink>
      <w:r>
        <w:t>.</w:t>
      </w:r>
    </w:p>
  </w:footnote>
  <w:footnote w:id="16">
    <w:p>
      <w:pPr>
        <w:pStyle w:val="FootnoteText"/>
      </w:pPr>
      <w:r>
        <w:rPr>
          <w:rStyle w:val="FootnoteReference"/>
        </w:rPr>
        <w:footnoteRef/>
      </w:r>
      <w:r>
        <w:t xml:space="preserve"> Noteikts </w:t>
      </w:r>
      <w:r>
        <w:rPr>
          <w:i/>
        </w:rPr>
        <w:t>EURES</w:t>
      </w:r>
      <w:r>
        <w:t xml:space="preserve"> portālā 2018. gada 23. augustā.</w:t>
      </w:r>
    </w:p>
  </w:footnote>
  <w:footnote w:id="17">
    <w:p>
      <w:pPr>
        <w:pStyle w:val="FootnoteText"/>
      </w:pPr>
      <w:r>
        <w:rPr>
          <w:rStyle w:val="FootnoteReference"/>
        </w:rPr>
        <w:footnoteRef/>
      </w:r>
      <w:r>
        <w:t xml:space="preserve"> Turpat.</w:t>
      </w:r>
    </w:p>
  </w:footnote>
  <w:footnote w:id="18">
    <w:p>
      <w:pPr>
        <w:pStyle w:val="FootnoteText"/>
      </w:pPr>
      <w:r>
        <w:rPr>
          <w:rStyle w:val="FootnoteReference"/>
        </w:rPr>
        <w:footnoteRef/>
      </w:r>
      <w:r>
        <w:t xml:space="preserve"> Eiropas Komisija, “Tava pirmā </w:t>
      </w:r>
      <w:r>
        <w:rPr>
          <w:i/>
        </w:rPr>
        <w:t>EURES</w:t>
      </w:r>
      <w:r>
        <w:t xml:space="preserve"> darbavieta”, mērķtiecīgas mobilitātes shēmas, 5. progresa uzraudzības ziņojums, 2017. gada jūlijs–decembris, publicēts 2018. gada jūlijā.</w:t>
      </w:r>
    </w:p>
  </w:footnote>
  <w:footnote w:id="19">
    <w:p>
      <w:pPr>
        <w:pStyle w:val="FootnoteText"/>
      </w:pPr>
      <w:r>
        <w:rPr>
          <w:rStyle w:val="FootnoteReference"/>
        </w:rPr>
        <w:footnoteRef/>
      </w:r>
      <w:r>
        <w:t xml:space="preserve"> Eiropas Komisija, “Tava pirmā </w:t>
      </w:r>
      <w:r>
        <w:rPr>
          <w:i/>
        </w:rPr>
        <w:t>EURES</w:t>
      </w:r>
      <w:r>
        <w:t xml:space="preserve"> darbavieta”, mērķtiecīgas mobilitātes shēmas, 4. progresa uzraudzības ziņojums, 2017. gada janvāris–jūnijs, publicēts 2017. gada decembrī.</w:t>
      </w:r>
    </w:p>
  </w:footnote>
  <w:footnote w:id="20">
    <w:p>
      <w:pPr>
        <w:pStyle w:val="FootnoteText"/>
      </w:pPr>
      <w:r>
        <w:rPr>
          <w:rStyle w:val="FootnoteReference"/>
        </w:rPr>
        <w:footnoteRef/>
      </w:r>
      <w:r>
        <w:t xml:space="preserve"> Eiropas Komisija, “Tava pirmā </w:t>
      </w:r>
      <w:r>
        <w:rPr>
          <w:i/>
        </w:rPr>
        <w:t>EURES</w:t>
      </w:r>
      <w:r>
        <w:t xml:space="preserve"> darbavieta”, mērķtiecīgas mobilitātes shēmas, 5. progresa uzraudzības ziņojums, 2017. gada jūlijs–decembris, publicēts 2018. gada jūlijā.</w:t>
      </w:r>
    </w:p>
  </w:footnote>
  <w:footnote w:id="21">
    <w:p>
      <w:pPr>
        <w:pStyle w:val="FootnoteText"/>
      </w:pPr>
      <w:r>
        <w:rPr>
          <w:rStyle w:val="FootnoteReference"/>
        </w:rPr>
        <w:footnoteRef/>
      </w:r>
      <w:r>
        <w:t xml:space="preserve"> Eiropas Komisija, shēmas “</w:t>
      </w:r>
      <w:r>
        <w:rPr>
          <w:i/>
        </w:rPr>
        <w:t>Reactivate</w:t>
      </w:r>
      <w:r>
        <w:t xml:space="preserve">” progresa uzraudzības ziņojums, 2018. gada februāris (projekts). </w:t>
      </w:r>
    </w:p>
  </w:footnote>
  <w:footnote w:id="22">
    <w:p>
      <w:pPr>
        <w:pStyle w:val="FootnoteText"/>
      </w:pPr>
      <w:r>
        <w:rPr>
          <w:rStyle w:val="FootnoteReference"/>
        </w:rPr>
        <w:footnoteRef/>
      </w:r>
      <w:r>
        <w:t xml:space="preserve"> </w:t>
      </w:r>
      <w:r>
        <w:rPr>
          <w:i/>
        </w:rPr>
        <w:t>EURES</w:t>
      </w:r>
      <w:r>
        <w:t xml:space="preserve"> portālā sniegtā informācija: </w:t>
      </w:r>
      <w:hyperlink r:id="rId4">
        <w:r>
          <w:rPr>
            <w:rStyle w:val="Hyperlink"/>
          </w:rPr>
          <w:t>https://ec.europa.eu/eures/public/lv/your-first-eures-job-emp</w:t>
        </w:r>
      </w:hyperlink>
      <w:r>
        <w:t xml:space="preserve"> (izgūta 2018. gada 2. augustā). </w:t>
      </w:r>
    </w:p>
  </w:footnote>
  <w:footnote w:id="23">
    <w:p>
      <w:pPr>
        <w:pStyle w:val="FootnoteText"/>
      </w:pPr>
      <w:r>
        <w:rPr>
          <w:rStyle w:val="FootnoteReference"/>
        </w:rPr>
        <w:footnoteRef/>
      </w:r>
      <w:r>
        <w:t xml:space="preserve"> Terminu “</w:t>
      </w:r>
      <w:r>
        <w:rPr>
          <w:i/>
        </w:rPr>
        <w:t>EURES</w:t>
      </w:r>
      <w:r>
        <w:t xml:space="preserve"> padomdevējs” joprojām bieži izmanto </w:t>
      </w:r>
      <w:r>
        <w:rPr>
          <w:i/>
        </w:rPr>
        <w:t>EURES</w:t>
      </w:r>
      <w:r>
        <w:t xml:space="preserve"> tīklā, lai gan tas vairs nav oficiāli atzīts termins, kopš stājās spēkā Regula (ES) 2016/589, kurā ir dota atsauce vienīgi uz “</w:t>
      </w:r>
      <w:r>
        <w:rPr>
          <w:i/>
        </w:rPr>
        <w:t>EURES</w:t>
      </w:r>
      <w:r>
        <w:t xml:space="preserve"> darbiniekiem” kā </w:t>
      </w:r>
      <w:r>
        <w:rPr>
          <w:i/>
        </w:rPr>
        <w:t>EURES</w:t>
      </w:r>
      <w:r>
        <w:t xml:space="preserve"> iesaistītu darbaspēku.</w:t>
      </w:r>
    </w:p>
  </w:footnote>
  <w:footnote w:id="24">
    <w:p>
      <w:pPr>
        <w:pStyle w:val="FootnoteText"/>
      </w:pPr>
      <w:r>
        <w:rPr>
          <w:rStyle w:val="FootnoteReference"/>
        </w:rPr>
        <w:footnoteRef/>
      </w:r>
      <w:r>
        <w:t xml:space="preserve"> Sīkāku informāciju skatīt pielikumā: 2. attēls. </w:t>
      </w:r>
      <w:r>
        <w:rPr>
          <w:i/>
        </w:rPr>
        <w:t>EURES</w:t>
      </w:r>
      <w:r>
        <w:t xml:space="preserve"> padomdevēju un līdzīgu darbinieku skaits ES līmenī 2017. gadā.</w:t>
      </w:r>
    </w:p>
  </w:footnote>
  <w:footnote w:id="25">
    <w:p>
      <w:pPr>
        <w:pStyle w:val="FootnoteText"/>
      </w:pPr>
      <w:r>
        <w:rPr>
          <w:rStyle w:val="FootnoteReference"/>
        </w:rPr>
        <w:footnoteRef/>
      </w:r>
      <w:r>
        <w:t xml:space="preserve"> Eiropas Parlamenta un Padomes 2013. gada 17. decembra Regula (ES) Nr. 1304/2013 par Eiropas Sociālo fondu un ar ko atceļ Padomes Regulu (EK) Nr. 1081/2006, 5. apsvērums un 3. panta a) punkta i) apakšpunkts.</w:t>
      </w:r>
    </w:p>
  </w:footnote>
  <w:footnote w:id="26">
    <w:p>
      <w:pPr>
        <w:pStyle w:val="FootnoteText"/>
      </w:pPr>
      <w:r>
        <w:rPr>
          <w:rStyle w:val="FootnoteReference"/>
        </w:rPr>
        <w:footnoteRef/>
      </w:r>
      <w:r>
        <w:t xml:space="preserve"> Eiropas Parlamenta un Padomes 2013. gada 11. decembra Regula (ES) Nr. 1296/2013 par Eiropas Savienības Nodarbinātības un sociālās inovācijas programmu (</w:t>
      </w:r>
      <w:r>
        <w:rPr>
          <w:i/>
        </w:rPr>
        <w:t>EaSI</w:t>
      </w:r>
      <w:r>
        <w:t>) un ar kuru groza Lēmumu Nr. 283/2010/ES, ar ko izveido Eiropas progresa mikrofinansēšanas instrumentu nodarbinātībai un sociālajai iekļaušanai, 20. panta b) apakšpunkts.</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rPr>
          <w:rStyle w:val="Hyperlink"/>
        </w:rPr>
        <w:t>.</w:t>
      </w:r>
      <w:r>
        <w:t xml:space="preserve"> </w:t>
      </w:r>
    </w:p>
  </w:footnote>
  <w:footnote w:id="28">
    <w:p>
      <w:pPr>
        <w:pStyle w:val="FootnoteText"/>
      </w:pPr>
      <w:r>
        <w:rPr>
          <w:rStyle w:val="FootnoteReference"/>
        </w:rPr>
        <w:footnoteRef/>
      </w:r>
      <w:r>
        <w:t xml:space="preserve"> </w:t>
      </w:r>
      <w:hyperlink r:id="rId6">
        <w:r>
          <w:rPr>
            <w:rStyle w:val="Hyperlink"/>
          </w:rPr>
          <w:t>https://jeunes.leforem.be/</w:t>
        </w:r>
      </w:hyperlink>
      <w:r>
        <w:rPr>
          <w:rStyle w:val="Hyperlink"/>
        </w:rPr>
        <w:t>.</w:t>
      </w:r>
    </w:p>
  </w:footnote>
  <w:footnote w:id="29">
    <w:p>
      <w:pPr>
        <w:pStyle w:val="FootnoteText"/>
      </w:pPr>
      <w:r>
        <w:rPr>
          <w:rStyle w:val="FootnoteReference"/>
        </w:rPr>
        <w:footnoteRef/>
      </w:r>
      <w:r>
        <w:t xml:space="preserve"> Lai iegūtu labāku pārskatu par valstu </w:t>
      </w:r>
      <w:r>
        <w:rPr>
          <w:i/>
        </w:rPr>
        <w:t>EURES</w:t>
      </w:r>
      <w:r>
        <w:t xml:space="preserve"> sociālajiem plašsaziņas līdzekļu kanāliem un to sasniedzamību, EKB katru gadu veic </w:t>
      </w:r>
      <w:r>
        <w:rPr>
          <w:i/>
        </w:rPr>
        <w:t>EURES</w:t>
      </w:r>
      <w:r>
        <w:t xml:space="preserve"> sociālo plašsaziņas līdzekļu kanālu kartēšanu.</w:t>
      </w:r>
    </w:p>
  </w:footnote>
  <w:footnote w:id="30">
    <w:p>
      <w:pPr>
        <w:pStyle w:val="FootnoteText"/>
      </w:pPr>
      <w:r>
        <w:rPr>
          <w:rStyle w:val="FootnoteReference"/>
        </w:rPr>
        <w:footnoteRef/>
      </w:r>
      <w:r>
        <w:t xml:space="preserve"> Komisijas 2018. gada 2. februāra Īstenošanas lēmums (ES) 2018/170 par vienotām, detalizētām specifikācijām datu vākšanai un analīzei, lai uzraudzītu un izvērtētu </w:t>
      </w:r>
      <w:r>
        <w:rPr>
          <w:i/>
        </w:rPr>
        <w:t>EURES</w:t>
      </w:r>
      <w:r>
        <w:t xml:space="preserve"> tīkla darbību. </w:t>
      </w:r>
    </w:p>
  </w:footnote>
  <w:footnote w:id="31">
    <w:p>
      <w:pPr>
        <w:pStyle w:val="FootnoteText"/>
        <w:jc w:val="left"/>
      </w:pPr>
      <w:r>
        <w:rPr>
          <w:rStyle w:val="FootnoteReference"/>
        </w:rPr>
        <w:footnoteRef/>
      </w:r>
      <w:r>
        <w:t xml:space="preserve"> Vienotā tirgus rezultātu apkopojums par 2017. gadu, </w:t>
      </w:r>
      <w:hyperlink r:id="rId7">
        <w:r>
          <w:rPr>
            <w:rStyle w:val="Hyperlink"/>
          </w:rPr>
          <w:t>http://ec.europa.eu/internal_market/scoreboard/performance_by_governance_tool/eures/index_en.htm</w:t>
        </w:r>
      </w:hyperlink>
      <w:r>
        <w:t xml:space="preserve"> (izgūts 2018. gada 2. augustā). EKB ziņo, ka “2017. gadā pavisam 696 dalībnieki piedalījās apmācībās uz vietas, 480 dalībnieki — tiešsaistes apmācībās, un 132 dalībnieki — konsolidētajā posmā, aptverot 30 valstis; 2018. gada pirmajā pusē bija plānotas apmācības klasē 360 dalībniekiem no 27 </w:t>
      </w:r>
      <w:r>
        <w:rPr>
          <w:i/>
        </w:rPr>
        <w:t>EURES</w:t>
      </w:r>
      <w:r>
        <w:t xml:space="preserve"> dalībvalstīm. Apmācību piedāvājuma kvalitāti pārrauga, izvērtējot klientu atsauksmes. 2017. gadā tās liecināja, ka vairums dalībnieku uzskata, ka kursi ir lietderīgi un labi organizēti un to saturs ir piemērots.”</w:t>
      </w:r>
    </w:p>
  </w:footnote>
  <w:footnote w:id="32">
    <w:p>
      <w:pPr>
        <w:pStyle w:val="FootnoteText"/>
      </w:pPr>
      <w:r>
        <w:rPr>
          <w:rStyle w:val="FootnoteReference"/>
        </w:rPr>
        <w:footnoteRef/>
      </w:r>
      <w:r>
        <w:t xml:space="preserve"> Gada ziņojumi par darbaspēka mobilitāti ES 2016. un 2017. gadā ir pieejami ES grāmatnīcā.</w:t>
      </w:r>
    </w:p>
  </w:footnote>
  <w:footnote w:id="33">
    <w:p>
      <w:pPr>
        <w:pStyle w:val="FootnoteText"/>
      </w:pPr>
      <w:r>
        <w:rPr>
          <w:rStyle w:val="FootnoteReference"/>
        </w:rPr>
        <w:footnoteRef/>
      </w:r>
      <w:r>
        <w:t xml:space="preserve"> Ziņojums “</w:t>
      </w:r>
      <w:r>
        <w:rPr>
          <w:i/>
        </w:rPr>
        <w:t>Labour shortages and surpluses 2017</w:t>
      </w:r>
      <w:r>
        <w:t xml:space="preserve">” (“Darbaspēka trūkums un pārpalikums 2017. gadā”) ir pieejams ES grāmatnīcā. </w:t>
      </w:r>
    </w:p>
  </w:footnote>
  <w:footnote w:id="34">
    <w:p>
      <w:pPr>
        <w:pStyle w:val="FootnoteText"/>
      </w:pPr>
      <w:r>
        <w:rPr>
          <w:rStyle w:val="FootnoteReference"/>
        </w:rPr>
        <w:footnoteRef/>
      </w:r>
      <w:r>
        <w:t xml:space="preserve"> </w:t>
      </w:r>
      <w:r>
        <w:tab/>
        <w:t xml:space="preserve">Tabulā sniegtā informācija nav izsmeļoša, jo nav iekļautas dažas specifiskas budžeta pozīcijas, piemēram, atbalsts EEZ valstīm un sociālajiem partneriem (atkarībā no uzaicinājuma iesniegt priekšlikumus) un maksājumi par portāla mitināšanu. </w:t>
      </w:r>
    </w:p>
  </w:footnote>
  <w:footnote w:id="35">
    <w:p>
      <w:pPr>
        <w:pStyle w:val="FootnoteText"/>
      </w:pPr>
      <w:r>
        <w:rPr>
          <w:rStyle w:val="FootnoteReference"/>
        </w:rPr>
        <w:footnoteRef/>
      </w:r>
      <w:r>
        <w:t xml:space="preserve"> Regulas 2016/589 I pielikums. Kopējie minimālie kritēriji. </w:t>
      </w:r>
    </w:p>
  </w:footnote>
  <w:footnote w:id="36">
    <w:p>
      <w:pPr>
        <w:pStyle w:val="FootnoteText"/>
      </w:pPr>
      <w:r>
        <w:rPr>
          <w:rStyle w:val="FootnoteReference"/>
        </w:rPr>
        <w:footnoteRef/>
      </w:r>
      <w:r>
        <w:t xml:space="preserve"> Īstenošanas akts, kurā ir dota atsauce uz 11. panta 8. punktu par paraugu, kurā apraksta valsts sistēmu un procedūras, kā starp dalībvalstīm apmainīties ar informāciju, vēl nav pieņemts.</w:t>
      </w:r>
    </w:p>
  </w:footnote>
  <w:footnote w:id="37">
    <w:p>
      <w:pPr>
        <w:pStyle w:val="FootnoteText"/>
      </w:pPr>
      <w:r>
        <w:rPr>
          <w:rStyle w:val="FootnoteReference"/>
        </w:rPr>
        <w:footnoteRef/>
      </w:r>
      <w:r>
        <w:t xml:space="preserve"> Sīkāku informāciju par īstenošanas statusu atsevišķās dalībvalstīs skatīt pielikuma 6. un 7. tabulā. </w:t>
      </w:r>
    </w:p>
  </w:footnote>
  <w:footnote w:id="38">
    <w:p>
      <w:pPr>
        <w:pStyle w:val="FootnoteText"/>
      </w:pPr>
      <w:r>
        <w:rPr>
          <w:rStyle w:val="FootnoteReference"/>
        </w:rPr>
        <w:footnoteRef/>
      </w:r>
      <w:r>
        <w:t xml:space="preserve"> Šis punkts bija arī konstatējums Eiropas Revīzijas palātas 6. īpašajā ziņojumā (2018), kas pieejams vietnē </w:t>
      </w:r>
      <w:hyperlink r:id="rId8">
        <w:r>
          <w:rPr>
            <w:rStyle w:val="Hyperlink"/>
          </w:rPr>
          <w:t>http://publications.europa.eu/webpub/eca/special-reports/eu-labour-mobility-6-2018/lv/</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Pavisam 2016. gadā ES-28 valstīs bija 305 883 690 iedzīvotāji darbspējīgā vecumā.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Skaitlis norāda uz kopējo PD A1 skaitu, ko izdevušas ES-28 dalībvalstis, atsaucoties uz Regulu 883/2004. PD A1 ir nepieciešami personām, kuras ir apdrošinātas dalībvalstī, kas nav (pagaidu) darbvietas dalībvalsts. PD A1 skaitam nav obligāti jābūt vienādam ar darbā norīkoto darba ņēmēju skaitu. Kopējais PD A1 skaits 2016. gadā bija aptuveni 2 miljoni, tostarp 1,6 miljoni, kas izdoti saskaņā ar 12. pantu (par nodarbināto un pašnodarbināto personu norīkošanu darbā), kā arī personām, kuras strādā divās vai vairāk dalībvalstīs saskaņā ar Regulas (ES) Nr. 883/2004 13. pantu (620 185 PD A1) un citām kategorijām (44 538 PD A1). Jāņem vērā, ka pastāv atšķirības starp “norīkošanas” definīcijām Regulā (EK) Nr. 883/2004 un Regulā 96/71/EK (Darba ņēmēju norīkošanas direktīva).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44E22A-E9A3-40EB-9936-78D0FF05C3F4"/>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par &lt;/FMT&gt;&lt;FMT:Font=Calibri,Italic&gt;EURES&lt;/FMT&gt;&lt;FMT:Font=Calibri Baltic&gt; darb\u299?bu laikposm\u257? no 2016. gada janv\u257?ra l\u299?dz 2018. gada j\u363?nijam, &lt;/FMT&gt;_x000d__x000d__x000d__x000d__x000d__x000d__x000d__x000b__x000d__x000d__x000b__x000d__x000d__x000b_&lt;FMT:Font=Calibri,Italic&gt;iesniegts &lt;/FMT&gt;&lt;FMT:Font=Calibri Baltic,Italic&gt;saska\u326?\u257?&lt;/FMT&gt;&lt;FMT:Font=Calibri,Italic&gt; ar Regulas (ES) 2016/589 &lt;/FMT&gt;&lt;FMT:Font=Calibri Baltic,Italic&gt;33. pant\u257?&lt;/FMT&gt;_x000d__x000d__x000d__x000d__x000d__x000b__x000d__x000d__x000d__x000d__x000d__x000d__x000d__x000d__x000d__x000d__x000b_"/>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v-LV" w:eastAsia="lv-LV" w:bidi="lv-LV"/>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lv-LV"/>
    </w:rPr>
  </w:style>
  <w:style w:type="character" w:customStyle="1" w:styleId="DateChar">
    <w:name w:val="Date Char"/>
    <w:basedOn w:val="DefaultParagraphFont"/>
    <w:link w:val="Date"/>
    <w:rPr>
      <w:sz w:val="24"/>
      <w:lang w:bidi="lv-LV"/>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lv-LV"/>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lv-LV"/>
    </w:rPr>
  </w:style>
  <w:style w:type="character" w:customStyle="1" w:styleId="Heading2Char">
    <w:name w:val="Heading 2 Char"/>
    <w:basedOn w:val="DefaultParagraphFont"/>
    <w:link w:val="Heading2"/>
    <w:rPr>
      <w:b/>
      <w:sz w:val="24"/>
      <w:lang w:bidi="lv-LV"/>
    </w:rPr>
  </w:style>
  <w:style w:type="character" w:customStyle="1" w:styleId="Heading3Char">
    <w:name w:val="Heading 3 Char"/>
    <w:basedOn w:val="DefaultParagraphFont"/>
    <w:link w:val="Heading3"/>
    <w:rPr>
      <w:i/>
      <w:sz w:val="24"/>
      <w:lang w:bidi="lv-LV"/>
    </w:rPr>
  </w:style>
  <w:style w:type="character" w:customStyle="1" w:styleId="Heading4Char">
    <w:name w:val="Heading 4 Char"/>
    <w:basedOn w:val="DefaultParagraphFont"/>
    <w:link w:val="Heading4"/>
    <w:rPr>
      <w:sz w:val="24"/>
      <w:lang w:bidi="lv-LV"/>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lv-LV" w:bidi="lv-LV"/>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lv-LV"/>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lv-LV"/>
    </w:rPr>
  </w:style>
  <w:style w:type="character" w:customStyle="1" w:styleId="CommentSubjectChar">
    <w:name w:val="Comment Subject Char"/>
    <w:basedOn w:val="CommentTextChar1"/>
    <w:link w:val="CommentSubject"/>
    <w:uiPriority w:val="99"/>
    <w:semiHidden/>
    <w:rPr>
      <w:b/>
      <w:bCs/>
      <w:lang w:eastAsia="lv-LV" w:bidi="lv-LV"/>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lv-LV"/>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lv-LV"/>
    </w:rPr>
  </w:style>
  <w:style w:type="character" w:customStyle="1" w:styleId="FooterCoverPageChar">
    <w:name w:val="Footer Cover Page Char"/>
    <w:basedOn w:val="TOCHeadingChar"/>
    <w:link w:val="FooterCoverPage"/>
    <w:rPr>
      <w:b w:val="0"/>
      <w:caps w:val="0"/>
      <w:sz w:val="24"/>
      <w:lang w:bidi="lv-LV"/>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lv-LV"/>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lv-LV"/>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v-LV" w:eastAsia="lv-LV" w:bidi="lv-LV"/>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lv-LV"/>
    </w:rPr>
  </w:style>
  <w:style w:type="character" w:customStyle="1" w:styleId="DateChar">
    <w:name w:val="Date Char"/>
    <w:basedOn w:val="DefaultParagraphFont"/>
    <w:link w:val="Date"/>
    <w:rPr>
      <w:sz w:val="24"/>
      <w:lang w:bidi="lv-LV"/>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lv-LV"/>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lv-LV"/>
    </w:rPr>
  </w:style>
  <w:style w:type="character" w:customStyle="1" w:styleId="Heading2Char">
    <w:name w:val="Heading 2 Char"/>
    <w:basedOn w:val="DefaultParagraphFont"/>
    <w:link w:val="Heading2"/>
    <w:rPr>
      <w:b/>
      <w:sz w:val="24"/>
      <w:lang w:bidi="lv-LV"/>
    </w:rPr>
  </w:style>
  <w:style w:type="character" w:customStyle="1" w:styleId="Heading3Char">
    <w:name w:val="Heading 3 Char"/>
    <w:basedOn w:val="DefaultParagraphFont"/>
    <w:link w:val="Heading3"/>
    <w:rPr>
      <w:i/>
      <w:sz w:val="24"/>
      <w:lang w:bidi="lv-LV"/>
    </w:rPr>
  </w:style>
  <w:style w:type="character" w:customStyle="1" w:styleId="Heading4Char">
    <w:name w:val="Heading 4 Char"/>
    <w:basedOn w:val="DefaultParagraphFont"/>
    <w:link w:val="Heading4"/>
    <w:rPr>
      <w:sz w:val="24"/>
      <w:lang w:bidi="lv-LV"/>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lv-LV" w:bidi="lv-LV"/>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lv-LV"/>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lv-LV"/>
    </w:rPr>
  </w:style>
  <w:style w:type="character" w:customStyle="1" w:styleId="CommentSubjectChar">
    <w:name w:val="Comment Subject Char"/>
    <w:basedOn w:val="CommentTextChar1"/>
    <w:link w:val="CommentSubject"/>
    <w:uiPriority w:val="99"/>
    <w:semiHidden/>
    <w:rPr>
      <w:b/>
      <w:bCs/>
      <w:lang w:eastAsia="lv-LV" w:bidi="lv-LV"/>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lv-LV"/>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lv-LV"/>
    </w:rPr>
  </w:style>
  <w:style w:type="character" w:customStyle="1" w:styleId="FooterCoverPageChar">
    <w:name w:val="Footer Cover Page Char"/>
    <w:basedOn w:val="TOCHeadingChar"/>
    <w:link w:val="FooterCoverPage"/>
    <w:rPr>
      <w:b w:val="0"/>
      <w:caps w:val="0"/>
      <w:sz w:val="24"/>
      <w:lang w:bidi="lv-LV"/>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lv-LV"/>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lv-LV"/>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407995365">
      <w:bodyDiv w:val="1"/>
      <w:marLeft w:val="0"/>
      <w:marRight w:val="0"/>
      <w:marTop w:val="0"/>
      <w:marBottom w:val="0"/>
      <w:divBdr>
        <w:top w:val="none" w:sz="0" w:space="0" w:color="auto"/>
        <w:left w:val="none" w:sz="0" w:space="0" w:color="auto"/>
        <w:bottom w:val="none" w:sz="0" w:space="0" w:color="auto"/>
        <w:right w:val="none" w:sz="0" w:space="0" w:color="auto"/>
      </w:divBdr>
      <w:divsChild>
        <w:div w:id="1872498898">
          <w:marLeft w:val="274"/>
          <w:marRight w:val="0"/>
          <w:marTop w:val="0"/>
          <w:marBottom w:val="0"/>
          <w:divBdr>
            <w:top w:val="none" w:sz="0" w:space="0" w:color="auto"/>
            <w:left w:val="none" w:sz="0" w:space="0" w:color="auto"/>
            <w:bottom w:val="none" w:sz="0" w:space="0" w:color="auto"/>
            <w:right w:val="none" w:sz="0" w:space="0" w:color="auto"/>
          </w:divBdr>
        </w:div>
        <w:div w:id="994262204">
          <w:marLeft w:val="274"/>
          <w:marRight w:val="0"/>
          <w:marTop w:val="0"/>
          <w:marBottom w:val="0"/>
          <w:divBdr>
            <w:top w:val="none" w:sz="0" w:space="0" w:color="auto"/>
            <w:left w:val="none" w:sz="0" w:space="0" w:color="auto"/>
            <w:bottom w:val="none" w:sz="0" w:space="0" w:color="auto"/>
            <w:right w:val="none" w:sz="0" w:space="0" w:color="auto"/>
          </w:divBdr>
        </w:div>
        <w:div w:id="1439527638">
          <w:marLeft w:val="274"/>
          <w:marRight w:val="0"/>
          <w:marTop w:val="0"/>
          <w:marBottom w:val="0"/>
          <w:divBdr>
            <w:top w:val="none" w:sz="0" w:space="0" w:color="auto"/>
            <w:left w:val="none" w:sz="0" w:space="0" w:color="auto"/>
            <w:bottom w:val="none" w:sz="0" w:space="0" w:color="auto"/>
            <w:right w:val="none" w:sz="0" w:space="0" w:color="auto"/>
          </w:divBdr>
        </w:div>
        <w:div w:id="1229074181">
          <w:marLeft w:val="274"/>
          <w:marRight w:val="0"/>
          <w:marTop w:val="0"/>
          <w:marBottom w:val="0"/>
          <w:divBdr>
            <w:top w:val="none" w:sz="0" w:space="0" w:color="auto"/>
            <w:left w:val="none" w:sz="0" w:space="0" w:color="auto"/>
            <w:bottom w:val="none" w:sz="0" w:space="0" w:color="auto"/>
            <w:right w:val="none" w:sz="0" w:space="0" w:color="auto"/>
          </w:divBdr>
        </w:div>
        <w:div w:id="329792777">
          <w:marLeft w:val="274"/>
          <w:marRight w:val="0"/>
          <w:marTop w:val="0"/>
          <w:marBottom w:val="0"/>
          <w:divBdr>
            <w:top w:val="none" w:sz="0" w:space="0" w:color="auto"/>
            <w:left w:val="none" w:sz="0" w:space="0" w:color="auto"/>
            <w:bottom w:val="none" w:sz="0" w:space="0" w:color="auto"/>
            <w:right w:val="none" w:sz="0" w:space="0" w:color="auto"/>
          </w:divBdr>
        </w:div>
        <w:div w:id="1062021814">
          <w:marLeft w:val="274"/>
          <w:marRight w:val="0"/>
          <w:marTop w:val="0"/>
          <w:marBottom w:val="0"/>
          <w:divBdr>
            <w:top w:val="none" w:sz="0" w:space="0" w:color="auto"/>
            <w:left w:val="none" w:sz="0" w:space="0" w:color="auto"/>
            <w:bottom w:val="none" w:sz="0" w:space="0" w:color="auto"/>
            <w:right w:val="none" w:sz="0" w:space="0" w:color="auto"/>
          </w:divBdr>
        </w:div>
        <w:div w:id="50689129">
          <w:marLeft w:val="274"/>
          <w:marRight w:val="0"/>
          <w:marTop w:val="0"/>
          <w:marBottom w:val="0"/>
          <w:divBdr>
            <w:top w:val="none" w:sz="0" w:space="0" w:color="auto"/>
            <w:left w:val="none" w:sz="0" w:space="0" w:color="auto"/>
            <w:bottom w:val="none" w:sz="0" w:space="0" w:color="auto"/>
            <w:right w:val="none" w:sz="0" w:space="0" w:color="auto"/>
          </w:divBdr>
        </w:div>
        <w:div w:id="517278365">
          <w:marLeft w:val="274"/>
          <w:marRight w:val="0"/>
          <w:marTop w:val="0"/>
          <w:marBottom w:val="0"/>
          <w:divBdr>
            <w:top w:val="none" w:sz="0" w:space="0" w:color="auto"/>
            <w:left w:val="none" w:sz="0" w:space="0" w:color="auto"/>
            <w:bottom w:val="none" w:sz="0" w:space="0" w:color="auto"/>
            <w:right w:val="none" w:sz="0" w:space="0" w:color="auto"/>
          </w:divBdr>
        </w:div>
        <w:div w:id="1012027546">
          <w:marLeft w:val="274"/>
          <w:marRight w:val="0"/>
          <w:marTop w:val="0"/>
          <w:marBottom w:val="0"/>
          <w:divBdr>
            <w:top w:val="none" w:sz="0" w:space="0" w:color="auto"/>
            <w:left w:val="none" w:sz="0" w:space="0" w:color="auto"/>
            <w:bottom w:val="none" w:sz="0" w:space="0" w:color="auto"/>
            <w:right w:val="none" w:sz="0" w:space="0" w:color="auto"/>
          </w:divBdr>
        </w:div>
        <w:div w:id="738748640">
          <w:marLeft w:val="274"/>
          <w:marRight w:val="0"/>
          <w:marTop w:val="0"/>
          <w:marBottom w:val="0"/>
          <w:divBdr>
            <w:top w:val="none" w:sz="0" w:space="0" w:color="auto"/>
            <w:left w:val="none" w:sz="0" w:space="0" w:color="auto"/>
            <w:bottom w:val="none" w:sz="0" w:space="0" w:color="auto"/>
            <w:right w:val="none" w:sz="0" w:space="0" w:color="auto"/>
          </w:divBdr>
        </w:div>
        <w:div w:id="1932346249">
          <w:marLeft w:val="274"/>
          <w:marRight w:val="0"/>
          <w:marTop w:val="0"/>
          <w:marBottom w:val="0"/>
          <w:divBdr>
            <w:top w:val="none" w:sz="0" w:space="0" w:color="auto"/>
            <w:left w:val="none" w:sz="0" w:space="0" w:color="auto"/>
            <w:bottom w:val="none" w:sz="0" w:space="0" w:color="auto"/>
            <w:right w:val="none" w:sz="0" w:space="0" w:color="auto"/>
          </w:divBdr>
        </w:div>
        <w:div w:id="2124957664">
          <w:marLeft w:val="274"/>
          <w:marRight w:val="0"/>
          <w:marTop w:val="0"/>
          <w:marBottom w:val="0"/>
          <w:divBdr>
            <w:top w:val="none" w:sz="0" w:space="0" w:color="auto"/>
            <w:left w:val="none" w:sz="0" w:space="0" w:color="auto"/>
            <w:bottom w:val="none" w:sz="0" w:space="0" w:color="auto"/>
            <w:right w:val="none" w:sz="0" w:space="0" w:color="auto"/>
          </w:divBdr>
        </w:div>
        <w:div w:id="815681807">
          <w:marLeft w:val="274"/>
          <w:marRight w:val="0"/>
          <w:marTop w:val="0"/>
          <w:marBottom w:val="0"/>
          <w:divBdr>
            <w:top w:val="none" w:sz="0" w:space="0" w:color="auto"/>
            <w:left w:val="none" w:sz="0" w:space="0" w:color="auto"/>
            <w:bottom w:val="none" w:sz="0" w:space="0" w:color="auto"/>
            <w:right w:val="none" w:sz="0" w:space="0" w:color="auto"/>
          </w:divBdr>
        </w:div>
        <w:div w:id="489830397">
          <w:marLeft w:val="274"/>
          <w:marRight w:val="0"/>
          <w:marTop w:val="0"/>
          <w:marBottom w:val="0"/>
          <w:divBdr>
            <w:top w:val="none" w:sz="0" w:space="0" w:color="auto"/>
            <w:left w:val="none" w:sz="0" w:space="0" w:color="auto"/>
            <w:bottom w:val="none" w:sz="0" w:space="0" w:color="auto"/>
            <w:right w:val="none" w:sz="0" w:space="0" w:color="auto"/>
          </w:divBdr>
        </w:div>
        <w:div w:id="1495413200">
          <w:marLeft w:val="274"/>
          <w:marRight w:val="0"/>
          <w:marTop w:val="0"/>
          <w:marBottom w:val="0"/>
          <w:divBdr>
            <w:top w:val="none" w:sz="0" w:space="0" w:color="auto"/>
            <w:left w:val="none" w:sz="0" w:space="0" w:color="auto"/>
            <w:bottom w:val="none" w:sz="0" w:space="0" w:color="auto"/>
            <w:right w:val="none" w:sz="0" w:space="0" w:color="auto"/>
          </w:divBdr>
        </w:div>
        <w:div w:id="2110539346">
          <w:marLeft w:val="274"/>
          <w:marRight w:val="0"/>
          <w:marTop w:val="0"/>
          <w:marBottom w:val="0"/>
          <w:divBdr>
            <w:top w:val="none" w:sz="0" w:space="0" w:color="auto"/>
            <w:left w:val="none" w:sz="0" w:space="0" w:color="auto"/>
            <w:bottom w:val="none" w:sz="0" w:space="0" w:color="auto"/>
            <w:right w:val="none" w:sz="0" w:space="0" w:color="auto"/>
          </w:divBdr>
        </w:div>
        <w:div w:id="1523130250">
          <w:marLeft w:val="274"/>
          <w:marRight w:val="0"/>
          <w:marTop w:val="0"/>
          <w:marBottom w:val="0"/>
          <w:divBdr>
            <w:top w:val="none" w:sz="0" w:space="0" w:color="auto"/>
            <w:left w:val="none" w:sz="0" w:space="0" w:color="auto"/>
            <w:bottom w:val="none" w:sz="0" w:space="0" w:color="auto"/>
            <w:right w:val="none" w:sz="0" w:space="0" w:color="auto"/>
          </w:divBdr>
        </w:div>
        <w:div w:id="872809817">
          <w:marLeft w:val="274"/>
          <w:marRight w:val="0"/>
          <w:marTop w:val="0"/>
          <w:marBottom w:val="0"/>
          <w:divBdr>
            <w:top w:val="none" w:sz="0" w:space="0" w:color="auto"/>
            <w:left w:val="none" w:sz="0" w:space="0" w:color="auto"/>
            <w:bottom w:val="none" w:sz="0" w:space="0" w:color="auto"/>
            <w:right w:val="none" w:sz="0" w:space="0" w:color="auto"/>
          </w:divBdr>
        </w:div>
        <w:div w:id="2099642625">
          <w:marLeft w:val="274"/>
          <w:marRight w:val="0"/>
          <w:marTop w:val="0"/>
          <w:marBottom w:val="0"/>
          <w:divBdr>
            <w:top w:val="none" w:sz="0" w:space="0" w:color="auto"/>
            <w:left w:val="none" w:sz="0" w:space="0" w:color="auto"/>
            <w:bottom w:val="none" w:sz="0" w:space="0" w:color="auto"/>
            <w:right w:val="none" w:sz="0" w:space="0" w:color="auto"/>
          </w:divBdr>
        </w:div>
        <w:div w:id="987241781">
          <w:marLeft w:val="274"/>
          <w:marRight w:val="0"/>
          <w:marTop w:val="0"/>
          <w:marBottom w:val="0"/>
          <w:divBdr>
            <w:top w:val="none" w:sz="0" w:space="0" w:color="auto"/>
            <w:left w:val="none" w:sz="0" w:space="0" w:color="auto"/>
            <w:bottom w:val="none" w:sz="0" w:space="0" w:color="auto"/>
            <w:right w:val="none" w:sz="0" w:space="0" w:color="auto"/>
          </w:divBdr>
        </w:div>
        <w:div w:id="570582318">
          <w:marLeft w:val="274"/>
          <w:marRight w:val="0"/>
          <w:marTop w:val="0"/>
          <w:marBottom w:val="0"/>
          <w:divBdr>
            <w:top w:val="none" w:sz="0" w:space="0" w:color="auto"/>
            <w:left w:val="none" w:sz="0" w:space="0" w:color="auto"/>
            <w:bottom w:val="none" w:sz="0" w:space="0" w:color="auto"/>
            <w:right w:val="none" w:sz="0" w:space="0" w:color="auto"/>
          </w:divBdr>
        </w:div>
        <w:div w:id="577789901">
          <w:marLeft w:val="274"/>
          <w:marRight w:val="0"/>
          <w:marTop w:val="0"/>
          <w:marBottom w:val="0"/>
          <w:divBdr>
            <w:top w:val="none" w:sz="0" w:space="0" w:color="auto"/>
            <w:left w:val="none" w:sz="0" w:space="0" w:color="auto"/>
            <w:bottom w:val="none" w:sz="0" w:space="0" w:color="auto"/>
            <w:right w:val="none" w:sz="0" w:space="0" w:color="auto"/>
          </w:divBdr>
        </w:div>
        <w:div w:id="993410093">
          <w:marLeft w:val="274"/>
          <w:marRight w:val="0"/>
          <w:marTop w:val="0"/>
          <w:marBottom w:val="0"/>
          <w:divBdr>
            <w:top w:val="none" w:sz="0" w:space="0" w:color="auto"/>
            <w:left w:val="none" w:sz="0" w:space="0" w:color="auto"/>
            <w:bottom w:val="none" w:sz="0" w:space="0" w:color="auto"/>
            <w:right w:val="none" w:sz="0" w:space="0" w:color="auto"/>
          </w:divBdr>
        </w:div>
        <w:div w:id="1714234621">
          <w:marLeft w:val="274"/>
          <w:marRight w:val="0"/>
          <w:marTop w:val="0"/>
          <w:marBottom w:val="0"/>
          <w:divBdr>
            <w:top w:val="none" w:sz="0" w:space="0" w:color="auto"/>
            <w:left w:val="none" w:sz="0" w:space="0" w:color="auto"/>
            <w:bottom w:val="none" w:sz="0" w:space="0" w:color="auto"/>
            <w:right w:val="none" w:sz="0" w:space="0" w:color="auto"/>
          </w:divBdr>
        </w:div>
        <w:div w:id="1187216269">
          <w:marLeft w:val="274"/>
          <w:marRight w:val="0"/>
          <w:marTop w:val="0"/>
          <w:marBottom w:val="0"/>
          <w:divBdr>
            <w:top w:val="none" w:sz="0" w:space="0" w:color="auto"/>
            <w:left w:val="none" w:sz="0" w:space="0" w:color="auto"/>
            <w:bottom w:val="none" w:sz="0" w:space="0" w:color="auto"/>
            <w:right w:val="none" w:sz="0" w:space="0" w:color="auto"/>
          </w:divBdr>
        </w:div>
        <w:div w:id="792284447">
          <w:marLeft w:val="274"/>
          <w:marRight w:val="0"/>
          <w:marTop w:val="0"/>
          <w:marBottom w:val="0"/>
          <w:divBdr>
            <w:top w:val="none" w:sz="0" w:space="0" w:color="auto"/>
            <w:left w:val="none" w:sz="0" w:space="0" w:color="auto"/>
            <w:bottom w:val="none" w:sz="0" w:space="0" w:color="auto"/>
            <w:right w:val="none" w:sz="0" w:space="0" w:color="auto"/>
          </w:divBdr>
        </w:div>
        <w:div w:id="1156917319">
          <w:marLeft w:val="274"/>
          <w:marRight w:val="0"/>
          <w:marTop w:val="0"/>
          <w:marBottom w:val="0"/>
          <w:divBdr>
            <w:top w:val="none" w:sz="0" w:space="0" w:color="auto"/>
            <w:left w:val="none" w:sz="0" w:space="0" w:color="auto"/>
            <w:bottom w:val="none" w:sz="0" w:space="0" w:color="auto"/>
            <w:right w:val="none" w:sz="0" w:space="0" w:color="auto"/>
          </w:divBdr>
        </w:div>
        <w:div w:id="1403917491">
          <w:marLeft w:val="274"/>
          <w:marRight w:val="0"/>
          <w:marTop w:val="0"/>
          <w:marBottom w:val="0"/>
          <w:divBdr>
            <w:top w:val="none" w:sz="0" w:space="0" w:color="auto"/>
            <w:left w:val="none" w:sz="0" w:space="0" w:color="auto"/>
            <w:bottom w:val="none" w:sz="0" w:space="0" w:color="auto"/>
            <w:right w:val="none" w:sz="0" w:space="0" w:color="auto"/>
          </w:divBdr>
        </w:div>
        <w:div w:id="1990590669">
          <w:marLeft w:val="274"/>
          <w:marRight w:val="0"/>
          <w:marTop w:val="0"/>
          <w:marBottom w:val="0"/>
          <w:divBdr>
            <w:top w:val="none" w:sz="0" w:space="0" w:color="auto"/>
            <w:left w:val="none" w:sz="0" w:space="0" w:color="auto"/>
            <w:bottom w:val="none" w:sz="0" w:space="0" w:color="auto"/>
            <w:right w:val="none" w:sz="0" w:space="0" w:color="auto"/>
          </w:divBdr>
        </w:div>
        <w:div w:id="1776247316">
          <w:marLeft w:val="274"/>
          <w:marRight w:val="0"/>
          <w:marTop w:val="0"/>
          <w:marBottom w:val="0"/>
          <w:divBdr>
            <w:top w:val="none" w:sz="0" w:space="0" w:color="auto"/>
            <w:left w:val="none" w:sz="0" w:space="0" w:color="auto"/>
            <w:bottom w:val="none" w:sz="0" w:space="0" w:color="auto"/>
            <w:right w:val="none" w:sz="0" w:space="0" w:color="auto"/>
          </w:divBdr>
        </w:div>
        <w:div w:id="1131823556">
          <w:marLeft w:val="274"/>
          <w:marRight w:val="0"/>
          <w:marTop w:val="0"/>
          <w:marBottom w:val="0"/>
          <w:divBdr>
            <w:top w:val="none" w:sz="0" w:space="0" w:color="auto"/>
            <w:left w:val="none" w:sz="0" w:space="0" w:color="auto"/>
            <w:bottom w:val="none" w:sz="0" w:space="0" w:color="auto"/>
            <w:right w:val="none" w:sz="0" w:space="0" w:color="auto"/>
          </w:divBdr>
        </w:div>
        <w:div w:id="1536651415">
          <w:marLeft w:val="274"/>
          <w:marRight w:val="0"/>
          <w:marTop w:val="0"/>
          <w:marBottom w:val="0"/>
          <w:divBdr>
            <w:top w:val="none" w:sz="0" w:space="0" w:color="auto"/>
            <w:left w:val="none" w:sz="0" w:space="0" w:color="auto"/>
            <w:bottom w:val="none" w:sz="0" w:space="0" w:color="auto"/>
            <w:right w:val="none" w:sz="0" w:space="0" w:color="auto"/>
          </w:divBdr>
        </w:div>
        <w:div w:id="253822877">
          <w:marLeft w:val="274"/>
          <w:marRight w:val="0"/>
          <w:marTop w:val="0"/>
          <w:marBottom w:val="0"/>
          <w:divBdr>
            <w:top w:val="none" w:sz="0" w:space="0" w:color="auto"/>
            <w:left w:val="none" w:sz="0" w:space="0" w:color="auto"/>
            <w:bottom w:val="none" w:sz="0" w:space="0" w:color="auto"/>
            <w:right w:val="none" w:sz="0" w:space="0" w:color="auto"/>
          </w:divBdr>
        </w:div>
        <w:div w:id="1241983851">
          <w:marLeft w:val="274"/>
          <w:marRight w:val="0"/>
          <w:marTop w:val="0"/>
          <w:marBottom w:val="0"/>
          <w:divBdr>
            <w:top w:val="none" w:sz="0" w:space="0" w:color="auto"/>
            <w:left w:val="none" w:sz="0" w:space="0" w:color="auto"/>
            <w:bottom w:val="none" w:sz="0" w:space="0" w:color="auto"/>
            <w:right w:val="none" w:sz="0" w:space="0" w:color="auto"/>
          </w:divBdr>
        </w:div>
      </w:divsChild>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lv/" TargetMode="External"/><Relationship Id="rId3" Type="http://schemas.openxmlformats.org/officeDocument/2006/relationships/hyperlink" Target="http://europa.eu/rapid/press-release_DOC-12-8_lv.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lv/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lv/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2018-08-23T12:54:30</Date>
    <Language>EN</Language>
  </Created>
  <Edited>
    <Version>10.0.37613.0</Version>
    <Date>2019-01-17T16:06:41</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099FB4B-07E9-4196-BAB3-FC3A5D11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9769</Words>
  <Characters>63310</Characters>
  <Application>Microsoft Office Word</Application>
  <DocSecurity>0</DocSecurity>
  <PresentationFormat>Microsoft Word 14.0</PresentationFormat>
  <Lines>1266</Lines>
  <Paragraphs>541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2019-03-25T14:22:00Z</dcterms:created>
  <dcterms:modified xsi:type="dcterms:W3CDTF">2019-03-26T08:37:00Z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