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18CB9C5-CFDD-4432-9122-3994F310BAE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rPr>
          <w:rFonts w:eastAsia="Arial Unicode MS"/>
          <w:noProof/>
        </w:rPr>
      </w:pPr>
      <w:r>
        <w:rPr>
          <w:noProof/>
        </w:rPr>
        <w:t xml:space="preserve">Dette forslag vedrører afgørelsen om fastlæggelse af den holdning, der skal indtages på Unionens vegne i Det Internationale Kornråd i forbindelse med den påtænkte vedtagelse af en forlængelse af </w:t>
      </w:r>
      <w:r>
        <w:rPr>
          <w:b/>
          <w:noProof/>
        </w:rPr>
        <w:t>konventionen om kornhandel af 1995</w:t>
      </w:r>
      <w:r>
        <w:rPr>
          <w:noProof/>
        </w:rPr>
        <w:t xml:space="preserve"> indtil den 30. juni 2021.</w:t>
      </w:r>
    </w:p>
    <w:p>
      <w:pPr>
        <w:pStyle w:val="ManualHeading1"/>
        <w:rPr>
          <w:noProof/>
        </w:rPr>
      </w:pPr>
      <w:r>
        <w:t>2.</w:t>
      </w:r>
      <w:r>
        <w:tab/>
      </w:r>
      <w:r>
        <w:rPr>
          <w:noProof/>
        </w:rPr>
        <w:t>Baggrund for forslaget</w:t>
      </w:r>
    </w:p>
    <w:p>
      <w:pPr>
        <w:pStyle w:val="ManualHeading2"/>
        <w:rPr>
          <w:noProof/>
        </w:rPr>
      </w:pPr>
      <w:r>
        <w:t>2.1.</w:t>
      </w:r>
      <w:r>
        <w:tab/>
      </w:r>
      <w:r>
        <w:rPr>
          <w:noProof/>
        </w:rPr>
        <w:t>Konventionen om kornhandel af 1995</w:t>
      </w:r>
    </w:p>
    <w:p>
      <w:pPr>
        <w:rPr>
          <w:rFonts w:eastAsia="Arial Unicode MS"/>
          <w:noProof/>
        </w:rPr>
      </w:pPr>
      <w:r>
        <w:rPr>
          <w:noProof/>
        </w:rPr>
        <w:t>Konventionen om kornhandel af 1995 ("konventionen") tager sigte på at fremme det internationale samarbejde om alle forhold vedrørende handel med korn, at fremme udvidelsen af den internationale handel med korn og at sikre denne handels friest mulige forløb. Konventionen har desuden til formål i størst mulig udstrækning at bidrage til stabilitet på de internationale kornmarkeder i alle medlemmers interesse, at øge den globale fødevaresikkerhed og at skabe et forum for udveksling af oplysninger og drøftelse af medlemmernes anliggender vedrørende kornhandel.</w:t>
      </w:r>
    </w:p>
    <w:p>
      <w:pPr>
        <w:rPr>
          <w:rFonts w:eastAsia="Arial Unicode MS"/>
          <w:noProof/>
        </w:rPr>
      </w:pPr>
      <w:r>
        <w:rPr>
          <w:noProof/>
        </w:rPr>
        <w:t>Konventionen trådte i kraft den 1. juli 1995.</w:t>
      </w:r>
    </w:p>
    <w:p>
      <w:pPr>
        <w:rPr>
          <w:rFonts w:eastAsia="Arial Unicode MS"/>
          <w:noProof/>
        </w:rPr>
      </w:pPr>
      <w:r>
        <w:rPr>
          <w:noProof/>
        </w:rPr>
        <w:t>Unionen er part i konventionen</w:t>
      </w:r>
      <w:r>
        <w:rPr>
          <w:rStyle w:val="FootnoteReference"/>
          <w:noProof/>
        </w:rPr>
        <w:footnoteReference w:id="1"/>
      </w:r>
      <w:r>
        <w:rPr>
          <w:noProof/>
        </w:rPr>
        <w:t>.</w:t>
      </w:r>
    </w:p>
    <w:p>
      <w:pPr>
        <w:pStyle w:val="ManualHeading2"/>
        <w:rPr>
          <w:noProof/>
        </w:rPr>
      </w:pPr>
      <w:r>
        <w:t>2.2.</w:t>
      </w:r>
      <w:r>
        <w:tab/>
      </w:r>
      <w:r>
        <w:rPr>
          <w:noProof/>
        </w:rPr>
        <w:t>Det Internationale Kornråd</w:t>
      </w:r>
    </w:p>
    <w:p>
      <w:pPr>
        <w:rPr>
          <w:rFonts w:eastAsia="Arial Unicode MS"/>
          <w:noProof/>
        </w:rPr>
      </w:pPr>
      <w:r>
        <w:rPr>
          <w:noProof/>
        </w:rPr>
        <w:t>Det Internationale Kornråd ("IGC") er en mellemstatslig organisation, der søger at opfylde de mål, der er fastsat i artikel 1 i konventionen. IGC tager især sigte på at:</w:t>
      </w:r>
    </w:p>
    <w:p>
      <w:pPr>
        <w:rPr>
          <w:rFonts w:eastAsia="Arial Unicode MS"/>
          <w:noProof/>
        </w:rPr>
      </w:pPr>
      <w:r>
        <w:rPr>
          <w:noProof/>
        </w:rPr>
        <w:t xml:space="preserve">fremme det internationale samarbejde om alle forhold vedrørende handel med korn </w:t>
      </w:r>
    </w:p>
    <w:p>
      <w:pPr>
        <w:rPr>
          <w:rFonts w:eastAsia="Arial Unicode MS"/>
          <w:noProof/>
        </w:rPr>
      </w:pPr>
      <w:r>
        <w:rPr>
          <w:noProof/>
        </w:rPr>
        <w:t xml:space="preserve">fremme udvidelse, åbenhed og retfærdighed for den internationale handel med korn </w:t>
      </w:r>
    </w:p>
    <w:p>
      <w:pPr>
        <w:rPr>
          <w:rFonts w:eastAsia="Arial Unicode MS"/>
          <w:noProof/>
        </w:rPr>
      </w:pPr>
      <w:r>
        <w:rPr>
          <w:noProof/>
        </w:rPr>
        <w:t>bidrage til stabilitet på det internationale kornmarked, øge den globale fødevaresikkerhed og bidrage til udvikling af de lande, hvis økonomi afhænger af kommercielt salg af korn.</w:t>
      </w:r>
    </w:p>
    <w:p>
      <w:pPr>
        <w:rPr>
          <w:rFonts w:eastAsia="Arial Unicode MS"/>
          <w:noProof/>
        </w:rPr>
      </w:pPr>
      <w:r>
        <w:rPr>
          <w:noProof/>
        </w:rPr>
        <w:t>Disse målsætninger søges realiseret ved at forbedre gennemsigtigheden på markedet gennem udveksling af oplysninger, analyser og høringer om markedet og den politiske udvikling.</w:t>
      </w:r>
    </w:p>
    <w:p>
      <w:pPr>
        <w:rPr>
          <w:noProof/>
        </w:rPr>
      </w:pPr>
      <w:r>
        <w:rPr>
          <w:noProof/>
        </w:rPr>
        <w:t xml:space="preserve">Det Internationale Kornråd har 28 medlemmer, bl.a. mange af verdens største kornproducenter samt importører. Ud over Unionen tæller Argentina, Australien, Canada, Egypten, Indien, Japan, Rusland, Ukraine og USA blandt medlemmerne. Derimod er hverken Kina eller Brasilien medlemmer. </w:t>
      </w:r>
    </w:p>
    <w:p>
      <w:pPr>
        <w:rPr>
          <w:noProof/>
        </w:rPr>
      </w:pPr>
      <w:r>
        <w:rPr>
          <w:noProof/>
        </w:rPr>
        <w:t xml:space="preserve">De 28 medlemmer i IGC har et samlet antal stemmer på 2 000. </w:t>
      </w:r>
    </w:p>
    <w:p>
      <w:pPr>
        <w:rPr>
          <w:noProof/>
        </w:rPr>
      </w:pPr>
      <w:r>
        <w:rPr>
          <w:noProof/>
        </w:rPr>
        <w:t>I forbindelse med budgetproceduren (se artikel 12 i konventionen), dvs. fastsættelse af medlemmernes årlige finansielle bidrag, har Unionen 367 stemmer i 2018/19</w:t>
      </w:r>
      <w:r>
        <w:rPr>
          <w:rStyle w:val="FootnoteReference"/>
          <w:noProof/>
        </w:rPr>
        <w:footnoteReference w:id="2"/>
      </w:r>
      <w:r>
        <w:rPr>
          <w:noProof/>
        </w:rPr>
        <w:t xml:space="preserve">. </w:t>
      </w:r>
    </w:p>
    <w:p>
      <w:pPr>
        <w:rPr>
          <w:noProof/>
        </w:rPr>
      </w:pPr>
      <w:r>
        <w:rPr>
          <w:noProof/>
        </w:rPr>
        <w:t>Med hensyn til beslutningstagning, dvs. når der afholdes afstemninger (se artikel 11 i konventionen), fordeles der 1 000 stemmer til 10 eksporterende medlemmer (herunder Unionen med 243 stemmer) og 1 000 stemmer til 18 importerende medlemmer. Det skal understreges, at IGC i princippet handler på grundlag af konsensus, og det er meget sjældent, at der bliver foretaget afstemning.</w:t>
      </w:r>
    </w:p>
    <w:p>
      <w:pPr>
        <w:rPr>
          <w:noProof/>
        </w:rPr>
      </w:pPr>
      <w:r>
        <w:rPr>
          <w:noProof/>
        </w:rPr>
        <w:lastRenderedPageBreak/>
        <w:t xml:space="preserve">På møderne i Det Internationale Kornråd er Unionen repræsenteret af Kommissionen. Medlemsstaterne kan deltage i IGC's møder, især i rådets møder. </w:t>
      </w:r>
    </w:p>
    <w:p>
      <w:pPr>
        <w:pStyle w:val="ManualHeading2"/>
        <w:rPr>
          <w:noProof/>
        </w:rPr>
      </w:pPr>
      <w:r>
        <w:t>2.3.</w:t>
      </w:r>
      <w:r>
        <w:tab/>
      </w:r>
      <w:r>
        <w:rPr>
          <w:noProof/>
        </w:rPr>
        <w:t>Det Internationale Kornråds påtænkte retsakt</w:t>
      </w:r>
    </w:p>
    <w:p>
      <w:pPr>
        <w:rPr>
          <w:rFonts w:eastAsia="Arial Unicode MS"/>
          <w:noProof/>
        </w:rPr>
      </w:pPr>
      <w:r>
        <w:rPr>
          <w:noProof/>
        </w:rPr>
        <w:t>Den 10. juni 2019 skal Det Internationale Kornråd på sit 49. møde vedtage en beslutning om en forlængelse af konventionen ("den påtænkte retsakt") på op til to år.</w:t>
      </w:r>
    </w:p>
    <w:p>
      <w:pPr>
        <w:rPr>
          <w:rFonts w:eastAsia="Arial Unicode MS"/>
          <w:noProof/>
        </w:rPr>
      </w:pPr>
      <w:r>
        <w:rPr>
          <w:noProof/>
        </w:rPr>
        <w:t>Formålet med den påtænkte retsakt, der er baseret på artikel 33 i konventionen, er at gøre det muligt for Det Internationale Kornråd at fortsætte sit arbejde.</w:t>
      </w:r>
    </w:p>
    <w:p>
      <w:pPr>
        <w:rPr>
          <w:rFonts w:eastAsia="Arial Unicode MS"/>
          <w:noProof/>
        </w:rPr>
      </w:pPr>
      <w:r>
        <w:rPr>
          <w:noProof/>
        </w:rPr>
        <w:t>Forlængelsen af konventionen vil omfatte perioden 1. juli 2019–30. juni 2021.</w:t>
      </w:r>
    </w:p>
    <w:p>
      <w:pPr>
        <w:pStyle w:val="ManualHeading1"/>
        <w:rPr>
          <w:rFonts w:eastAsia="Arial Unicode MS"/>
          <w:noProof/>
        </w:rPr>
      </w:pPr>
      <w:r>
        <w:t>3.</w:t>
      </w:r>
      <w:r>
        <w:tab/>
      </w:r>
      <w:r>
        <w:rPr>
          <w:noProof/>
        </w:rPr>
        <w:t>Den holdning, der skal indtages på Unionens vegne</w:t>
      </w:r>
    </w:p>
    <w:p>
      <w:pPr>
        <w:pBdr>
          <w:top w:val="nil"/>
          <w:left w:val="nil"/>
          <w:bottom w:val="nil"/>
          <w:right w:val="nil"/>
          <w:between w:val="nil"/>
          <w:bar w:val="nil"/>
        </w:pBdr>
        <w:spacing w:before="0" w:after="240"/>
        <w:rPr>
          <w:rFonts w:eastAsia="Arial Unicode MS"/>
          <w:noProof/>
        </w:rPr>
      </w:pPr>
      <w:r>
        <w:rPr>
          <w:b/>
          <w:noProof/>
        </w:rPr>
        <w:t>Konventionen om kornhandel af 1995</w:t>
      </w:r>
      <w:r>
        <w:rPr>
          <w:noProof/>
        </w:rPr>
        <w:t xml:space="preserve"> blev indgået af Unionen ved Rådets afgørelse 96/88/EF</w:t>
      </w:r>
      <w:r>
        <w:rPr>
          <w:rStyle w:val="FootnoteReference"/>
          <w:noProof/>
        </w:rPr>
        <w:footnoteReference w:id="3"/>
      </w:r>
      <w:r>
        <w:rPr>
          <w:noProof/>
        </w:rPr>
        <w:t xml:space="preserve"> indtil den 30. juni 1998 og er siden da blevet forlænget regelmæssigt. Konventionen forlænges hver gang for en periode på højst to år i overensstemmelse med artikel 33 i konventionen. Den blev senest forlænget ved beslutning truffet af Det Internationale Kornråd i juni 2017 og gælder indtil den 30. juni 2019. </w:t>
      </w:r>
    </w:p>
    <w:p>
      <w:pPr>
        <w:pBdr>
          <w:top w:val="nil"/>
          <w:left w:val="nil"/>
          <w:bottom w:val="nil"/>
          <w:right w:val="nil"/>
          <w:between w:val="nil"/>
          <w:bar w:val="nil"/>
        </w:pBdr>
        <w:spacing w:before="0" w:after="240"/>
        <w:rPr>
          <w:rFonts w:eastAsia="Arial Unicode MS"/>
          <w:noProof/>
        </w:rPr>
      </w:pPr>
      <w:r>
        <w:rPr>
          <w:noProof/>
        </w:rPr>
        <w:t>Unionen har altid været et aktivt medlem af IGC, og en yderligere forlængelse af konventionen med op til to år er i Unionens interesse. Unionen er en stor kornproducent og en ledende eksportør af hvede og byg, samtidig med at den er den største importør af majs.</w:t>
      </w:r>
      <w:r>
        <w:rPr>
          <w:noProof/>
        </w:rPr>
        <w:tab/>
      </w:r>
    </w:p>
    <w:p>
      <w:pPr>
        <w:pBdr>
          <w:top w:val="nil"/>
          <w:left w:val="nil"/>
          <w:bottom w:val="nil"/>
          <w:right w:val="nil"/>
          <w:between w:val="nil"/>
          <w:bar w:val="nil"/>
        </w:pBdr>
        <w:spacing w:before="0" w:after="240"/>
        <w:rPr>
          <w:rFonts w:eastAsia="Arial Unicode MS"/>
          <w:noProof/>
        </w:rPr>
      </w:pPr>
      <w:r>
        <w:rPr>
          <w:noProof/>
        </w:rPr>
        <w:t xml:space="preserve">Formålet med dette forslag er at indhente Rådets bemyndigelse til, at Kommissionen på Unionens vegne i Det Internationale Kornråd stemmer for, at konventionen forlænges indtil den 30. juni 2021. Den formelle beslutning om at forlænge konventionen vil efter planen blive truffet på det 49. møde i Det Internationale Kornråd den 10. juni 2019 i London, Det Forenede Kongerige. </w:t>
      </w:r>
    </w:p>
    <w:p>
      <w:pPr>
        <w:pStyle w:val="ManualHeading1"/>
        <w:rPr>
          <w:noProof/>
        </w:rPr>
      </w:pPr>
      <w:r>
        <w:t>4.</w:t>
      </w:r>
      <w:r>
        <w:tab/>
      </w:r>
      <w:r>
        <w:rPr>
          <w:noProof/>
        </w:rPr>
        <w:t>Retsgrundlag</w:t>
      </w:r>
    </w:p>
    <w:p>
      <w:pPr>
        <w:pStyle w:val="ManualHeading2"/>
        <w:rPr>
          <w:noProof/>
        </w:rPr>
      </w:pPr>
      <w:r>
        <w:t>4.1.</w:t>
      </w:r>
      <w:r>
        <w:tab/>
      </w:r>
      <w:r>
        <w:rPr>
          <w:noProof/>
        </w:rPr>
        <w:t>Proceduremæssigt retsgrundlag</w:t>
      </w:r>
    </w:p>
    <w:p>
      <w:pPr>
        <w:pStyle w:val="ManualHeading3"/>
        <w:rPr>
          <w:noProof/>
        </w:rPr>
      </w:pPr>
      <w:r>
        <w:t>4.1.1.</w:t>
      </w:r>
      <w:r>
        <w:tab/>
      </w:r>
      <w:r>
        <w:rPr>
          <w:noProof/>
        </w:rPr>
        <w:t>Principper</w:t>
      </w:r>
    </w:p>
    <w:p>
      <w:pPr>
        <w:rPr>
          <w:noProof/>
        </w:rPr>
      </w:pPr>
      <w:r>
        <w:rPr>
          <w:noProof/>
        </w:rPr>
        <w:t>I henhold til artikel 218, stk. 9, i traktaten om Den Europæiske Unions funktionsmåde (TEUF) skal Rådet vedtage afgørelser om fastlæggelse af, "</w:t>
      </w:r>
      <w:r>
        <w:rPr>
          <w:i/>
          <w:noProof/>
        </w:rPr>
        <w:t>hvilke holdninger der skal indtages på Unionens vegne i et organ nedsat ved en aftale, når dette organ skal vedtage retsakter, der har retsvirkninger, bortset fra retsakter, der supplerer eller ændrer den institutionelle ramme for aftalen</w:t>
      </w:r>
      <w:r>
        <w:rPr>
          <w:noProof/>
        </w:rPr>
        <w:t>."</w:t>
      </w:r>
    </w:p>
    <w:p>
      <w:pPr>
        <w:rPr>
          <w:noProof/>
        </w:rPr>
      </w:pPr>
      <w:r>
        <w:rPr>
          <w:noProof/>
        </w:rPr>
        <w:t>Begrebet "</w:t>
      </w:r>
      <w:r>
        <w:rPr>
          <w:i/>
          <w:noProof/>
        </w:rPr>
        <w:t>retsakter, der har retsvirkninger</w:t>
      </w:r>
      <w:r>
        <w:rPr>
          <w:noProof/>
        </w:rPr>
        <w:t>" omfatter retsakter, der har retsvirkninger i medfør af de folkeretlige regler, der gælder for det pågældende organ. Det omfatter også instrumenter, der ikke har bindende virkning i henhold til folkeretten, men som "</w:t>
      </w:r>
      <w:r>
        <w:rPr>
          <w:i/>
          <w:noProof/>
        </w:rPr>
        <w:t>vil kunne få afgørende indflydelse på indholdet af de regler, der vedtages af EU-lovgiver</w:t>
      </w:r>
      <w:r>
        <w:rPr>
          <w:noProof/>
        </w:rPr>
        <w:t>"</w:t>
      </w:r>
      <w:r>
        <w:rPr>
          <w:rStyle w:val="FootnoteReference"/>
          <w:noProof/>
        </w:rPr>
        <w:footnoteReference w:id="4"/>
      </w:r>
      <w:r>
        <w:rPr>
          <w:noProof/>
        </w:rPr>
        <w:t xml:space="preserve">. </w:t>
      </w:r>
    </w:p>
    <w:p>
      <w:pPr>
        <w:pStyle w:val="ManualHeading3"/>
        <w:rPr>
          <w:noProof/>
        </w:rPr>
      </w:pPr>
      <w:r>
        <w:t>4.1.2.</w:t>
      </w:r>
      <w:r>
        <w:tab/>
      </w:r>
      <w:r>
        <w:rPr>
          <w:noProof/>
        </w:rPr>
        <w:t>Anvendelse på det foreliggende tilfælde</w:t>
      </w:r>
    </w:p>
    <w:p>
      <w:pPr>
        <w:rPr>
          <w:noProof/>
        </w:rPr>
      </w:pPr>
      <w:r>
        <w:rPr>
          <w:noProof/>
        </w:rPr>
        <w:t>Det Internationale Kornråds påtænkte retsakt har den virkning, at den forlænger varigheden af konventionen, der er en internationalt bindende aftale for Unionen. Den påtænkte retsakt har derfor retsvirkning.</w:t>
      </w:r>
    </w:p>
    <w:p>
      <w:pPr>
        <w:rPr>
          <w:noProof/>
        </w:rPr>
      </w:pPr>
      <w:r>
        <w:rPr>
          <w:noProof/>
        </w:rPr>
        <w:lastRenderedPageBreak/>
        <w:t>Den påtænkte retsakt hverken supplerer eller ændrer den institutionelle ramme for aftalen.</w:t>
      </w:r>
    </w:p>
    <w:p>
      <w:pPr>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pStyle w:val="ManualHeading3"/>
        <w:rPr>
          <w:noProof/>
        </w:rPr>
      </w:pPr>
      <w:r>
        <w:t>4.2.1.</w:t>
      </w:r>
      <w:r>
        <w:tab/>
      </w:r>
      <w:r>
        <w:rPr>
          <w:noProof/>
        </w:rPr>
        <w:t>Principper</w:t>
      </w:r>
    </w:p>
    <w:p>
      <w:pPr>
        <w:rPr>
          <w:noProof/>
        </w:rPr>
      </w:pPr>
      <w:r>
        <w:rPr>
          <w:noProof/>
        </w:rPr>
        <w:t>Det materielle retsgrundlag for en afgørelse i henhold til artikel 218, stk. 9, i TEUF afhænger hovedsagelig af formålet med og indholdet af den påtænkte retsakt, hvortil der skal indtages en holdning på Unionens vegne. Hvis den påtænkte retsakt har et dobbelt formål eller består af to elementer, og det ene af disse formål eller disse elementer kan bestemmes som det primære, mens det andet kun er sekundært, skal den afgørelse, der vedtages i henhold til artikel 218, stk. 9, i TEUF, have ét materielt retsgrundlag, nemlig det, som det primære eller fremherskende formål eller element tilsiger.</w:t>
      </w:r>
    </w:p>
    <w:p>
      <w:pPr>
        <w:pStyle w:val="ManualHeading3"/>
        <w:rPr>
          <w:noProof/>
        </w:rPr>
      </w:pPr>
      <w:r>
        <w:t>4.2.2.</w:t>
      </w:r>
      <w:r>
        <w:tab/>
      </w:r>
      <w:r>
        <w:rPr>
          <w:noProof/>
        </w:rPr>
        <w:t>Anvendelse på det foreliggende tilfælde</w:t>
      </w:r>
    </w:p>
    <w:p>
      <w:pPr>
        <w:rPr>
          <w:noProof/>
        </w:rPr>
      </w:pPr>
      <w:r>
        <w:rPr>
          <w:noProof/>
        </w:rPr>
        <w:t>Hovedformålet med og indholdet af den påtænkte retsakt vedrører handel med landbrugsprodukter.</w:t>
      </w:r>
    </w:p>
    <w:p>
      <w:pPr>
        <w:rPr>
          <w:i/>
          <w:noProof/>
        </w:rPr>
      </w:pPr>
      <w:r>
        <w:rPr>
          <w:noProof/>
        </w:rPr>
        <w:t>Det materielle retsgrundlag for den foreslåede afgørelse er derfor artikel 207 i TEUF.</w:t>
      </w:r>
    </w:p>
    <w:p>
      <w:pPr>
        <w:pStyle w:val="ManualHeading2"/>
        <w:rPr>
          <w:noProof/>
        </w:rPr>
      </w:pPr>
      <w:r>
        <w:t>4.3.</w:t>
      </w:r>
      <w:r>
        <w:tab/>
      </w:r>
      <w:r>
        <w:rPr>
          <w:noProof/>
        </w:rPr>
        <w:t>Konklusion</w:t>
      </w:r>
    </w:p>
    <w:p>
      <w:pPr>
        <w:rPr>
          <w:noProof/>
        </w:rPr>
      </w:pPr>
      <w:r>
        <w:rPr>
          <w:noProof/>
        </w:rPr>
        <w:t>Retsgrundlaget for den foreslåede afgørelse bør være artikel 207 i TEUF sammenholdt med artikel 218, stk. 9, i TEUF.</w:t>
      </w:r>
    </w:p>
    <w:p>
      <w:pPr>
        <w:pStyle w:val="ManualHeading1"/>
        <w:rPr>
          <w:noProof/>
        </w:rPr>
      </w:pPr>
      <w:r>
        <w:t>5.</w:t>
      </w:r>
      <w:r>
        <w:tab/>
      </w:r>
      <w:r>
        <w:rPr>
          <w:noProof/>
        </w:rPr>
        <w:t>Offentliggørelse af den påtænkte retsakt</w:t>
      </w:r>
    </w:p>
    <w:p>
      <w:pPr>
        <w:rPr>
          <w:noProof/>
        </w:rPr>
      </w:pPr>
      <w:r>
        <w:rPr>
          <w:noProof/>
        </w:rPr>
        <w:t xml:space="preserve">Da Det Internationale Kornråds retsakt forlænger konventionens varighed, bør den offentliggøres i </w:t>
      </w:r>
      <w:r>
        <w:rPr>
          <w:i/>
          <w:noProof/>
        </w:rPr>
        <w:t xml:space="preserve">Den Europæiske Unions Tidende </w:t>
      </w:r>
      <w:r>
        <w:rPr>
          <w:noProof/>
        </w:rPr>
        <w:t>efter vedtagelsen.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2019/0089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fastlæggelse af den holdning, der skal indtages på vegne af Den Europæiske Union i Det Internationale Kornråd for så vidt angår forlængelsen af konventionen om kornhandel af 1995</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207 sammenholdt med artikel 218, stk. 9,</w:t>
      </w:r>
    </w:p>
    <w:p>
      <w:pPr>
        <w:rPr>
          <w:noProof/>
        </w:rPr>
      </w:pPr>
      <w:r>
        <w:rPr>
          <w:noProof/>
        </w:rPr>
        <w:t>under henvisning til forslag fra Europa-Kommissionen,</w:t>
      </w:r>
    </w:p>
    <w:p>
      <w:pPr>
        <w:rPr>
          <w:noProof/>
        </w:rPr>
      </w:pPr>
      <w:r>
        <w:rPr>
          <w:noProof/>
        </w:rPr>
        <w:t>ud fra følgende betragtninger:</w:t>
      </w:r>
    </w:p>
    <w:p>
      <w:pPr>
        <w:pStyle w:val="ManualConsidrant"/>
        <w:rPr>
          <w:noProof/>
        </w:rPr>
      </w:pPr>
      <w:r>
        <w:t>(1)</w:t>
      </w:r>
      <w:r>
        <w:tab/>
      </w:r>
      <w:r>
        <w:rPr>
          <w:noProof/>
        </w:rPr>
        <w:t>Konventionen om kornhandel af 1995 ("konventionen") blev indgået af Unionen ved Rådets afgørelse 96/88/EF</w:t>
      </w:r>
      <w:r>
        <w:rPr>
          <w:rStyle w:val="FootnoteReference"/>
          <w:noProof/>
        </w:rPr>
        <w:footnoteReference w:id="5"/>
      </w:r>
      <w:r>
        <w:rPr>
          <w:noProof/>
        </w:rPr>
        <w:t xml:space="preserve"> og trådte i kraft den 1. juli 1995. Konventionen blev indgået for en periode på tre år og er siden da med regelmæssige mellemrum blevet forlænget med yderligere to år ad gangen. Den blev senest forlænget ved en beslutning truffet af Det Internationale Kornråd i juni 2017</w:t>
      </w:r>
      <w:r>
        <w:rPr>
          <w:rStyle w:val="FootnoteReference"/>
          <w:noProof/>
        </w:rPr>
        <w:footnoteReference w:id="6"/>
      </w:r>
      <w:r>
        <w:rPr>
          <w:noProof/>
        </w:rPr>
        <w:t xml:space="preserve"> og er gyldig indtil den 30. juni 2019. </w:t>
      </w:r>
    </w:p>
    <w:p>
      <w:pPr>
        <w:pStyle w:val="ManualConsidrant"/>
        <w:rPr>
          <w:noProof/>
        </w:rPr>
      </w:pPr>
      <w:r>
        <w:t>(2)</w:t>
      </w:r>
      <w:r>
        <w:tab/>
      </w:r>
      <w:r>
        <w:rPr>
          <w:noProof/>
        </w:rPr>
        <w:t>I henhold til artikel 33 i konventionen kan Det Internationale Kornråd forlænge konventionen med på hinanden følgende perioder, der hver for sig ikke må overstige to år.</w:t>
      </w:r>
    </w:p>
    <w:p>
      <w:pPr>
        <w:pStyle w:val="ManualConsidrant"/>
        <w:rPr>
          <w:noProof/>
        </w:rPr>
      </w:pPr>
      <w:r>
        <w:t>(3)</w:t>
      </w:r>
      <w:r>
        <w:tab/>
      </w:r>
      <w:r>
        <w:rPr>
          <w:noProof/>
        </w:rPr>
        <w:t xml:space="preserve">Det Internationale Kornråd skal på sit 49. møde, der skal afholdes den 10. juni 2019, træffe beslutning om konventionens forlængelse frem til den 30. juni 2021. </w:t>
      </w:r>
    </w:p>
    <w:p>
      <w:pPr>
        <w:pStyle w:val="ManualConsidrant"/>
        <w:rPr>
          <w:noProof/>
        </w:rPr>
      </w:pPr>
      <w:r>
        <w:t>(4)</w:t>
      </w:r>
      <w:r>
        <w:tab/>
      </w:r>
      <w:r>
        <w:rPr>
          <w:noProof/>
        </w:rPr>
        <w:t>Den holdning, der skal indtages på Unionens vegne på det 49. møde i Det Internationale Kornråd bør fastlægges, da en forlængelse af konventionen er i Unionens interesse —</w:t>
      </w:r>
    </w:p>
    <w:p>
      <w:pPr>
        <w:pStyle w:val="Formuledadoption"/>
        <w:rPr>
          <w:noProof/>
        </w:rPr>
      </w:pPr>
      <w:r>
        <w:rPr>
          <w:noProof/>
        </w:rPr>
        <w:t>VEDTAGET DENNE AFGØRELSE:</w:t>
      </w:r>
    </w:p>
    <w:p>
      <w:pPr>
        <w:pStyle w:val="Titrearticle"/>
        <w:rPr>
          <w:noProof/>
        </w:rPr>
      </w:pPr>
      <w:r>
        <w:rPr>
          <w:noProof/>
        </w:rPr>
        <w:t>Artikel 1</w:t>
      </w:r>
    </w:p>
    <w:p>
      <w:pPr>
        <w:rPr>
          <w:i/>
          <w:noProof/>
        </w:rPr>
      </w:pPr>
      <w:r>
        <w:rPr>
          <w:noProof/>
        </w:rPr>
        <w:t>Den holdning, som Kommissionen skal indtage på Unionens vegne på det 49. møde i Det Internationale Kornråd, er at stemme for, at konventionen om kornhandel af 1995 forlænges for endnu en periode på op til to år frem til den 30. juni 2021.</w:t>
      </w:r>
    </w:p>
    <w:p>
      <w:pPr>
        <w:pStyle w:val="Titrearticle"/>
        <w:rPr>
          <w:noProof/>
        </w:rPr>
      </w:pPr>
      <w:r>
        <w:rPr>
          <w:noProof/>
        </w:rPr>
        <w:t>Artikel 2</w:t>
      </w:r>
    </w:p>
    <w:p>
      <w:pPr>
        <w:keepNext/>
        <w:keepLines/>
        <w:rPr>
          <w:noProof/>
        </w:rPr>
      </w:pPr>
      <w:r>
        <w:rPr>
          <w:noProof/>
        </w:rPr>
        <w:t>Denne afgørelse er rettet til Kommissionen.</w:t>
      </w:r>
    </w:p>
    <w:p>
      <w:pPr>
        <w:pStyle w:val="Fait"/>
        <w:rPr>
          <w:noProof/>
        </w:rPr>
      </w:pPr>
      <w:r>
        <w:lastRenderedPageBreak/>
        <w:t xml:space="preserve">Udfærdiget i Bruxelles, den </w:t>
      </w:r>
      <w:r>
        <w:rPr>
          <w:rStyle w:val="Marker"/>
        </w:rPr>
        <w:t>[…]</w:t>
      </w:r>
      <w:r>
        <w:t>.</w:t>
      </w:r>
    </w:p>
    <w:p>
      <w:pPr>
        <w:pStyle w:val="Institutionquisigne"/>
        <w:rPr>
          <w:noProof/>
        </w:rPr>
      </w:pPr>
      <w:r>
        <w:rPr>
          <w:noProof/>
        </w:rPr>
        <w:tab/>
        <w:t>På Rådets vegne</w:t>
      </w:r>
    </w:p>
    <w:p>
      <w:pPr>
        <w:pStyle w:val="Personnequisigne"/>
        <w:keepNext/>
        <w:rPr>
          <w:noProof/>
        </w:rPr>
      </w:pPr>
      <w:r>
        <w:rPr>
          <w:noProof/>
        </w:rPr>
        <w:tab/>
        <w:t>Formand</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lastRenderedPageBreak/>
              <w:t>FINANSIERINGSOVERSIGT</w:t>
            </w:r>
          </w:p>
        </w:tc>
        <w:tc>
          <w:tcPr>
            <w:tcW w:w="1984" w:type="dxa"/>
            <w:gridSpan w:val="3"/>
          </w:tcPr>
          <w:p>
            <w:pPr>
              <w:pStyle w:val="Fichefinanciretextetable"/>
              <w:keepNext/>
              <w:rPr>
                <w:noProof/>
              </w:rPr>
            </w:pPr>
            <w:r>
              <w:rPr>
                <w:noProof/>
              </w:rPr>
              <w:t>FinancSt/10/</w:t>
            </w:r>
            <w:r>
              <w:rPr>
                <w:noProof/>
              </w:rPr>
              <w:br/>
              <w:t>PS/pl/1100670</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rPr>
                <w:noProof/>
              </w:rPr>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rPr>
                <w:noProof/>
              </w:rPr>
            </w:pPr>
            <w:r>
              <w:rPr>
                <w:noProof/>
              </w:rPr>
              <w:t>DATO: 14.2.2019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BUDGETPOST:</w:t>
            </w:r>
          </w:p>
          <w:p>
            <w:pPr>
              <w:pStyle w:val="Fichefinanciretextetable"/>
              <w:keepNext/>
              <w:rPr>
                <w:noProof/>
              </w:rPr>
            </w:pPr>
            <w:r>
              <w:rPr>
                <w:noProof/>
              </w:rPr>
              <w:t>Kapitel 05 06 INTERNATIONALE ASPEKTER VEDRØRENDE POLITIKOMRÅDET LANDBRUG OG UDVIKLING AF LANDDISTRIKTER</w:t>
            </w:r>
          </w:p>
          <w:p>
            <w:pPr>
              <w:pStyle w:val="Fichefinanciretextetable"/>
              <w:keepNext/>
              <w:rPr>
                <w:noProof/>
              </w:rPr>
            </w:pPr>
            <w:r>
              <w:rPr>
                <w:noProof/>
              </w:rPr>
              <w:t>05 06 01 Internationale aftaler på landbrugsområdet</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BEVILLINGER:</w:t>
            </w:r>
          </w:p>
          <w:p>
            <w:pPr>
              <w:pStyle w:val="Fichefinanciretextetable"/>
              <w:keepNext/>
              <w:rPr>
                <w:noProof/>
              </w:rPr>
            </w:pPr>
            <w:r>
              <w:rPr>
                <w:noProof/>
              </w:rPr>
              <w:t>B2019 6 300 000 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FORANSTALTNINGENS BETEGNELSE:</w:t>
            </w:r>
          </w:p>
          <w:p>
            <w:pPr>
              <w:pStyle w:val="Fichefinanciretextetable"/>
              <w:keepNext/>
              <w:rPr>
                <w:noProof/>
              </w:rPr>
            </w:pPr>
            <w:r>
              <w:rPr>
                <w:noProof/>
              </w:rPr>
              <w:t>Forslag til Rådets afgørelse om fastsættelse af den holdning, der skal indtages på vegne af Den Europæiske Union i Det Internationale Kornråd for så vidt angår forlængelsen af konventionen om kornhandel af 1995.</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RETSGRUNDLAG: Artikel 207 sammenholdt med artikel 218, stk. 9, i traktaten om Den Europæiske Unions funktionsmåde.</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FORMÅL:</w:t>
            </w:r>
          </w:p>
          <w:p>
            <w:pPr>
              <w:pStyle w:val="Fichefinanciretextetable"/>
              <w:keepNext/>
              <w:rPr>
                <w:noProof/>
              </w:rPr>
            </w:pPr>
            <w:r>
              <w:rPr>
                <w:noProof/>
              </w:rPr>
              <w:t>Forlængelse af konventionen om kornhandel af 1995 med yderligere to år (fra 1.7.2019 til 30.6.2021).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FINANSIELLE VIRKNINGER</w:t>
            </w:r>
          </w:p>
        </w:tc>
        <w:tc>
          <w:tcPr>
            <w:tcW w:w="1417" w:type="dxa"/>
          </w:tcPr>
          <w:p>
            <w:pPr>
              <w:pStyle w:val="Fichefinanciretextetable"/>
              <w:keepNext/>
              <w:jc w:val="center"/>
              <w:rPr>
                <w:noProof/>
              </w:rPr>
            </w:pPr>
            <w:r>
              <w:rPr>
                <w:noProof/>
              </w:rPr>
              <w:t>12- MÅNEDERS PERIODE</w:t>
            </w:r>
            <w:r>
              <w:rPr>
                <w:noProof/>
              </w:rPr>
              <w:br/>
            </w:r>
            <w:r>
              <w:rPr>
                <w:noProof/>
              </w:rPr>
              <w:br/>
            </w:r>
            <w:r>
              <w:rPr>
                <w:noProof/>
              </w:rPr>
              <w:br/>
              <w:t>(mio. EUR)</w:t>
            </w:r>
          </w:p>
        </w:tc>
        <w:tc>
          <w:tcPr>
            <w:tcW w:w="1559" w:type="dxa"/>
            <w:gridSpan w:val="2"/>
          </w:tcPr>
          <w:p>
            <w:pPr>
              <w:pStyle w:val="Fichefinanciretextetable"/>
              <w:keepNext/>
              <w:jc w:val="center"/>
              <w:rPr>
                <w:noProof/>
              </w:rPr>
            </w:pPr>
            <w:r>
              <w:rPr>
                <w:noProof/>
              </w:rPr>
              <w:t>INDEVÆRENDE REGNSKABSÅR</w:t>
            </w:r>
          </w:p>
          <w:p>
            <w:pPr>
              <w:pStyle w:val="Fichefinanciretextetable"/>
              <w:keepNext/>
              <w:jc w:val="center"/>
              <w:rPr>
                <w:noProof/>
              </w:rPr>
            </w:pPr>
            <w:r>
              <w:rPr>
                <w:noProof/>
              </w:rPr>
              <w:t>2019</w:t>
            </w:r>
          </w:p>
          <w:p>
            <w:pPr>
              <w:pStyle w:val="Fichefinanciretextetable"/>
              <w:keepNext/>
              <w:jc w:val="center"/>
              <w:rPr>
                <w:noProof/>
              </w:rPr>
            </w:pPr>
            <w:r>
              <w:rPr>
                <w:noProof/>
              </w:rPr>
              <w:t>(mio. EUR)</w:t>
            </w:r>
          </w:p>
        </w:tc>
        <w:tc>
          <w:tcPr>
            <w:tcW w:w="1701" w:type="dxa"/>
            <w:gridSpan w:val="2"/>
          </w:tcPr>
          <w:p>
            <w:pPr>
              <w:pStyle w:val="Fichefinanciretextetable"/>
              <w:keepNext/>
              <w:jc w:val="center"/>
              <w:rPr>
                <w:noProof/>
              </w:rPr>
            </w:pPr>
            <w:r>
              <w:rPr>
                <w:noProof/>
              </w:rPr>
              <w:t>FØLGENDE REGNSKABSÅR</w:t>
            </w:r>
          </w:p>
          <w:p>
            <w:pPr>
              <w:pStyle w:val="Fichefinanciretextetable"/>
              <w:keepNext/>
              <w:jc w:val="center"/>
              <w:rPr>
                <w:noProof/>
              </w:rPr>
            </w:pPr>
            <w:r>
              <w:rPr>
                <w:noProof/>
              </w:rPr>
              <w:t>2020</w:t>
            </w:r>
          </w:p>
          <w:p>
            <w:pPr>
              <w:pStyle w:val="Fichefinanciretextetable"/>
              <w:keepNext/>
              <w:jc w:val="center"/>
              <w:rPr>
                <w:noProof/>
              </w:rPr>
            </w:pPr>
            <w:r>
              <w:rPr>
                <w:noProof/>
              </w:rPr>
              <w:t>(mio.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UDGIFTER</w:t>
            </w:r>
          </w:p>
          <w:p>
            <w:pPr>
              <w:pStyle w:val="Fichefinanciretextetable"/>
              <w:keepNext/>
              <w:rPr>
                <w:noProof/>
              </w:rPr>
            </w:pPr>
            <w:r>
              <w:rPr>
                <w:noProof/>
              </w:rPr>
              <w:t>-</w:t>
            </w:r>
            <w:r>
              <w:rPr>
                <w:noProof/>
              </w:rPr>
              <w:tab/>
              <w:t>OVER EU-BUDGETTET</w:t>
            </w:r>
            <w:r>
              <w:rPr>
                <w:noProof/>
              </w:rPr>
              <w:br/>
              <w:t>(RESTITUTIONER/INTERVENTIONER)</w:t>
            </w:r>
          </w:p>
          <w:p>
            <w:pPr>
              <w:pStyle w:val="Fichefinanciretextetable"/>
              <w:keepNext/>
              <w:rPr>
                <w:noProof/>
              </w:rPr>
            </w:pPr>
            <w:r>
              <w:rPr>
                <w:noProof/>
              </w:rPr>
              <w:t>-</w:t>
            </w:r>
            <w:r>
              <w:rPr>
                <w:noProof/>
              </w:rPr>
              <w:tab/>
              <w:t>OVER NATIONALE BUDGETTER</w:t>
            </w:r>
          </w:p>
          <w:p>
            <w:pPr>
              <w:pStyle w:val="Fichefinanciretextetable"/>
              <w:keepNext/>
              <w:rPr>
                <w:noProof/>
              </w:rPr>
            </w:pPr>
            <w:r>
              <w:rPr>
                <w:noProof/>
              </w:rPr>
              <w:t>-</w:t>
            </w:r>
            <w:r>
              <w:rPr>
                <w:noProof/>
              </w:rPr>
              <w:tab/>
              <w:t>AF ANDRE</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r>
              <w:rPr>
                <w:noProof/>
              </w:rPr>
              <w:t>0,41</w:t>
            </w:r>
          </w:p>
        </w:tc>
        <w:tc>
          <w:tcPr>
            <w:tcW w:w="1701" w:type="dxa"/>
            <w:gridSpan w:val="2"/>
          </w:tcPr>
          <w:p>
            <w:pPr>
              <w:pStyle w:val="Fichefinanciretextetable"/>
              <w:keepNext/>
              <w:jc w:val="center"/>
              <w:rPr>
                <w:noProof/>
              </w:rPr>
            </w:pPr>
            <w:r>
              <w:rPr>
                <w:noProof/>
              </w:rPr>
              <w:t>0,35</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INDTÆGTER</w:t>
            </w:r>
          </w:p>
          <w:p>
            <w:pPr>
              <w:pStyle w:val="Fichefinanciretextetable"/>
              <w:keepNext/>
              <w:rPr>
                <w:noProof/>
              </w:rPr>
            </w:pPr>
            <w:r>
              <w:rPr>
                <w:noProof/>
              </w:rPr>
              <w:t>-</w:t>
            </w:r>
            <w:r>
              <w:rPr>
                <w:noProof/>
              </w:rPr>
              <w:tab/>
              <w:t xml:space="preserve">EU's EGNE INDTÆGTER </w:t>
            </w:r>
            <w:r>
              <w:rPr>
                <w:noProof/>
              </w:rPr>
              <w:br/>
              <w:t>(AFGIFTER/TOLD)</w:t>
            </w:r>
          </w:p>
          <w:p>
            <w:pPr>
              <w:pStyle w:val="Fichefinanciretextetable"/>
              <w:keepNext/>
              <w:rPr>
                <w:noProof/>
              </w:rPr>
            </w:pPr>
            <w:r>
              <w:rPr>
                <w:noProof/>
              </w:rPr>
              <w:t>-</w:t>
            </w:r>
            <w:r>
              <w:rPr>
                <w:noProof/>
              </w:rPr>
              <w:tab/>
              <w:t>NATIONALE KILDER</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UDGIFTSOVERSLAG</w:t>
            </w:r>
          </w:p>
        </w:tc>
        <w:tc>
          <w:tcPr>
            <w:tcW w:w="1417" w:type="dxa"/>
            <w:tcBorders>
              <w:bottom w:val="nil"/>
            </w:tcBorders>
          </w:tcPr>
          <w:p>
            <w:pPr>
              <w:pStyle w:val="Fichefinanciretextetable"/>
              <w:keepNext/>
              <w:jc w:val="center"/>
              <w:rPr>
                <w:noProof/>
              </w:rPr>
            </w:pPr>
            <w:r>
              <w:rPr>
                <w:noProof/>
              </w:rPr>
              <w:t>-</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INDTÆGTSOVERSLAG</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BEREGNINGSMÅDE: Baseret på et skøn over antallet af stemmer fra EU (varierer hvert år) og et skøn over det beløb, der betales pr. stemme i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ER FINANSIERING MULIG OVER DE BEVILLINGER, DER PÅ DET LØBENDE BUDGET ER OPFØRT UNDER DET RELEVANTE KAPITEL?</w:t>
            </w:r>
          </w:p>
        </w:tc>
        <w:tc>
          <w:tcPr>
            <w:tcW w:w="850" w:type="dxa"/>
            <w:tcBorders>
              <w:left w:val="nil"/>
              <w:bottom w:val="nil"/>
            </w:tcBorders>
          </w:tcPr>
          <w:p>
            <w:pPr>
              <w:pStyle w:val="Fichefinanciretextetable"/>
              <w:keepNext/>
              <w:jc w:val="center"/>
              <w:rPr>
                <w:noProof/>
              </w:rPr>
            </w:pPr>
            <w:r>
              <w:rPr>
                <w:noProof/>
              </w:rPr>
              <w:t xml:space="preserve">JA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ER FINANSIERING MULIG VED OVERFØRSEL MELLEM KAPITLER PÅ DET LØBENDE BUDGET?</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ER ET TILLÆGSBUDGET NØDVENDIGT?</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BEVILLINGER TIL OPFØRELSE PÅ KOMMENDE BUDGETTER?</w:t>
            </w:r>
          </w:p>
        </w:tc>
        <w:tc>
          <w:tcPr>
            <w:tcW w:w="850" w:type="dxa"/>
            <w:tcBorders>
              <w:left w:val="nil"/>
            </w:tcBorders>
          </w:tcPr>
          <w:p>
            <w:pPr>
              <w:pStyle w:val="Fichefinanciretextetable"/>
              <w:keepNext/>
              <w:jc w:val="center"/>
              <w:rPr>
                <w:noProof/>
              </w:rPr>
            </w:pPr>
            <w:r>
              <w:rPr>
                <w:noProof/>
              </w:rPr>
              <w:t xml:space="preserve">JA </w:t>
            </w:r>
          </w:p>
        </w:tc>
      </w:tr>
      <w:tr>
        <w:tc>
          <w:tcPr>
            <w:tcW w:w="9128" w:type="dxa"/>
            <w:gridSpan w:val="7"/>
          </w:tcPr>
          <w:p>
            <w:pPr>
              <w:pStyle w:val="Fichefinanciretextetable"/>
              <w:keepNext/>
              <w:rPr>
                <w:noProof/>
              </w:rPr>
            </w:pPr>
            <w:r>
              <w:rPr>
                <w:noProof/>
              </w:rPr>
              <w:t>BEMÆRKNINGER:</w:t>
            </w:r>
          </w:p>
          <w:p>
            <w:pPr>
              <w:keepNext/>
              <w:autoSpaceDE w:val="0"/>
              <w:autoSpaceDN w:val="0"/>
              <w:adjustRightInd w:val="0"/>
              <w:rPr>
                <w:noProof/>
                <w:sz w:val="20"/>
              </w:rPr>
            </w:pPr>
            <w:r>
              <w:rPr>
                <w:noProof/>
                <w:sz w:val="20"/>
              </w:rPr>
              <w:t xml:space="preserve">Det beløb, der reelt udbetales, kan variere afhængigt af det endelige antal stemmer, som EU tildeles, det beløb, der betales pr. stemme i GBP, og valutakursen EUR/GBP. </w:t>
            </w:r>
          </w:p>
          <w:p>
            <w:pPr>
              <w:pStyle w:val="Fichefinanciretextetable"/>
              <w:keepNext/>
              <w:rPr>
                <w:noProof/>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21 af 27.1.1996, s. 47.</w:t>
      </w:r>
    </w:p>
  </w:footnote>
  <w:footnote w:id="2">
    <w:p>
      <w:pPr>
        <w:pStyle w:val="FootnoteText"/>
        <w:rPr>
          <w:lang w:val="en-US"/>
        </w:rPr>
      </w:pPr>
      <w:r>
        <w:rPr>
          <w:rStyle w:val="FootnoteReference"/>
        </w:rPr>
        <w:footnoteRef/>
      </w:r>
      <w:r>
        <w:tab/>
        <w:t>Det Internationale Kornråd udøver sine aktiviteter på grundlag af regnskabsåret, der løber fra den 1. juli til den 30. juni.</w:t>
      </w:r>
    </w:p>
  </w:footnote>
  <w:footnote w:id="3">
    <w:p>
      <w:pPr>
        <w:pStyle w:val="FootnoteText"/>
      </w:pPr>
      <w:r>
        <w:rPr>
          <w:rStyle w:val="FootnoteReference"/>
        </w:rPr>
        <w:footnoteRef/>
      </w:r>
      <w:r>
        <w:tab/>
        <w:t>EFT L 21 af 27.1.1996, s. 47.</w:t>
      </w:r>
    </w:p>
  </w:footnote>
  <w:footnote w:id="4">
    <w:p>
      <w:pPr>
        <w:pStyle w:val="FootnoteText"/>
      </w:pPr>
      <w:r>
        <w:rPr>
          <w:rStyle w:val="FootnoteReference"/>
        </w:rPr>
        <w:footnoteRef/>
      </w:r>
      <w:r>
        <w:tab/>
        <w:t xml:space="preserve">Domstolens dom af 7. oktober 2014, Tyskland mod Rådet, C-399/12, ECLI:EU:C:2014:2258, præmis 61-64. </w:t>
      </w:r>
    </w:p>
  </w:footnote>
  <w:footnote w:id="5">
    <w:p>
      <w:pPr>
        <w:pStyle w:val="FootnoteText"/>
      </w:pPr>
      <w:r>
        <w:rPr>
          <w:rStyle w:val="FootnoteReference"/>
        </w:rPr>
        <w:footnoteRef/>
      </w:r>
      <w:r>
        <w:tab/>
        <w:t>Rådets afgørelse 96/88/EC af 19. december 1995 om Det Europæiske Fællesskabs godkendelse af konventionen om kornhandel og konventionen om fødevarehjælp, der tilsammen udgør den internationale kornoverenskomst af 1995 (EFT L 21 af 27.1.1996, s. 47).</w:t>
      </w:r>
    </w:p>
  </w:footnote>
  <w:footnote w:id="6">
    <w:p>
      <w:pPr>
        <w:pStyle w:val="FootnoteText"/>
        <w:rPr>
          <w:lang w:val="en-US"/>
        </w:rPr>
      </w:pPr>
      <w:r>
        <w:rPr>
          <w:rStyle w:val="FootnoteReference"/>
        </w:rPr>
        <w:footnoteRef/>
      </w:r>
      <w:r>
        <w:tab/>
        <w:t>Oplysninger om forlængelse af konventionen om kornhandel (1995) (EUT L 12 af 17.1.2018,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78B5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366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C69B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C60D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BEF7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8ABF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996B3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FA82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5 14:10: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318CB9C5-CFDD-4432-9122-3994F310BAE8"/>
    <w:docVar w:name="LW_COVERPAGE_TYPE" w:val="1"/>
    <w:docVar w:name="LW_CROSSREFERENCE" w:val="&lt;UNUSED&gt;"/>
    <w:docVar w:name="LW_DocType" w:val="COM"/>
    <w:docVar w:name="LW_EMISSION" w:val="4.4.2019"/>
    <w:docVar w:name="LW_EMISSION_ISODATE" w:val="2019-04-04"/>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89"/>
    <w:docVar w:name="LW_REF.II.NEW.CP_YEAR" w:val="2019"/>
    <w:docVar w:name="LW_REF.INST.NEW" w:val="COM"/>
    <w:docVar w:name="LW_REF.INST.NEW_ADOPTED" w:val="final"/>
    <w:docVar w:name="LW_REF.INST.NEW_TEXT" w:val="(2019) 1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fastlæggelse af den holdning, der skal indtages på vegne af Den Europæiske Union i Det Internationale Kornråd for så vidt angår forlængelsen af konventionen om kornhandel af 1995"/>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5F1617-FD71-40B9-936E-ED0CC7DD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1558</Words>
  <Characters>8804</Characters>
  <Application>Microsoft Office Word</Application>
  <DocSecurity>0</DocSecurity>
  <Lines>244</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2019-02-06T14:50:00Z</cp:lastPrinted>
  <dcterms:created xsi:type="dcterms:W3CDTF">2019-03-25T13:09:00Z</dcterms:created>
  <dcterms:modified xsi:type="dcterms:W3CDTF">2019-04-02T08:31:00Z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Yellow (DQC version 03)</vt:lpwstr>
  </property>
</Properties>
</file>