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8B7B213-52C6-4570-95B6-D28ECF4804C4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Předmět návrhu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Tento návrh se týká rozhodnutí o postoji, který má být jménem Unie zaujat v Mezinárodní radě pro obiloviny v souvislosti s plánovaným přijetím prodloužení </w:t>
      </w:r>
      <w:r>
        <w:rPr>
          <w:b/>
          <w:noProof/>
        </w:rPr>
        <w:t>Úmluvy o obchodu s obilovinami z roku 1995</w:t>
      </w:r>
      <w:r>
        <w:rPr>
          <w:noProof/>
        </w:rPr>
        <w:t xml:space="preserve"> do 30. června 2021.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Souvislosti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Úmluva o obchodu s obilovinami z roku 1995</w:t>
      </w:r>
    </w:p>
    <w:p>
      <w:pPr>
        <w:rPr>
          <w:rFonts w:eastAsia="Arial Unicode MS"/>
          <w:noProof/>
        </w:rPr>
      </w:pPr>
      <w:r>
        <w:rPr>
          <w:noProof/>
        </w:rPr>
        <w:t>Cílem Úmluvy o obchodu s obilovinami z roku 1995 (dále jen „úmluva“) je prohloubit mezinárodní spolupráci ve všech aspektech obchodu s obilovinami, podpořit rozšíření mezinárodního obchodu s obilovinami a zabezpečit co možná nejplynulejší tok obchodu v této oblasti. Úmluva má dále v co nejvyšší možné míře přispět ke stabilitě mezinárodních trhů s obilovinami v zájmu všech členů, posílit zabezpečení potravin ve světě a poskytnout fórum pro výměnu informací a projednání obav členů týkajících se obchodu s obilovinami.</w:t>
      </w:r>
    </w:p>
    <w:p>
      <w:pPr>
        <w:rPr>
          <w:rFonts w:eastAsia="Arial Unicode MS"/>
          <w:noProof/>
        </w:rPr>
      </w:pPr>
      <w:r>
        <w:rPr>
          <w:noProof/>
        </w:rPr>
        <w:t>Úmluva vstoupila v platnost dne 1. července 1995.</w:t>
      </w:r>
    </w:p>
    <w:p>
      <w:pPr>
        <w:rPr>
          <w:rFonts w:eastAsia="Arial Unicode MS"/>
          <w:noProof/>
        </w:rPr>
      </w:pPr>
      <w:r>
        <w:rPr>
          <w:noProof/>
        </w:rPr>
        <w:t>Unie je smluvní stranou této úmluvy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Mezinárodní rada pro obiloviny</w:t>
      </w:r>
    </w:p>
    <w:p>
      <w:pPr>
        <w:rPr>
          <w:rFonts w:eastAsia="Arial Unicode MS"/>
          <w:noProof/>
        </w:rPr>
      </w:pPr>
      <w:r>
        <w:rPr>
          <w:noProof/>
        </w:rPr>
        <w:t>Mezinárodní rada pro obiloviny je mezivládní organizace, která usiluje o splnění cílů stanovených v článku 1 úmluvy. Usiluje především o: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prohloubení mezinárodní spolupráce ve všech aspektech obchodu s obilovinami;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podporu rozšiřování, otevřenosti a spravedlnosti mezinárodního obchodu v odvětví obilovin; </w:t>
      </w:r>
    </w:p>
    <w:p>
      <w:pPr>
        <w:rPr>
          <w:rFonts w:eastAsia="Arial Unicode MS"/>
          <w:noProof/>
        </w:rPr>
      </w:pPr>
      <w:r>
        <w:rPr>
          <w:noProof/>
        </w:rPr>
        <w:t>přispívání ke stabilitě mezinárodního trhu s obilovinami, posílení zabezpečení potravin ve světě a přispívání k rozvoji zemí, jejichž hospodářství jsou závislá na obchodním prodeji obilovin.</w:t>
      </w:r>
    </w:p>
    <w:p>
      <w:pPr>
        <w:rPr>
          <w:rFonts w:eastAsia="Arial Unicode MS"/>
          <w:noProof/>
        </w:rPr>
      </w:pPr>
      <w:r>
        <w:rPr>
          <w:noProof/>
        </w:rPr>
        <w:t>O tyto cíle je usilováno na základě zlepšování transparentnosti trhu prostřednictvím sdílení informací, analýz a konzultací týkajících se vývoje trhu a politiky.</w:t>
      </w:r>
    </w:p>
    <w:p>
      <w:pPr>
        <w:rPr>
          <w:noProof/>
        </w:rPr>
      </w:pPr>
      <w:r>
        <w:rPr>
          <w:noProof/>
        </w:rPr>
        <w:t xml:space="preserve">Mezinárodní rada pro obiloviny se skládá z 28 členů, mezi které patří mnoho největších pěstitelů i dovozců obilovin na světě. Kromě Unie jsou jejími členy mimo jiné i Argentina, Austrálie, Egypt, Indie, Japonsko, Kanada, Rusko, Ukrajina a USA. Čína a Brazílie však mezi členy nepatří. </w:t>
      </w:r>
    </w:p>
    <w:p>
      <w:pPr>
        <w:rPr>
          <w:noProof/>
        </w:rPr>
      </w:pPr>
      <w:r>
        <w:rPr>
          <w:noProof/>
        </w:rPr>
        <w:t xml:space="preserve">Těchto 28 členů Mezinárodní rady pro obiloviny má celkem 2 000 hlasů. </w:t>
      </w:r>
    </w:p>
    <w:p>
      <w:pPr>
        <w:rPr>
          <w:noProof/>
        </w:rPr>
      </w:pPr>
      <w:r>
        <w:rPr>
          <w:noProof/>
        </w:rPr>
        <w:t>Při rozpočtových procesech (viz článek 12 úmluvy), tj. při stanovování  ročních finančních příspěvků členů, má Unie v období 2018/19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 367 hlasů. </w:t>
      </w:r>
    </w:p>
    <w:p>
      <w:pPr>
        <w:rPr>
          <w:noProof/>
        </w:rPr>
      </w:pPr>
      <w:r>
        <w:rPr>
          <w:noProof/>
        </w:rPr>
        <w:t>Při rozhodování, tj. při hlasování (viz článek 11 úmluvy), je 1 000 hlasů je rozděleno mezi 10 vyvážejících členů (včetně Unie s 243 hlasy) a 1 000 hlasů mezi 18 dovážejících členů. Je třeba zdůraznit, že Mezinárodní rada pro obiloviny funguje v zásadě na základě konsensu a k hlasování dochází pouze výjimečně.</w:t>
      </w:r>
    </w:p>
    <w:p>
      <w:pPr>
        <w:rPr>
          <w:noProof/>
        </w:rPr>
      </w:pPr>
      <w:r>
        <w:rPr>
          <w:noProof/>
        </w:rPr>
        <w:lastRenderedPageBreak/>
        <w:t xml:space="preserve">Unie je na schůzích Mezinárodní rady pro obiloviny zastoupena Komisí. Členské státy se mohou účastnit schůzí Mezinárodní rady pro obiloviny, zejména pak zasedání Rady.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Zamýšlený akt Mezinárodní rady pro obiloviny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Dne 10. června 2019 přijme Mezinárodní rada pro obiloviny během čtyřicátého devátého zasedáni rozhodnutí ohledně prodloužení platnosti úmluvy o dva roky </w:t>
      </w:r>
      <w:r>
        <w:t xml:space="preserve"> </w:t>
      </w:r>
      <w:r>
        <w:rPr>
          <w:noProof/>
        </w:rPr>
        <w:t>(dále jen „zamýšlený akt“).</w:t>
      </w:r>
    </w:p>
    <w:p>
      <w:pPr>
        <w:rPr>
          <w:rFonts w:eastAsia="Arial Unicode MS"/>
          <w:noProof/>
        </w:rPr>
      </w:pPr>
      <w:r>
        <w:rPr>
          <w:noProof/>
        </w:rPr>
        <w:t>Účelem zamýšleného aktu, který vychází z článku 33 úmluvy, je umožnit Mezinárodní radě pro obiloviny pokračování ve své práci.</w:t>
      </w:r>
    </w:p>
    <w:p>
      <w:pPr>
        <w:rPr>
          <w:rFonts w:eastAsia="Arial Unicode MS"/>
          <w:noProof/>
        </w:rPr>
      </w:pPr>
      <w:r>
        <w:rPr>
          <w:noProof/>
        </w:rPr>
        <w:t>Prodloužení platnosti úmluvy se bude týkat období od 1. července 2019 do 30. června 2021.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Postoj, který má být zaujat jménem Unie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Unie uzavřela rozhodnutím Rady 96/88/ES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</w:t>
      </w:r>
      <w:r>
        <w:rPr>
          <w:b/>
          <w:noProof/>
        </w:rPr>
        <w:t>Úmluvu o obchodu s obilovinami z roku 1995</w:t>
      </w:r>
      <w:r>
        <w:rPr>
          <w:noProof/>
        </w:rPr>
        <w:t xml:space="preserve"> s platností do 30. června 1998 a její platnost byla poté pravidelně prodlužována. Úmluva se vždy prodlužuje nejvýše na dvouleté období v souladu s článkem 33 úmluvy. Naposledy byla prodloužena v červnu 2017 rozhodnutím Mezinárodní rady pro obiloviny a zůstává v platnosti do 30. června 2019.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Unie byla vždy aktivním členem Mezinárodní rady pro obiloviny a další prodloužení platnosti úmluvy o dva roky je v jejím zájmu. Unie je hlavním pěstitelem obilovin a největším vývozcem pšenice a ječmenu a zároveň největším dovozcem kukuřice. </w:t>
      </w:r>
      <w:r>
        <w:rPr>
          <w:noProof/>
        </w:rPr>
        <w:tab/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Účelem tohoto návrhu je získat pro Komisi zmocnění Rady k hlasování jménem Unie pro prodloužení Úmluvy do 30. června 2021 v Mezinárodní radě pro obiloviny. Formální rozhodnutí o prodloužení úmluvy je plánováno na 49. zasedání Mezinárodní rady pro obiloviny, které se bude konat 10. června 2019 v Londýně, Spojené království.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Právní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Procesněprávní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Ustanovení čl. 218 odst. 9 Smlouvy o fungování Evropské unie (SFEU) zavádí rozhodnutí, kterými se stanoví „</w:t>
      </w:r>
      <w:r>
        <w:rPr>
          <w:i/>
          <w:noProof/>
        </w:rPr>
        <w:t>postoje, které má jménem Unie zaujmout orgán zřízený dohodou, má-li tento orgán přijímat akty s právními účinky, s výjimkou aktů, které doplňují nebo pozměňují institucionální rámec dohody</w:t>
      </w:r>
      <w:r>
        <w:rPr>
          <w:noProof/>
        </w:rPr>
        <w:t>“.</w:t>
      </w:r>
    </w:p>
    <w:p>
      <w:pPr>
        <w:rPr>
          <w:noProof/>
        </w:rPr>
      </w:pPr>
      <w:r>
        <w:rPr>
          <w:noProof/>
        </w:rPr>
        <w:t>Pojem „</w:t>
      </w:r>
      <w:r>
        <w:rPr>
          <w:i/>
          <w:noProof/>
        </w:rPr>
        <w:t>akty s právními účinky</w:t>
      </w:r>
      <w:r>
        <w:rPr>
          <w:noProof/>
        </w:rPr>
        <w:t>“ zahrnuje akty, které mají právní účinky na základě pravidel mezinárodního práva, kterými se řídí dotyčný orgán. Zahrnuje rovněž nástroje, které podle mezinárodního práva nemají závazný účinek, ale „</w:t>
      </w:r>
      <w:r>
        <w:rPr>
          <w:i/>
          <w:noProof/>
        </w:rPr>
        <w:t>mohou rozhodujícím způsobem ovlivnit obsah právní úpravy přijaté zákonodárcem Unie</w:t>
      </w:r>
      <w:r>
        <w:rPr>
          <w:noProof/>
        </w:rPr>
        <w:t>“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Použití na stávající případ</w:t>
      </w:r>
    </w:p>
    <w:p>
      <w:pPr>
        <w:rPr>
          <w:noProof/>
        </w:rPr>
      </w:pPr>
      <w:r>
        <w:rPr>
          <w:noProof/>
        </w:rPr>
        <w:t>Zamýšlený akt Mezinárodní rady pro obiloviny prodlužuje platnost úmluvy, což je mezinárodní dohoda, která je pro Unii závazná. Zamýšlený akt má proto právní účinky.</w:t>
      </w:r>
    </w:p>
    <w:p>
      <w:pPr>
        <w:rPr>
          <w:noProof/>
        </w:rPr>
      </w:pPr>
      <w:r>
        <w:rPr>
          <w:noProof/>
        </w:rPr>
        <w:t>Zamýšlený akt nedoplňuje ani nepozměňuje institucionální rámec dohody.</w:t>
      </w:r>
    </w:p>
    <w:p>
      <w:pPr>
        <w:rPr>
          <w:noProof/>
        </w:rPr>
      </w:pPr>
      <w:r>
        <w:rPr>
          <w:noProof/>
        </w:rPr>
        <w:lastRenderedPageBreak/>
        <w:t>Procesněprávním základem navrhovaného rozhodnutí je tudíž čl. 218 odst. 9 SFEU.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Hmotněprávní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Hmotněprávní základ rozhodnutí podle čl. 218 odst. 9 SFEU závisí v první řadě na cíli a obsahu zamýšleného aktu, v jehož souvislosti je postoj jménem Unie zaujat. Sleduje-li zamýšlený akt dvojí účel nebo má-li dvě složky a lze-li jeden z těchto účelů nebo jednu z těchto složek identifikovat jako hlavní, zatímco druhý účel či druhá složka je pouze vedlejší, musí být rozhodnutí přijaté podle čl. 218 odst. 9 SFEU založeno na jediném hmotněprávním základu, a sice na tom, který si žádá hlavní nebo převažující účel nebo složka.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Použití na stávající případ</w:t>
      </w:r>
    </w:p>
    <w:p>
      <w:pPr>
        <w:rPr>
          <w:noProof/>
        </w:rPr>
      </w:pPr>
      <w:r>
        <w:rPr>
          <w:noProof/>
        </w:rPr>
        <w:t>Hlavní cíl a obsah zamýšleného aktu se týkají obchodu se zemědělskými produkty.</w:t>
      </w:r>
    </w:p>
    <w:p>
      <w:pPr>
        <w:rPr>
          <w:i/>
          <w:noProof/>
        </w:rPr>
      </w:pPr>
      <w:r>
        <w:rPr>
          <w:noProof/>
        </w:rPr>
        <w:t>Hmotněprávním základem navrhovaného rozhodnutí je tudíž článek 207 SFEU.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Závěr</w:t>
      </w:r>
    </w:p>
    <w:p>
      <w:pPr>
        <w:rPr>
          <w:noProof/>
        </w:rPr>
      </w:pPr>
      <w:r>
        <w:rPr>
          <w:noProof/>
        </w:rPr>
        <w:t>Právním základem navrhovaného rozhodnutí by měl být článek 207 SFEU ve spojení s čl. 218 odst. 9 SFEU.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Zveřejnění zamýšleného aktu</w:t>
      </w:r>
    </w:p>
    <w:p>
      <w:pPr>
        <w:rPr>
          <w:noProof/>
        </w:rPr>
      </w:pPr>
      <w:r>
        <w:rPr>
          <w:noProof/>
        </w:rPr>
        <w:t xml:space="preserve">Vzhledem k tomu, že akt Mezinárodní rady pro obiloviny prodlouží platnost úmluvy, je vhodné jej po jeho přijetí zveřejnit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2019/0089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postoji, který má být zaujat jménem Evropské unie v Mezinárodní radě pro obiloviny k prodloužení platnosti Úmluvy o obchodu s obilovinami z roku 1995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článek 207 ve spojení s čl. 218 odst. 9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Úmluva o obchodu s obilovinami z roku 1995 (dále jen „úmluva“) byla uzavřena Unií rozhodnutím Rady (EU) 96/88/ES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 vstoupila v platnost dne 1. července 1995. Úmluva byla uzavřena na dobu tří let a její platnost byla od té doby pravidelně prodlužována na další dvouletá období. Tato úmluva byla naposledy prodloužena v červnu 2017 rozhodnutím Mezinárodní rady pro obiloviny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 zůstává v platnosti až do 30. června 2019. 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Podle článku 33 úmluvy může Mezinárodní rada pro obiloviny prodloužit úmluvu na další období, a to pokaždé nanejvýš o dva roky.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Mezinárodní rada pro obiloviny během 49. zasedáni dne 10. června 2019 rozhodne o prodloužení platnosti úmluvy do 30. června 2021.   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 vhodné stanovit postoj, který má být na 49. zasedání Mezinárodní rady pro obiloviny zaujat jménem Unie, jelikož prodloužení platnosti úmluvy je v zájmu Unie,</w:t>
      </w:r>
    </w:p>
    <w:p>
      <w:pPr>
        <w:pStyle w:val="Formuledadoption"/>
        <w:rPr>
          <w:noProof/>
        </w:rPr>
      </w:pPr>
      <w:r>
        <w:rPr>
          <w:noProof/>
        </w:rPr>
        <w:t>PŘIJALA TOTO ROZHODNUTÍ: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i/>
          <w:noProof/>
        </w:rPr>
      </w:pPr>
      <w:r>
        <w:rPr>
          <w:noProof/>
        </w:rPr>
        <w:t>Postoj, který má Komise jménem Unie zaujat na 49. zasedání Mezinárodní rady pro obiloviny, je hlasovat pro prodloužení platnosti Úmluvy o obchodu s obilovinami z roku 1995 na další dvouleté období do 30. června 2021.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keepNext/>
        <w:keepLines/>
        <w:rPr>
          <w:noProof/>
        </w:rPr>
      </w:pPr>
      <w:r>
        <w:rPr>
          <w:noProof/>
        </w:rPr>
        <w:t>Toto rozhodnutí je určeno Komisi.</w:t>
      </w:r>
    </w:p>
    <w:p>
      <w:pPr>
        <w:pStyle w:val="Fait"/>
        <w:rPr>
          <w:noProof/>
        </w:rPr>
      </w:pPr>
      <w:r>
        <w:lastRenderedPageBreak/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keepNext/>
        <w:rPr>
          <w:noProof/>
        </w:rPr>
      </w:pPr>
      <w:r>
        <w:rPr>
          <w:noProof/>
        </w:rPr>
        <w:tab/>
        <w:t>předseda/předsedkyně</w:t>
      </w:r>
    </w:p>
    <w:p>
      <w:pPr>
        <w:pStyle w:val="Fichefinanciretitre"/>
        <w:keepNext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884"/>
        <w:gridCol w:w="1417"/>
        <w:gridCol w:w="1276"/>
        <w:gridCol w:w="283"/>
        <w:gridCol w:w="851"/>
        <w:gridCol w:w="850"/>
      </w:tblGrid>
      <w:tr>
        <w:trPr>
          <w:trHeight w:val="355"/>
        </w:trPr>
        <w:tc>
          <w:tcPr>
            <w:tcW w:w="7144" w:type="dxa"/>
            <w:gridSpan w:val="4"/>
            <w:vMerge w:val="restart"/>
          </w:tcPr>
          <w:p>
            <w:pPr>
              <w:pStyle w:val="Fichefinanciretitretable"/>
              <w:keepNext/>
              <w:rPr>
                <w:noProof/>
              </w:rPr>
            </w:pPr>
            <w:r>
              <w:rPr>
                <w:noProof/>
              </w:rPr>
              <w:lastRenderedPageBreak/>
              <w:t>FINANČNÍ VÝKAZ</w:t>
            </w:r>
          </w:p>
        </w:tc>
        <w:tc>
          <w:tcPr>
            <w:tcW w:w="1984" w:type="dxa"/>
            <w:gridSpan w:val="3"/>
          </w:tcPr>
          <w:p>
            <w:pPr>
              <w:pStyle w:val="Fichefinanciretextetable"/>
              <w:keepNext/>
            </w:pPr>
            <w:r>
              <w:t>FinancSt/10/</w:t>
            </w:r>
            <w:r>
              <w:br/>
            </w:r>
            <w:r>
              <w:rPr>
                <w:noProof/>
              </w:rPr>
              <w:t>PS/pl/1100670</w:t>
            </w:r>
          </w:p>
        </w:tc>
      </w:tr>
      <w:tr>
        <w:trPr>
          <w:trHeight w:val="355"/>
        </w:trPr>
        <w:tc>
          <w:tcPr>
            <w:tcW w:w="7144" w:type="dxa"/>
            <w:gridSpan w:val="4"/>
            <w:vMerge/>
            <w:tcBorders>
              <w:bottom w:val="nil"/>
            </w:tcBorders>
          </w:tcPr>
          <w:p>
            <w:pPr>
              <w:pStyle w:val="Fichefinanciretitretable"/>
              <w:keepNext/>
              <w:rPr>
                <w:noProof/>
              </w:rPr>
            </w:pPr>
          </w:p>
        </w:tc>
        <w:tc>
          <w:tcPr>
            <w:tcW w:w="1984" w:type="dxa"/>
            <w:gridSpan w:val="3"/>
          </w:tcPr>
          <w:p>
            <w:pPr>
              <w:pStyle w:val="Fichefinanciretextetable"/>
              <w:keepNext/>
            </w:pPr>
            <w:r>
              <w:rPr>
                <w:noProof/>
              </w:rPr>
              <w:t>6.221.2019.1</w:t>
            </w:r>
          </w:p>
        </w:tc>
      </w:tr>
      <w:tr>
        <w:tc>
          <w:tcPr>
            <w:tcW w:w="7144" w:type="dxa"/>
            <w:gridSpan w:val="4"/>
            <w:tcBorders>
              <w:top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</w:p>
        </w:tc>
        <w:tc>
          <w:tcPr>
            <w:tcW w:w="1984" w:type="dxa"/>
            <w:gridSpan w:val="3"/>
          </w:tcPr>
          <w:p>
            <w:pPr>
              <w:pStyle w:val="Fichefinanciretextetable"/>
              <w:keepNext/>
            </w:pPr>
            <w:r>
              <w:rPr>
                <w:noProof/>
              </w:rPr>
              <w:t xml:space="preserve">DATUM: </w:t>
            </w:r>
            <w:r>
              <w:t>14. 2. 2019</w:t>
            </w:r>
          </w:p>
          <w:p>
            <w:pPr>
              <w:pStyle w:val="Fichefinanciretextetable"/>
              <w:keepNext/>
              <w:rPr>
                <w:noProof/>
              </w:rPr>
            </w:pP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6577" w:type="dxa"/>
            <w:gridSpan w:val="3"/>
            <w:tcBorders>
              <w:left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ROZPOČTOVÁ POLOŽKA: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Kapitola 05 06 MEZINÁRODNÍ ASPEKTY V OBLASTI POLITIKY „ZEMĚDĚLSTVÍ A ROZVOJ VENKOVA“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05 06 01 Mezinárodní zemědělské dohody</w:t>
            </w:r>
          </w:p>
          <w:p>
            <w:pPr>
              <w:pStyle w:val="Fichefinanciretextetable"/>
              <w:keepNext/>
              <w:rPr>
                <w:noProof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PROSTŘEDKY: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 xml:space="preserve">B2019 </w:t>
            </w:r>
            <w:r>
              <w:t xml:space="preserve"> 6 300 000 </w:t>
            </w:r>
            <w:r>
              <w:rPr>
                <w:noProof/>
              </w:rPr>
              <w:t>EUR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8561" w:type="dxa"/>
            <w:gridSpan w:val="6"/>
            <w:tcBorders>
              <w:lef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NÁZEV: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Návrh rozhodnutí Rady o postoji, který má být zaujat jménem Evropské unie v Mezinárodní radě pro obiloviny k prodloužení platnosti Úmluvy o obchodu s obilovinami z roku 1995.</w:t>
            </w:r>
          </w:p>
          <w:p>
            <w:pPr>
              <w:pStyle w:val="Fichefinanciretextetable"/>
              <w:keepNext/>
              <w:rPr>
                <w:noProof/>
              </w:rPr>
            </w:pP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8561" w:type="dxa"/>
            <w:gridSpan w:val="6"/>
            <w:tcBorders>
              <w:lef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PRÁVNÍ ZÁKLAD: Ustanovení článku 207 ve spojení s čl. 218 odst. 9 Smlouvy o fungování Evropské unie.</w:t>
            </w:r>
          </w:p>
          <w:p>
            <w:pPr>
              <w:pStyle w:val="Fichefinanciretextetable"/>
              <w:keepNext/>
              <w:rPr>
                <w:noProof/>
              </w:rPr>
            </w:pP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8561" w:type="dxa"/>
            <w:gridSpan w:val="6"/>
            <w:tcBorders>
              <w:lef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CÍLE: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Prodloužení platnosti stávající Úmluvy o obchodu s obilovinami o další dva roky (1. 7. 2019 až 30. 6. 2021).</w:t>
            </w:r>
          </w:p>
          <w:p>
            <w:pPr>
              <w:pStyle w:val="Fichefinanciretextetable"/>
              <w:keepNext/>
              <w:rPr>
                <w:noProof/>
              </w:rPr>
            </w:pP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3884" w:type="dxa"/>
            <w:tcBorders>
              <w:lef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FINANČNÍ DOPADY</w:t>
            </w:r>
          </w:p>
        </w:tc>
        <w:tc>
          <w:tcPr>
            <w:tcW w:w="1417" w:type="dxa"/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OBDOBÍ 12 MĚSÍCŮ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(v milionech EUR)</w:t>
            </w:r>
          </w:p>
        </w:tc>
        <w:tc>
          <w:tcPr>
            <w:tcW w:w="1559" w:type="dxa"/>
            <w:gridSpan w:val="2"/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BĚŽNÝ FINANČNÍ ROK</w:t>
            </w:r>
          </w:p>
          <w:p>
            <w:pPr>
              <w:pStyle w:val="Fichefinanciretextetable"/>
              <w:keepNext/>
              <w:jc w:val="center"/>
            </w:pPr>
            <w:r>
              <w:t>2019</w:t>
            </w:r>
          </w:p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(v milionech EUR)</w:t>
            </w:r>
          </w:p>
        </w:tc>
        <w:tc>
          <w:tcPr>
            <w:tcW w:w="1701" w:type="dxa"/>
            <w:gridSpan w:val="2"/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NÁSLEDUJÍCÍ FINANČNÍ ROK</w:t>
            </w:r>
          </w:p>
          <w:p>
            <w:pPr>
              <w:pStyle w:val="Fichefinanciretextetable"/>
              <w:keepNext/>
              <w:jc w:val="center"/>
            </w:pPr>
            <w:r>
              <w:t>2020</w:t>
            </w:r>
          </w:p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(v milionech EUR)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5.0</w:t>
            </w:r>
          </w:p>
        </w:tc>
        <w:tc>
          <w:tcPr>
            <w:tcW w:w="3884" w:type="dxa"/>
            <w:tcBorders>
              <w:lef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VÝDAJE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FINANCOVANÉ Z ROZPOČTU EU</w:t>
            </w:r>
            <w:r>
              <w:rPr>
                <w:noProof/>
              </w:rPr>
              <w:br/>
              <w:t>(NÁHRADY/INTERVENCE)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VNITROSTÁTNÍCH ORGÁNŮ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JINÝCH SUBJEKTŮ</w:t>
            </w:r>
          </w:p>
        </w:tc>
        <w:tc>
          <w:tcPr>
            <w:tcW w:w="1417" w:type="dxa"/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t>0,41</w:t>
            </w:r>
          </w:p>
        </w:tc>
        <w:tc>
          <w:tcPr>
            <w:tcW w:w="1701" w:type="dxa"/>
            <w:gridSpan w:val="2"/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5.1</w:t>
            </w:r>
          </w:p>
        </w:tc>
        <w:tc>
          <w:tcPr>
            <w:tcW w:w="3884" w:type="dxa"/>
            <w:tcBorders>
              <w:lef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PŘÍJMY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 xml:space="preserve">VLASTNÍ ZDROJE EU </w:t>
            </w:r>
            <w:r>
              <w:rPr>
                <w:noProof/>
              </w:rPr>
              <w:br/>
              <w:t>(DÁVKY/CLA)</w:t>
            </w:r>
          </w:p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VNITROSTÁTNÍ</w:t>
            </w:r>
          </w:p>
        </w:tc>
        <w:tc>
          <w:tcPr>
            <w:tcW w:w="1417" w:type="dxa"/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</w:p>
        </w:tc>
        <w:tc>
          <w:tcPr>
            <w:tcW w:w="3884" w:type="dxa"/>
            <w:tcBorders>
              <w:left w:val="nil"/>
              <w:bottom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>
            <w:pPr>
              <w:pStyle w:val="Fichefinanciretextetable"/>
              <w:keepNext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>
            <w:pPr>
              <w:pStyle w:val="Fichefinanciretextetable"/>
              <w:keepNext/>
              <w:jc w:val="center"/>
            </w:pPr>
          </w:p>
        </w:tc>
      </w:tr>
      <w:tr>
        <w:tc>
          <w:tcPr>
            <w:tcW w:w="567" w:type="dxa"/>
            <w:tcBorders>
              <w:top w:val="nil"/>
              <w:bottom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5.0.1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ODHADOVANÉ VÝDAJE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</w:p>
        </w:tc>
      </w:tr>
      <w:tr>
        <w:tc>
          <w:tcPr>
            <w:tcW w:w="567" w:type="dxa"/>
            <w:tcBorders>
              <w:top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5.1.1</w:t>
            </w:r>
          </w:p>
        </w:tc>
        <w:tc>
          <w:tcPr>
            <w:tcW w:w="3884" w:type="dxa"/>
            <w:tcBorders>
              <w:top w:val="nil"/>
              <w:lef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ODHADOVANÉ PŘÍJMY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5.2</w:t>
            </w:r>
          </w:p>
        </w:tc>
        <w:tc>
          <w:tcPr>
            <w:tcW w:w="8561" w:type="dxa"/>
            <w:gridSpan w:val="6"/>
            <w:tcBorders>
              <w:left w:val="nil"/>
            </w:tcBorders>
          </w:tcPr>
          <w:p>
            <w:pPr>
              <w:pStyle w:val="Fichefinanciretextetable"/>
              <w:keepNext/>
              <w:spacing w:before="60" w:after="60"/>
              <w:rPr>
                <w:noProof/>
              </w:rPr>
            </w:pPr>
            <w:r>
              <w:rPr>
                <w:noProof/>
              </w:rPr>
              <w:t>METODA VÝPOČTU: Na základě předpokladů týkajících se odhadovaného počtu hlasů EU (mění se každý rok) a na základě odhadované částky, jež má být uhrazena za jeden hlas v GBP.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6.0</w:t>
            </w:r>
          </w:p>
        </w:tc>
        <w:tc>
          <w:tcPr>
            <w:tcW w:w="7711" w:type="dxa"/>
            <w:gridSpan w:val="5"/>
            <w:tcBorders>
              <w:left w:val="nil"/>
              <w:right w:val="nil"/>
            </w:tcBorders>
          </w:tcPr>
          <w:p>
            <w:pPr>
              <w:pStyle w:val="Fichefinanciretextetable"/>
              <w:keepNext/>
              <w:spacing w:before="60" w:after="60"/>
              <w:rPr>
                <w:noProof/>
              </w:rPr>
            </w:pPr>
            <w:r>
              <w:rPr>
                <w:noProof/>
              </w:rPr>
              <w:t>MŮŽE BÝT PROJEKT FINANCOVÁN Z PROSTŘEDKŮ UVEDENÝCH V PŘÍSLUŠNÉ KAPITOLE STÁVAJÍCÍHO ROZPOČTU?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t xml:space="preserve">ANO 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6.1</w:t>
            </w:r>
          </w:p>
        </w:tc>
        <w:tc>
          <w:tcPr>
            <w:tcW w:w="7711" w:type="dxa"/>
            <w:gridSpan w:val="5"/>
            <w:tcBorders>
              <w:left w:val="nil"/>
              <w:right w:val="nil"/>
            </w:tcBorders>
          </w:tcPr>
          <w:p>
            <w:pPr>
              <w:pStyle w:val="Fichefinanciretextetable"/>
              <w:keepNext/>
              <w:spacing w:before="60" w:after="60"/>
              <w:rPr>
                <w:noProof/>
              </w:rPr>
            </w:pPr>
            <w:r>
              <w:rPr>
                <w:noProof/>
              </w:rPr>
              <w:t>MŮŽE BÝT PROJEKT FINANCOVÁN PŘEVODEM MEZI KAPITOLAMI STÁVAJÍCÍHO ROZPOČTU?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6.2</w:t>
            </w:r>
          </w:p>
        </w:tc>
        <w:tc>
          <w:tcPr>
            <w:tcW w:w="7711" w:type="dxa"/>
            <w:gridSpan w:val="5"/>
            <w:tcBorders>
              <w:left w:val="nil"/>
              <w:right w:val="nil"/>
            </w:tcBorders>
          </w:tcPr>
          <w:p>
            <w:pPr>
              <w:pStyle w:val="Fichefinanciretextetable"/>
              <w:keepNext/>
              <w:spacing w:before="60" w:after="60"/>
              <w:rPr>
                <w:noProof/>
              </w:rPr>
            </w:pPr>
            <w:r>
              <w:rPr>
                <w:noProof/>
              </w:rPr>
              <w:t>BUDE POTŘEBA DODATEČNÝ ROZPOČET?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pStyle w:val="Fichefinanciretextetable"/>
              <w:keepNext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6.3</w:t>
            </w:r>
          </w:p>
        </w:tc>
        <w:tc>
          <w:tcPr>
            <w:tcW w:w="7711" w:type="dxa"/>
            <w:gridSpan w:val="5"/>
            <w:tcBorders>
              <w:left w:val="nil"/>
              <w:right w:val="nil"/>
            </w:tcBorders>
          </w:tcPr>
          <w:p>
            <w:pPr>
              <w:pStyle w:val="Fichefinanciretextetable"/>
              <w:keepNext/>
              <w:spacing w:before="60" w:after="60"/>
              <w:rPr>
                <w:noProof/>
              </w:rPr>
            </w:pPr>
            <w:r>
              <w:rPr>
                <w:noProof/>
              </w:rPr>
              <w:t>BUDE POTŘEBA ZAČLENIT PROSTŘEDKY DO BUDOUCÍCH ROZPOČTŮ?</w:t>
            </w:r>
          </w:p>
        </w:tc>
        <w:tc>
          <w:tcPr>
            <w:tcW w:w="850" w:type="dxa"/>
            <w:tcBorders>
              <w:left w:val="nil"/>
            </w:tcBorders>
          </w:tcPr>
          <w:p>
            <w:pPr>
              <w:pStyle w:val="Fichefinanciretextetable"/>
              <w:keepNext/>
              <w:jc w:val="center"/>
            </w:pPr>
            <w:r>
              <w:t xml:space="preserve">ANO </w:t>
            </w:r>
          </w:p>
        </w:tc>
      </w:tr>
      <w:tr>
        <w:tc>
          <w:tcPr>
            <w:tcW w:w="9128" w:type="dxa"/>
            <w:gridSpan w:val="7"/>
          </w:tcPr>
          <w:p>
            <w:pPr>
              <w:pStyle w:val="Fichefinanciretextetable"/>
              <w:keepNext/>
              <w:rPr>
                <w:noProof/>
              </w:rPr>
            </w:pPr>
            <w:r>
              <w:rPr>
                <w:noProof/>
              </w:rPr>
              <w:t>POZNÁMKY:</w:t>
            </w:r>
          </w:p>
          <w:p>
            <w:pPr>
              <w:keepNext/>
              <w:autoSpaceDE w:val="0"/>
              <w:autoSpaceDN w:val="0"/>
              <w:adjustRightInd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Částka, která bude skutečně vyplacena, se může lišit v závislosti na konečném počtu hlasů, které budou EU přiřazeny, na částce, jež má být uhrazena za jeden hlas v GBP, a na směnném kurzu EUR/GBP. </w:t>
            </w:r>
          </w:p>
          <w:p>
            <w:pPr>
              <w:pStyle w:val="Fichefinanciretextetable"/>
              <w:keepNext/>
              <w:rPr>
                <w:noProof/>
              </w:rPr>
            </w:pPr>
          </w:p>
        </w:tc>
      </w:tr>
    </w:tbl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Úř. věst. L 21, 27.1.1996, s. 47.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Mezinárodní rada pro obiloviny funguje na základě rozpočtového roku, kterým je období od 1. července do 30. června.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Úř. věst. L 21, 27.1.1996, s. 47.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Rozsudek Soudního dvora ze dne 7. října 2014, Německo v. Rada, C-399/12, ECLI:EU:C:2014:2258, body 61 až 64.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Rozhodnutí Rady 96/88/ES ze dne 19. prosince 1995 o schválení Úmluvy o obchodu s obilovinami a Úmluvy o potravinové pomoci, které tvoří Mezinárodní dohodu o obilovinách z roku 1995, Evropským společenstvím (Úř. věst. L 21, 27.1.1996, s. 47).</w:t>
      </w:r>
    </w:p>
  </w:footnote>
  <w:footnote w:id="6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Sdělení týkající se prodloužení platnosti Úmluvy o obchodu s obilovinami z roku 1995 (Úř. věst. L 12, 17.1.2018, s.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478B5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366E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6C69B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BC60D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FBEF7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58ABF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996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6FA8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02 10:29:0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8B7B213-52C6-4570-95B6-D28ECF4804C4"/>
    <w:docVar w:name="LW_COVERPAGE_TYPE" w:val="1"/>
    <w:docVar w:name="LW_CROSSREFERENCE" w:val="&lt;UNUSED&gt;"/>
    <w:docVar w:name="LW_DocType" w:val="COM"/>
    <w:docVar w:name="LW_EMISSION" w:val="4.4.2019"/>
    <w:docVar w:name="LW_EMISSION_ISODATE" w:val="2019-04-04"/>
    <w:docVar w:name="LW_EMISSION_LOCATION" w:val="BRX"/>
    <w:docVar w:name="LW_EMISSION_PREFIX" w:val="V Bruselu dne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89"/>
    <w:docVar w:name="LW_REF.II.NEW.CP_YEAR" w:val="2019"/>
    <w:docVar w:name="LW_REF.INST.NEW" w:val="COM"/>
    <w:docVar w:name="LW_REF.INST.NEW_ADOPTED" w:val="final"/>
    <w:docVar w:name="LW_REF.INST.NEW_TEXT" w:val="(2019) 1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stoji, který má být zaujat jménem Evropské unie v Mezinárodní rad\u283? pro obiloviny k prodlou\u382?ení platnosti Úmluvy o obchodu s obilovinami z roku 1995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ichefinanciretextetable">
    <w:name w:val="Fiche financière texte (table)"/>
    <w:basedOn w:val="Normal"/>
    <w:pPr>
      <w:spacing w:before="0" w:after="0"/>
      <w:jc w:val="left"/>
    </w:pPr>
    <w:rPr>
      <w:rFonts w:eastAsia="Times New Roman"/>
      <w:sz w:val="20"/>
      <w:szCs w:val="20"/>
    </w:rPr>
  </w:style>
  <w:style w:type="paragraph" w:customStyle="1" w:styleId="Fichefinanciretitretable">
    <w:name w:val="Fiche financière titre (table)"/>
    <w:basedOn w:val="Normal"/>
    <w:pPr>
      <w:jc w:val="center"/>
    </w:pPr>
    <w:rPr>
      <w:rFonts w:eastAsia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ichefinanciretextetable">
    <w:name w:val="Fiche financière texte (table)"/>
    <w:basedOn w:val="Normal"/>
    <w:pPr>
      <w:spacing w:before="0" w:after="0"/>
      <w:jc w:val="left"/>
    </w:pPr>
    <w:rPr>
      <w:rFonts w:eastAsia="Times New Roman"/>
      <w:sz w:val="20"/>
      <w:szCs w:val="20"/>
    </w:rPr>
  </w:style>
  <w:style w:type="paragraph" w:customStyle="1" w:styleId="Fichefinanciretitretable">
    <w:name w:val="Fiche financière titre (table)"/>
    <w:basedOn w:val="Normal"/>
    <w:pPr>
      <w:jc w:val="center"/>
    </w:pPr>
    <w:rPr>
      <w:rFonts w:eastAsia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DB72F5D-30DB-45AB-9626-A98AAD62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1452</Words>
  <Characters>8018</Characters>
  <Application>Microsoft Office Word</Application>
  <DocSecurity>0</DocSecurity>
  <Lines>235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2019-02-06T14:50:00Z</cp:lastPrinted>
  <dcterms:created xsi:type="dcterms:W3CDTF">2019-04-01T06:49:00Z</dcterms:created>
  <dcterms:modified xsi:type="dcterms:W3CDTF">2019-04-02T08:29:00Z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