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337F39A5-9841-47DB-8038-C60E2A3BD451" style="width:450.75pt;height:384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t xml:space="preserve">PIELIKUMS </w:t>
      </w:r>
    </w:p>
    <w:p>
      <w:pPr>
        <w:pStyle w:val="Heading1"/>
        <w:numPr>
          <w:ilvl w:val="0"/>
          <w:numId w:val="3"/>
        </w:numPr>
        <w:rPr>
          <w:noProof/>
        </w:rPr>
      </w:pPr>
      <w:r>
        <w:rPr>
          <w:noProof/>
        </w:rPr>
        <w:t>NOTEIKUMU UN SAISTĪBU BŪTĪBA UN TVĒRUMS</w:t>
      </w:r>
    </w:p>
    <w:p>
      <w:pPr>
        <w:pStyle w:val="NumPar1"/>
        <w:numPr>
          <w:ilvl w:val="0"/>
          <w:numId w:val="2"/>
        </w:numPr>
        <w:rPr>
          <w:noProof/>
        </w:rPr>
      </w:pPr>
      <w:r>
        <w:rPr>
          <w:noProof/>
        </w:rPr>
        <w:t>Būtu jānosaka, ka plurilaterālo sarunu mērķis, pamatojoties uz pašreizējo atļauju, kuru Padome ir devusi sarunām Pasaules Tirdzniecība Organizācijā (PTO) atbilstoši Dohas Attīstības programmai, ir izstrādāt PTO noteikumus par elektroniskās komercijas aspektiem, kas saistīti ar tirdzniecību, lai uzlabotu globālo elektronisko komerciju, atvieglotu uzņēmumu (to skaitā mikrouzņēmumu, mazo un vidējo uzņēmumu) darbību, vairotu patērētāju uzticēšanos tiešsaistes videi un radītu jaunas iespējas iekļaujošas izaugsmes un attīstības veicināšanai. Tāpat sarunās būtu jāpanāk pakalpojumu un preču tirdzniecības liberalizācija konkrētās nozarēs, kuras tiešā veidā ir būtiskas, lai elektroniskā komercija būtu iespējama.</w:t>
      </w:r>
    </w:p>
    <w:p>
      <w:pPr>
        <w:pStyle w:val="NumPar1"/>
        <w:rPr>
          <w:noProof/>
        </w:rPr>
      </w:pPr>
      <w:r>
        <w:rPr>
          <w:noProof/>
        </w:rPr>
        <w:t xml:space="preserve">Būtu jānosaka, ka sarunas tiek risinātas un noslēgtas, pienācīgi ņemot vērā locekļu tiesības un saistības atbilstoši PTO noteikumiem, ievērojot pārredzamības un iekļautības principus un uz spēkā esošo PTO nolīgumu, arī tajos iekļauto izņēmumu, pamata. </w:t>
      </w:r>
    </w:p>
    <w:p>
      <w:pPr>
        <w:pStyle w:val="NumPar1"/>
        <w:rPr>
          <w:noProof/>
        </w:rPr>
      </w:pPr>
      <w:r>
        <w:rPr>
          <w:noProof/>
        </w:rPr>
        <w:t>Sarunās būtu jāpanāk, ka kopā ar iespējami lielu PTO locekļu skaitu tiek izstrādāti augstam standartam atbilstoši noteikumi un saistības. Sarunās būtu jāņem vērā, kādas vienreizējas iespējas paveras un problēmas elektroniskās komercijas jomā pastāv PTO loceklēm. Tāpēc būtu jāparedz atbilstošs noteikumu un saistību elastīgums.</w:t>
      </w:r>
    </w:p>
    <w:p>
      <w:pPr>
        <w:pStyle w:val="NumPar1"/>
        <w:rPr>
          <w:b/>
          <w:noProof/>
        </w:rPr>
      </w:pPr>
      <w:r>
        <w:rPr>
          <w:noProof/>
        </w:rPr>
        <w:t xml:space="preserve">Būtu jānosaka, ka noteikumi un saistības, par kuriem vienojusies Eiropas Savienība (ES), ņem vērā spēkā esošajos PTO nolīgumos iekļauto lielākās labvēlības režīma pienākumu, ja vien PTO locekles nevar vienoties citādi. </w:t>
      </w:r>
    </w:p>
    <w:p>
      <w:pPr>
        <w:pStyle w:val="Heading1"/>
        <w:rPr>
          <w:noProof/>
          <w:szCs w:val="24"/>
        </w:rPr>
      </w:pPr>
      <w:r>
        <w:rPr>
          <w:noProof/>
        </w:rPr>
        <w:t>IEROSINĀTIE NOTEIKUMI UN SAISTĪBAS</w:t>
      </w:r>
    </w:p>
    <w:p>
      <w:pPr>
        <w:pStyle w:val="NumPar1"/>
        <w:rPr>
          <w:noProof/>
        </w:rPr>
      </w:pPr>
      <w:r>
        <w:rPr>
          <w:noProof/>
        </w:rPr>
        <w:t>Sarunās Pasaules Tirdzniecības Organizācijā būtu jāizstrādā jauni noteikumi par elektroniskās komercijas aspektiem, kas saistīti ar tirdzniecību. Jaunie noteikumi būtu jāizstrādā ar mērķi uzlabot uzņēmumiem un patērētājiem Eiropas Savienībā globālās elektroniskās komercijas nosacījumus un panākt, ka globālajās vērtības ķēdēs piedalās vairāk mikrouzņēmumu, mazo un vidējo uzņēmumu, kā arī jaunattīstības un vismazāk attīstītās valstis.</w:t>
      </w:r>
    </w:p>
    <w:p>
      <w:pPr>
        <w:pStyle w:val="NumPar1"/>
        <w:rPr>
          <w:noProof/>
        </w:rPr>
      </w:pPr>
      <w:r>
        <w:rPr>
          <w:noProof/>
        </w:rPr>
        <w:t>Sarunas būs atvērtas un iekļaujošas. Tādējādi tajās var tikt aplūkots jebkurš ar tirdzniecību saistīts elektroniskās komercijas aspekts, kuru ierosinājušas iesaistītās locekles. Ņemot vērā elektroniskās komercijas pārnozaru raksturu, sarunās var tikt aplūkoti šādi jautājumi:</w:t>
      </w:r>
    </w:p>
    <w:p>
      <w:pPr>
        <w:pStyle w:val="Tiret1"/>
        <w:numPr>
          <w:ilvl w:val="0"/>
          <w:numId w:val="1"/>
        </w:numPr>
        <w:rPr>
          <w:noProof/>
        </w:rPr>
      </w:pPr>
      <w:r>
        <w:rPr>
          <w:noProof/>
        </w:rPr>
        <w:t>bezskaidras naudas darījumu atvieglošana (piemēram, elektroniskais paraksts un citi uzticamības pakalpojumi, elektroniskā autentifikācija);</w:t>
      </w:r>
    </w:p>
    <w:p>
      <w:pPr>
        <w:pStyle w:val="Tiret1"/>
        <w:rPr>
          <w:noProof/>
        </w:rPr>
      </w:pPr>
      <w:r>
        <w:rPr>
          <w:noProof/>
        </w:rPr>
        <w:t>muitas nodokļi par elektroniskiem nosūtīšanu un nosūtīto saturu;</w:t>
      </w:r>
    </w:p>
    <w:p>
      <w:pPr>
        <w:pStyle w:val="Tiret1"/>
        <w:rPr>
          <w:noProof/>
        </w:rPr>
      </w:pPr>
      <w:r>
        <w:rPr>
          <w:noProof/>
        </w:rPr>
        <w:t xml:space="preserve">patērētāju uzticēšanās (piemēram, tiešsaistes patērētāju tiesību aizsardzība, nepasūtīta elektroniskā saziņa, [zaudējumu] atlīdzināšanas pieejamība); </w:t>
      </w:r>
    </w:p>
    <w:p>
      <w:pPr>
        <w:pStyle w:val="Tiret1"/>
        <w:rPr>
          <w:noProof/>
        </w:rPr>
      </w:pPr>
      <w:r>
        <w:rPr>
          <w:noProof/>
        </w:rPr>
        <w:t>reglamentējoši noteikumi par telesakaru pakalpojumiem, lai telesakaru nozarē nodrošinātu vienlīdzīgus konkurences apstākļus un efektīvu konkurenci;</w:t>
      </w:r>
    </w:p>
    <w:p>
      <w:pPr>
        <w:pStyle w:val="Tiret1"/>
        <w:rPr>
          <w:noProof/>
        </w:rPr>
      </w:pPr>
      <w:r>
        <w:rPr>
          <w:noProof/>
        </w:rPr>
        <w:t>pārrobežu datu plūsmas, datu teritoriālas ierobežošanas prasības un persondatu aizsardzība;</w:t>
      </w:r>
    </w:p>
    <w:p>
      <w:pPr>
        <w:pStyle w:val="Tiret1"/>
        <w:rPr>
          <w:noProof/>
        </w:rPr>
      </w:pPr>
      <w:r>
        <w:rPr>
          <w:noProof/>
        </w:rPr>
        <w:t>uzņēmumu uzticēšanās (piemēram, datora pirmkoda aizsardzība, uzspiesta tehnoloģiju pārnese);</w:t>
      </w:r>
    </w:p>
    <w:p>
      <w:pPr>
        <w:pStyle w:val="Tiret1"/>
        <w:rPr>
          <w:noProof/>
        </w:rPr>
      </w:pPr>
      <w:r>
        <w:rPr>
          <w:noProof/>
        </w:rPr>
        <w:t>elektroniskās komercijas uzlabota pieejamība (piemēram, pieejams internets, tiešsaistes pakalpojumi un publiskā sektora informācija vai tiešsaistes starpnieku atbildība un pieejamība);</w:t>
      </w:r>
    </w:p>
    <w:p>
      <w:pPr>
        <w:pStyle w:val="Tiret1"/>
        <w:rPr>
          <w:noProof/>
        </w:rPr>
      </w:pPr>
      <w:r>
        <w:rPr>
          <w:noProof/>
        </w:rPr>
        <w:t>tirdzniecības atvieglošanas pasākumi, kas attiecas uz elektronisko komerciju (piemēram, bezpapīru tirdzniecība) un pienācīgi ņem vērā PTO Nolīgumu par tirdzniecības atvieglošanu;</w:t>
      </w:r>
    </w:p>
    <w:p>
      <w:pPr>
        <w:pStyle w:val="Tiret1"/>
        <w:rPr>
          <w:noProof/>
        </w:rPr>
      </w:pPr>
      <w:r>
        <w:rPr>
          <w:noProof/>
        </w:rPr>
        <w:t>intelektuālā īpašuma tiesību, ieskaitot tirdzniecības noslēpumu, aspekti, kas saistīti ar elektronisko komerciju;</w:t>
      </w:r>
    </w:p>
    <w:p>
      <w:pPr>
        <w:pStyle w:val="Tiret1"/>
        <w:rPr>
          <w:noProof/>
        </w:rPr>
      </w:pPr>
      <w:r>
        <w:rPr>
          <w:noProof/>
        </w:rPr>
        <w:t>jautājumi, kas skar attīstību;</w:t>
      </w:r>
    </w:p>
    <w:p>
      <w:pPr>
        <w:pStyle w:val="Tiret1"/>
        <w:rPr>
          <w:noProof/>
        </w:rPr>
      </w:pPr>
      <w:r>
        <w:rPr>
          <w:noProof/>
        </w:rPr>
        <w:t>pārredzamība un</w:t>
      </w:r>
    </w:p>
    <w:p>
      <w:pPr>
        <w:pStyle w:val="Tiret1"/>
        <w:rPr>
          <w:noProof/>
        </w:rPr>
      </w:pPr>
      <w:r>
        <w:rPr>
          <w:noProof/>
        </w:rPr>
        <w:t xml:space="preserve">sadarbība (piemēram, starp iesaistītajām PTO loceklēm, patērētāju tiesību aizsardzības iestādēm). </w:t>
      </w:r>
    </w:p>
    <w:p>
      <w:pPr>
        <w:pStyle w:val="NumPar1"/>
        <w:rPr>
          <w:noProof/>
        </w:rPr>
      </w:pPr>
      <w:r>
        <w:rPr>
          <w:noProof/>
        </w:rPr>
        <w:t xml:space="preserve">Turklāt saskaņā ar šīm norādēm Eiropas Savienība var iesaistīties sarunās par citiem elektroniskās komercijas aspektiem, kas saistīti ar tirdzniecību un ko ierosinājušas iesaistītās locekles. </w:t>
      </w:r>
    </w:p>
    <w:p>
      <w:pPr>
        <w:pStyle w:val="NumPar1"/>
        <w:rPr>
          <w:noProof/>
        </w:rPr>
      </w:pPr>
      <w:r>
        <w:rPr>
          <w:noProof/>
        </w:rPr>
        <w:t xml:space="preserve">Būtu jānosaka, ka sarunu mērķis ir arī pakalpojumu un preču tirdzniecības pakāpeniska liberalizācija, kas paplašina PTO locekļu pašreizējās saistības un panāk, ka konkrētās nozarēs, kuras tiešā veidā ir būtiskas, lai elektroniskā komercija būtu iespējama, īpaši telesakaru, datorpakalpojumu un saistīto pakalpojumu jomā, tiek mazināti piekļuves ierobežojumi tirgum un valsts režīmam. </w:t>
      </w:r>
    </w:p>
    <w:p>
      <w:pPr>
        <w:pStyle w:val="NumPar1"/>
        <w:rPr>
          <w:noProof/>
        </w:rPr>
      </w:pPr>
      <w:r>
        <w:rPr>
          <w:noProof/>
        </w:rPr>
        <w:t xml:space="preserve">Visiem noteikumiem vai saistībām, par kuriem ES ir vienojusies, būtu jāatbilst ES tiesiskajam regulējumam. </w:t>
      </w:r>
    </w:p>
    <w:p>
      <w:pPr>
        <w:pStyle w:val="NumPar1"/>
        <w:rPr>
          <w:noProof/>
          <w:sz w:val="22"/>
        </w:rPr>
      </w:pPr>
      <w:r>
        <w:rPr>
          <w:noProof/>
        </w:rPr>
        <w:t>Proti, Eiropas Savienība nepiekrīt noteikumiem vai saistībām, kuri varētu ietekmēt tās tiesisko regulējumu kiberdrošības jomā, īpaši attiecībā uz tīklu un informācijas sistēmu vienādi augsta līmeņa drošību visā Savienībā.</w:t>
      </w:r>
    </w:p>
    <w:p>
      <w:pPr>
        <w:pStyle w:val="NumPar1"/>
        <w:rPr>
          <w:noProof/>
        </w:rPr>
      </w:pPr>
      <w:r>
        <w:rPr>
          <w:noProof/>
        </w:rPr>
        <w:t xml:space="preserve">Turklāt Eiropas Savienība nepiekrīt noteikumiem vai saistībām, kuri varētu ietekmēt tās tiesisko regulējumu persondatu aizsardzības jomā. Datu pārrobežu plūsmu (datu teritoriālas ierobežošanas prasības un persondatu aizsardzība) jautājumos Eiropas Savienība ievēros horizontālo pieeju, kas apstiprināta saistībā ar divpusējiem tirdzniecības un ieguldījumu nolīgumiem. </w:t>
      </w:r>
    </w:p>
    <w:p>
      <w:pPr>
        <w:pStyle w:val="NumPar1"/>
        <w:rPr>
          <w:noProof/>
        </w:rPr>
      </w:pPr>
      <w:r>
        <w:rPr>
          <w:noProof/>
        </w:rPr>
        <w:t xml:space="preserve">Turklāt Eiropas Savienība un tās dalībvalstis saglabā iespēju aizsargāt un pilnveidot savu spēju noteikt un īstenot kultūras un audiovizuālās jomas rīcībpolitiku ar mērķi saglabāt savu kultūru daudzveidību. Eiropas Savienība nepiekrīt noteikumiem vai saistībām audiovizuālo pakalpojumu jomā. Eiropas Savienība neuzņemas saistības par pakalpojumiem, kas sniegti, vai darbībām, kas veiktas, īstenojot valsts pilnvaras. </w:t>
      </w:r>
    </w:p>
    <w:p>
      <w:pPr>
        <w:pStyle w:val="NumPar1"/>
        <w:rPr>
          <w:noProof/>
        </w:rPr>
      </w:pPr>
      <w:r>
        <w:rPr>
          <w:noProof/>
        </w:rPr>
        <w:t xml:space="preserve">Būtu jānosaka, ka noteikumi un saistības neliedz Eiropas Savienībai un tās dalībvalstīm un to valsts, reģionu un vietējām iestādēm sabiedrības interesēs reglamentēt saimniecisko darbību, lai sasniegtu tādus leģitīmus publiskās politikas mērķus kā sargāt un veicināt sabiedrības veselību, sociālos pakalpojumus, vispārējo izglītību, drošumu, vidi, sabiedrības morāli, sociālo vai patērētāju tiesību aizsardzību, privātumu un persondatu aizsardzību un sargāt un veicināt kultūru daudzveidību. Saskaņā ar Līgumu par Eiropas Savienības darbību un jo īpaši tā 26. protokolu “Par sabiedriskiem pakalpojumiem” būtu jāsaglabā augsts sabiedrisku pakalpojumu kvalitātes līmenis un jāņem vērā Eiropas Savienības atrunas šajā jomā, arī atbilstoši </w:t>
      </w:r>
      <w:r>
        <w:rPr>
          <w:i/>
          <w:noProof/>
        </w:rPr>
        <w:t>GATS</w:t>
      </w:r>
      <w:r>
        <w:rPr>
          <w:noProof/>
        </w:rPr>
        <w:t>.</w:t>
      </w: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E2CCC8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E269FD8"/>
    <w:lvl w:ilvl="0">
      <w:start w:val="1"/>
      <w:numFmt w:val="decimal"/>
      <w:pStyle w:val="ListNumber3"/>
      <w:lvlText w:val="%1."/>
      <w:lvlJc w:val="left"/>
      <w:pPr>
        <w:tabs>
          <w:tab w:val="num" w:pos="926"/>
        </w:tabs>
        <w:ind w:left="926" w:hanging="360"/>
      </w:pPr>
    </w:lvl>
  </w:abstractNum>
  <w:abstractNum w:abstractNumId="2">
    <w:nsid w:val="FFFFFF7F"/>
    <w:multiLevelType w:val="singleLevel"/>
    <w:tmpl w:val="330475C8"/>
    <w:lvl w:ilvl="0">
      <w:start w:val="1"/>
      <w:numFmt w:val="decimal"/>
      <w:pStyle w:val="ListNumber2"/>
      <w:lvlText w:val="%1."/>
      <w:lvlJc w:val="left"/>
      <w:pPr>
        <w:tabs>
          <w:tab w:val="num" w:pos="643"/>
        </w:tabs>
        <w:ind w:left="643" w:hanging="360"/>
      </w:pPr>
    </w:lvl>
  </w:abstractNum>
  <w:abstractNum w:abstractNumId="3">
    <w:nsid w:val="FFFFFF81"/>
    <w:multiLevelType w:val="singleLevel"/>
    <w:tmpl w:val="CACEC95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FF838B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E8E648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B269E1A"/>
    <w:lvl w:ilvl="0">
      <w:start w:val="1"/>
      <w:numFmt w:val="decimal"/>
      <w:pStyle w:val="ListNumber"/>
      <w:lvlText w:val="%1."/>
      <w:lvlJc w:val="left"/>
      <w:pPr>
        <w:tabs>
          <w:tab w:val="num" w:pos="360"/>
        </w:tabs>
        <w:ind w:left="360" w:hanging="360"/>
      </w:pPr>
    </w:lvl>
  </w:abstractNum>
  <w:abstractNum w:abstractNumId="7">
    <w:nsid w:val="FFFFFF89"/>
    <w:multiLevelType w:val="singleLevel"/>
    <w:tmpl w:val="013483B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2"/>
    <w:lvlOverride w:ilvl="0">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4"/>
  </w:num>
  <w:num w:numId="7">
    <w:abstractNumId w:val="3"/>
  </w:num>
  <w:num w:numId="8">
    <w:abstractNumId w:val="6"/>
  </w:num>
  <w:num w:numId="9">
    <w:abstractNumId w:val="2"/>
  </w:num>
  <w:num w:numId="10">
    <w:abstractNumId w:val="1"/>
  </w:num>
  <w:num w:numId="11">
    <w:abstractNumId w:val="0"/>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hideSpellingErrors/>
  <w:hideGrammaticalErrors/>
  <w:attachedTemplate r:id="rId1"/>
  <w:revisionView w:markup="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4-04 17:01:5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ACCOMPAGNANT" w:val="dokumentam"/>
    <w:docVar w:name="LW_ACCOMPAGNANT.CP" w:val="dokumentam"/>
    <w:docVar w:name="LW_ANNEX_NBR_FIRST" w:val="1"/>
    <w:docVar w:name="LW_ANNEX_NBR_LAST" w:val="1"/>
    <w:docVar w:name="LW_ANNEX_UNIQUE" w:val="1"/>
    <w:docVar w:name="LW_CORRIGENDUM" w:val="&lt;UNUSED&gt;"/>
    <w:docVar w:name="LW_COVERPAGE_EXISTS" w:val="True"/>
    <w:docVar w:name="LW_COVERPAGE_GUID" w:val="337F39A5-9841-47DB-8038-C60E2A3BD451"/>
    <w:docVar w:name="LW_COVERPAGE_TYPE" w:val="1"/>
    <w:docVar w:name="LW_CROSSREFERENCE" w:val="&lt;UNUSED&gt;"/>
    <w:docVar w:name="LW_DocType" w:val="ANNEX"/>
    <w:docVar w:name="LW_EMISSION" w:val="2.4.2019"/>
    <w:docVar w:name="LW_EMISSION_ISODATE" w:val="2019-04-02"/>
    <w:docVar w:name="LW_EMISSION_LOCATION" w:val="BRX"/>
    <w:docVar w:name="LW_EMISSION_PREFIX" w:val="Briselē, "/>
    <w:docVar w:name="LW_EMISSION_SUFFIX" w:val="."/>
    <w:docVar w:name="LW_ID_DOCSTRUCTURE" w:val="COM/ANNEX"/>
    <w:docVar w:name="LW_ID_DOCTYPE" w:val="SG-017"/>
    <w:docVar w:name="LW_LANGUE" w:val="LV"/>
    <w:docVar w:name="LW_LEVEL_OF_SENSITIVITY" w:val="Standard treatment"/>
    <w:docVar w:name="LW_NOM.INST" w:val="EIROPAS KOMISIJA"/>
    <w:docVar w:name="LW_NOM.INST_JOINTDOC" w:val="&lt;EMPTY&gt;"/>
    <w:docVar w:name="LW_OBJETACTEPRINCIPAL" w:val="ar ko papildina Dohas Att\u299?st\u299?bas programmas sarunu nor\u257?des attiec\u299?b\u257? uz plurilater\u257?l\u257?m sarun\u257?m par noteikumiem un saist\u299?b\u257?m elektronisk\u257?s komercijas jom\u257?"/>
    <w:docVar w:name="LW_OBJETACTEPRINCIPAL.CP" w:val="ar ko papildina Dohas Att\u299?st\u299?bas programmas sarunu nor\u257?des attiec\u299?b\u257? uz plurilater\u257?l\u257?m sarun\u257?m par noteikumiem un saist\u299?b\u257?m elektronisk\u257?s komercijas jom\u257?"/>
    <w:docVar w:name="LW_PART_NBR" w:val="1"/>
    <w:docVar w:name="LW_PART_NBR_TOTAL" w:val="1"/>
    <w:docVar w:name="LW_REF.INST.NEW" w:val="COM"/>
    <w:docVar w:name="LW_REF.INST.NEW_ADOPTED" w:val="final"/>
    <w:docVar w:name="LW_REF.INST.NEW_TEXT" w:val="(2019) 16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PIELIKUMS"/>
    <w:docVar w:name="LW_TYPE.DOC.CP" w:val="PIELIKUMS"/>
    <w:docVar w:name="LW_TYPEACTEPRINCIPAL" w:val="Ieteikums Padomes L\u275?mums,"/>
    <w:docVar w:name="LW_TYPEACTEPRINCIPAL.CP" w:val="Ieteikums Padomes L\u275?mum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v-LV"/>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v-LV"/>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04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0</TotalTime>
  <Pages>4</Pages>
  <Words>733</Words>
  <Characters>5331</Characters>
  <Application>Microsoft Office Word</Application>
  <DocSecurity>0</DocSecurity>
  <Lines>90</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2019-04-04T14:56:00Z</dcterms:created>
  <dcterms:modified xsi:type="dcterms:W3CDTF">2019-04-04T15:01:00Z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Category">
    <vt:lpwstr>COM/ANNEX</vt:lpwstr>
  </property>
  <property fmtid="{D5CDD505-2E9C-101B-9397-08002B2CF9AE}" pid="4" name="Level of sensitivity">
    <vt:lpwstr>Standard treatment</vt:lpwstr>
  </property>
  <property fmtid="{D5CDD505-2E9C-101B-9397-08002B2CF9AE}" pid="5" name="First annex">
    <vt:lpwstr>1</vt:lpwstr>
  </property>
  <property fmtid="{D5CDD505-2E9C-101B-9397-08002B2CF9AE}" pid="6" name="Last annex">
    <vt:lpwstr>1</vt:lpwstr>
  </property>
  <property fmtid="{D5CDD505-2E9C-101B-9397-08002B2CF9AE}" pid="7" name="Unique annex">
    <vt:lpwstr>1</vt:lpwstr>
  </property>
  <property fmtid="{D5CDD505-2E9C-101B-9397-08002B2CF9AE}" pid="8" name="Part">
    <vt:lpwstr>1</vt:lpwstr>
  </property>
  <property fmtid="{D5CDD505-2E9C-101B-9397-08002B2CF9AE}" pid="9" name="Total parts">
    <vt:lpwstr>1</vt:lpwstr>
  </property>
  <property fmtid="{D5CDD505-2E9C-101B-9397-08002B2CF9AE}" pid="10" name="LWTemplateID">
    <vt:lpwstr>SG-017</vt:lpwstr>
  </property>
  <property fmtid="{D5CDD505-2E9C-101B-9397-08002B2CF9AE}" pid="11" name="DQCStatus">
    <vt:lpwstr>Green (DQC version 03)</vt:lpwstr>
  </property>
</Properties>
</file>