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50E0E170-5BDF-43CD-9FAB-E00D291516F7" style="width:450.75pt;height:410.6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MELLÉKLET </w:t>
      </w:r>
    </w:p>
    <w:p>
      <w:pPr>
        <w:pStyle w:val="Heading1"/>
        <w:numPr>
          <w:ilvl w:val="0"/>
          <w:numId w:val="3"/>
        </w:numPr>
        <w:rPr>
          <w:noProof/>
        </w:rPr>
      </w:pPr>
      <w:r>
        <w:rPr>
          <w:noProof/>
        </w:rPr>
        <w:t>A SZABÁLYOK ÉS KÖTELEZETTSÉGVÁLLALÁSOK JELLEGE ÉS HATÁLYA</w:t>
      </w:r>
    </w:p>
    <w:p>
      <w:pPr>
        <w:pStyle w:val="NumPar1"/>
        <w:numPr>
          <w:ilvl w:val="0"/>
          <w:numId w:val="2"/>
        </w:numPr>
        <w:rPr>
          <w:noProof/>
        </w:rPr>
      </w:pPr>
      <w:r>
        <w:rPr>
          <w:noProof/>
        </w:rPr>
        <w:t>A dohai fejlesztési menetrend keretében a Kereskedelmi Világszervezeten belüli tárgyalásokra vonatkozó, meglévő tanácsi felhatalmazás alapján a plurilaterális tárgyalásoknak arra kell irányulniuk, hogy a WTO-n belül az elektronikus kereskedelem kereskedelemmel kapcsolatos vonatkozásairól szóló szabályokat állapítsanak meg azzal céllal, hogy különösen a fogyasztók online környezetbe vetett bizalmának megerősítése, valamint az inkluzív növekedés és fejlődés előmozdítására vonatkozó új lehetőségek teremtése révén fejlesszék a globális elektronikus kereskedelmet és elősegítsék a vállalkozások – többek között a mikro-, kis- és középvállalkozások – működését. A tárgyalásokon arra kell törekedni továbbá, hogy liberalizálják a szolgáltatások és az áruk kereskedelmét azokban a konkrét ágazatokban, amelyek közvetlenül relevánsak az elektronikus kereskedelem lehetősége szempontjából.</w:t>
      </w:r>
    </w:p>
    <w:p>
      <w:pPr>
        <w:pStyle w:val="NumPar1"/>
        <w:rPr>
          <w:noProof/>
        </w:rPr>
      </w:pPr>
      <w:r>
        <w:rPr>
          <w:noProof/>
        </w:rPr>
        <w:t xml:space="preserve">A tárgyalások lefolytatása és lezárása során megfelelő figyelmet kell fordítani a tagok WTO szerinti jogaira és kötelezettségeire, tiszteletben tartva az átláthatóság és az inkluzivitás elvét, és építve a meglévő WTO-megállapodásokra, beleértve az azokban foglalt kivételeket. </w:t>
      </w:r>
    </w:p>
    <w:p>
      <w:pPr>
        <w:pStyle w:val="NumPar1"/>
        <w:rPr>
          <w:noProof/>
        </w:rPr>
      </w:pPr>
      <w:r>
        <w:rPr>
          <w:noProof/>
        </w:rPr>
        <w:t>A tárgyalásokon célul kell kitűzni magas színvonalú szabályok és kötelezettségvállalások kidolgozását a lehető legtöbb WTO-tag részvételével. A tárgyalások során figyelembe kell venni, hogy a WTO-tagok egyedülálló lehetőségekkel rendelkeznek és ezzel egyidejűleg kihívásokkal szembesülnek az elektronikus kereskedelem tekintetében. Ennélfogva a szabályoknak és kötelezettségvállalásoknak megfelelő rugalmasságot kell biztosítaniuk.</w:t>
      </w:r>
    </w:p>
    <w:p>
      <w:pPr>
        <w:pStyle w:val="NumPar1"/>
        <w:rPr>
          <w:b/>
          <w:noProof/>
        </w:rPr>
      </w:pPr>
      <w:r>
        <w:rPr>
          <w:noProof/>
        </w:rPr>
        <w:t xml:space="preserve">Az Európai Unió által elfogadott szabályoknak és kötelezettségvállalásoknak figyelembe kell venniük a meglévő WTO-megállapodásokban foglalt legnagyobb kedvezményes elbánást, kivéve ha a WTO-tagok ettől eltérően állapodnak meg. </w:t>
      </w:r>
    </w:p>
    <w:p>
      <w:pPr>
        <w:pStyle w:val="Heading1"/>
        <w:rPr>
          <w:noProof/>
          <w:szCs w:val="24"/>
        </w:rPr>
      </w:pPr>
      <w:r>
        <w:rPr>
          <w:noProof/>
        </w:rPr>
        <w:t>A SZABÁLYOK ÉS KÖTELEZETTSÉGVÁLLALÁSOK JAVASOLT TARTALMA</w:t>
      </w:r>
    </w:p>
    <w:p>
      <w:pPr>
        <w:pStyle w:val="NumPar1"/>
        <w:rPr>
          <w:noProof/>
        </w:rPr>
      </w:pPr>
      <w:r>
        <w:rPr>
          <w:noProof/>
        </w:rPr>
        <w:t>A tárgyalások során az elektronikus kereskedelem kereskedelemmel kapcsolatos vonatkozásairól szóló szabályokat kell kidolgozni a WTO-n belül. Ezeknek arra kell irányulniuk, hogy javítsák a globális elektronikus kereskedelem feltételeit az Európai Unión belüli vállalkozások és fogyasztók számára, továbbá hogy növeljék a mikro-, kis- és középvállalkozások, valamint a fejlődő és a legkevésbé fejlett országok részvételét a globális értékláncokban.</w:t>
      </w:r>
    </w:p>
    <w:p>
      <w:pPr>
        <w:pStyle w:val="NumPar1"/>
        <w:rPr>
          <w:noProof/>
        </w:rPr>
      </w:pPr>
      <w:r>
        <w:rPr>
          <w:noProof/>
        </w:rPr>
        <w:t>A tárgyalásokat nyitott és inkluzív módon fogják lefolytatni. Ezért azok kiterjedhetnek az elektronikus kereskedelem bármely olyan kereskedelmi vonatkozására, amelyre a részt vevő tagok javaslatot tesznek. Az elektronikus kereskedelem területeken átívelő jellegének elismerése mellett a tárgyalások olyan kérdésekre is kiterjedhetnek, mint például:</w:t>
      </w:r>
    </w:p>
    <w:p>
      <w:pPr>
        <w:pStyle w:val="Tiret1"/>
        <w:numPr>
          <w:ilvl w:val="0"/>
          <w:numId w:val="1"/>
        </w:numPr>
        <w:rPr>
          <w:noProof/>
        </w:rPr>
      </w:pPr>
      <w:r>
        <w:rPr>
          <w:noProof/>
        </w:rPr>
        <w:t>az elektronikus tranzakciók megkönnyítése (pl. elektronikus aláírások és egyéb bizalmi szolgáltatások, elektronikus azonosítás);</w:t>
      </w:r>
    </w:p>
    <w:p>
      <w:pPr>
        <w:pStyle w:val="Tiret1"/>
        <w:rPr>
          <w:noProof/>
        </w:rPr>
      </w:pPr>
      <w:r>
        <w:rPr>
          <w:noProof/>
        </w:rPr>
        <w:t>az elektronikus továbbításokra és a továbbított tartalomra vonatkozó vámok;</w:t>
      </w:r>
    </w:p>
    <w:p>
      <w:pPr>
        <w:pStyle w:val="Tiret1"/>
        <w:rPr>
          <w:noProof/>
        </w:rPr>
      </w:pPr>
      <w:r>
        <w:rPr>
          <w:noProof/>
        </w:rPr>
        <w:lastRenderedPageBreak/>
        <w:t xml:space="preserve">fogyasztói bizalom (pl. online fogyasztóvédelem, kéretlen elektronikus üzenetek, jogorvoslathoz való hozzáférés); </w:t>
      </w:r>
    </w:p>
    <w:p>
      <w:pPr>
        <w:pStyle w:val="Tiret1"/>
        <w:rPr>
          <w:noProof/>
        </w:rPr>
      </w:pPr>
      <w:r>
        <w:rPr>
          <w:noProof/>
        </w:rPr>
        <w:t>a távközlési szolgáltatásokra vonatkozó szabályozási intézkedések, amelyek annak biztosítására szolgálnak, hogy egyenlő versenyfeltételek és hatékony verseny alakuljon ki a távközlési ágazatban;</w:t>
      </w:r>
    </w:p>
    <w:p>
      <w:pPr>
        <w:pStyle w:val="Tiret1"/>
        <w:rPr>
          <w:noProof/>
        </w:rPr>
      </w:pPr>
      <w:r>
        <w:rPr>
          <w:noProof/>
        </w:rPr>
        <w:t>határokon átnyúló adatáramlások, adatlokalizálási követelmények és a személyes adatok védelme;</w:t>
      </w:r>
    </w:p>
    <w:p>
      <w:pPr>
        <w:pStyle w:val="Tiret1"/>
        <w:rPr>
          <w:noProof/>
        </w:rPr>
      </w:pPr>
      <w:r>
        <w:rPr>
          <w:noProof/>
        </w:rPr>
        <w:t>a vállalkozások bizalma (pl. a számítógépes forráskód védelme, kényszerített technológiatranszfer);</w:t>
      </w:r>
    </w:p>
    <w:p>
      <w:pPr>
        <w:pStyle w:val="Tiret1"/>
        <w:rPr>
          <w:noProof/>
        </w:rPr>
      </w:pPr>
      <w:r>
        <w:rPr>
          <w:noProof/>
        </w:rPr>
        <w:t>az elektronikus kereskedelemhez való jobb hozzáférés (pl. internet-hozzáférés, online szolgáltatások és kormányzati adatok vagy az online közvetítők felelőssége és azokhoz való hozzáférés);</w:t>
      </w:r>
    </w:p>
    <w:p>
      <w:pPr>
        <w:pStyle w:val="Tiret1"/>
        <w:rPr>
          <w:noProof/>
        </w:rPr>
      </w:pPr>
      <w:r>
        <w:rPr>
          <w:noProof/>
        </w:rPr>
        <w:t>az elektronikus kereskedelem szempontjából releváns, a kereskedelmi eljárások egyszerűsítéséről szóló intézkedések (pl. papírmentes kereskedelem), megfelelően figyelembe véve a kereskedelmi eljárások egyszerűsítéséről szóló WTO-egyezményt;</w:t>
      </w:r>
    </w:p>
    <w:p>
      <w:pPr>
        <w:pStyle w:val="Tiret1"/>
        <w:rPr>
          <w:noProof/>
        </w:rPr>
      </w:pPr>
      <w:r>
        <w:rPr>
          <w:noProof/>
        </w:rPr>
        <w:t>a szellemi tulajdonhoz fűződő jogok, így az üzleti titkok elektronikus kereskedelmi vonatkozásai;</w:t>
      </w:r>
    </w:p>
    <w:p>
      <w:pPr>
        <w:pStyle w:val="Tiret1"/>
        <w:rPr>
          <w:noProof/>
        </w:rPr>
      </w:pPr>
      <w:r>
        <w:rPr>
          <w:noProof/>
        </w:rPr>
        <w:t>fejlesztéssel kapcsolatos kérdések;</w:t>
      </w:r>
    </w:p>
    <w:p>
      <w:pPr>
        <w:pStyle w:val="Tiret1"/>
        <w:rPr>
          <w:noProof/>
        </w:rPr>
      </w:pPr>
      <w:r>
        <w:rPr>
          <w:noProof/>
        </w:rPr>
        <w:t>átláthatóság; valamint</w:t>
      </w:r>
    </w:p>
    <w:p>
      <w:pPr>
        <w:pStyle w:val="Tiret1"/>
        <w:rPr>
          <w:noProof/>
        </w:rPr>
      </w:pPr>
      <w:r>
        <w:rPr>
          <w:noProof/>
        </w:rPr>
        <w:t xml:space="preserve">együttműködés (pl. a részt vevő tagok, a fogyasztóvédelmi hatóságok között). </w:t>
      </w:r>
    </w:p>
    <w:p>
      <w:pPr>
        <w:pStyle w:val="NumPar1"/>
        <w:rPr>
          <w:noProof/>
        </w:rPr>
      </w:pPr>
      <w:r>
        <w:rPr>
          <w:noProof/>
        </w:rPr>
        <w:t xml:space="preserve">Az Európai Unió ezen irányelvekkel összhangban tárgyalásokat folytathat az elektronikus kereskedelemnek a részt vevő tagok által javasolt egyéb vonatkozásairól is. </w:t>
      </w:r>
    </w:p>
    <w:p>
      <w:pPr>
        <w:pStyle w:val="NumPar1"/>
        <w:rPr>
          <w:noProof/>
        </w:rPr>
      </w:pPr>
      <w:r>
        <w:rPr>
          <w:noProof/>
        </w:rPr>
        <w:t xml:space="preserve">A tárgyalások során szintén a szolgáltatások és az áruk kereskedelmének fokozatos liberalizációjára kell törekedni azáltal, hogy a tagok meglévő WTO-kötelezettségvállalásain túlmenően csökkentik a piacra jutás és a nemzeti elbánás akadályait az elektronikus kereskedelem lehetősége szempontjából közvetlenül érintett egyes konkrét ágazatokban, különösen a távközlési szolgáltatások, a valamint a számítástechnikai és kapcsolódó szolgáltatások terén. </w:t>
      </w:r>
    </w:p>
    <w:p>
      <w:pPr>
        <w:pStyle w:val="NumPar1"/>
        <w:rPr>
          <w:noProof/>
        </w:rPr>
      </w:pPr>
      <w:r>
        <w:rPr>
          <w:noProof/>
        </w:rPr>
        <w:t xml:space="preserve">Az Európai Unió által elfogadott bármely szabálynak vagy kötelezettségvállalásnak összhangban kell lennie az uniós jogi kerettel </w:t>
      </w:r>
    </w:p>
    <w:p>
      <w:pPr>
        <w:pStyle w:val="NumPar1"/>
        <w:rPr>
          <w:noProof/>
          <w:sz w:val="22"/>
        </w:rPr>
      </w:pPr>
      <w:r>
        <w:rPr>
          <w:noProof/>
        </w:rPr>
        <w:t>Mindenekelőtt az Európai Unió nem fogad el olyan szabályokat és kötelezettségvállalásokat, amelyek érinthetik a kiberbiztonsági jogi keretét, vagyis a hálózati és információs rendszerek biztonságának az egész Európai Unióban egységesen magas szintjét.</w:t>
      </w:r>
    </w:p>
    <w:p>
      <w:pPr>
        <w:pStyle w:val="NumPar1"/>
        <w:rPr>
          <w:noProof/>
        </w:rPr>
      </w:pPr>
      <w:r>
        <w:rPr>
          <w:noProof/>
        </w:rPr>
        <w:t xml:space="preserve">Továbbá az Európai Unió nem fogad el olyan szabályokat és kötelezettségvállalásokat, amelyek érinthetik a személyes adatok védelmére vonatkozó jogi keretét. A határokon átnyúló adatáramlások tekintetében (adatlokalizálási követelmények és a személyes adatok védelme) az Európai Unió a kétoldalú kereskedelmi és beruházási megállapodásokkal kapcsolatban jóváhagyott horizontális megközelítést követi. </w:t>
      </w:r>
    </w:p>
    <w:p>
      <w:pPr>
        <w:pStyle w:val="NumPar1"/>
        <w:rPr>
          <w:noProof/>
        </w:rPr>
      </w:pPr>
      <w:r>
        <w:rPr>
          <w:noProof/>
        </w:rPr>
        <w:t xml:space="preserve">Ezenkívül az Európai Uniónak és tagállamainak fenn kell tartaniuk azt a lehetőséget, hogy kulturális és audiovizuális politikákat határozzanak meg és hajtsanak végre </w:t>
      </w:r>
      <w:r>
        <w:rPr>
          <w:noProof/>
        </w:rPr>
        <w:lastRenderedPageBreak/>
        <w:t xml:space="preserve">kulturális sokszínűségük megőrzése érdekében. Az Európai Unió nem fogad el audiovizuális szolgáltatásokra vonatkozó szabályokat vagy kötelezettségvállalásokat. Az Európai Unió nem vállal kötelezettséget az államhatalom gyakorlása során nyújtott szolgáltatásokra vagy végzett tevékenységekre vonatkozóan. </w:t>
      </w:r>
    </w:p>
    <w:p>
      <w:pPr>
        <w:pStyle w:val="NumPar1"/>
        <w:rPr>
          <w:noProof/>
        </w:rPr>
      </w:pPr>
      <w:r>
        <w:rPr>
          <w:noProof/>
        </w:rPr>
        <w:t>A szabályok és kötelezettségvállalások nem akadályozhatják az Európai Uniót, annak tagállamait, valamint nemzeti, regionális és helyi hatóságait abban, hogy a gazdasági tevékenységet közérdekből szabályozzák olyan legitim közpolitikai célok érdekében, mint például a közegészség védelme és előmozdítása, a szociális szolgáltatások, a közoktatás, a biztonság, a környezetvédelem, a közerkölcsök, a szociális védelem és a fogyasztóvédelem, a magánélet és a személyes adatok védelme, továbbá a kulturális sokszínűség védelme és előmozdítása. Az Európai Unión belül meg kell őrizni a közszolgáltatások magas minőségét, összhangban az Európai Unió működéséről szóló szerződéssel és különösen az általános érdekű szolgáltatásokról szóló 26. sz. jegyzőkönyvvel, valamint figyelembe kell venni az Európai Unió e területen tett – így a GATS szerinti – fenntartásait.</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2CCC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269F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30475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ACEC9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FF838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E8E648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B269E1A"/>
    <w:lvl w:ilvl="0">
      <w:start w:val="1"/>
      <w:numFmt w:val="decimal"/>
      <w:pStyle w:val="ListNumber"/>
      <w:lvlText w:val="%1."/>
      <w:lvlJc w:val="left"/>
      <w:pPr>
        <w:tabs>
          <w:tab w:val="num" w:pos="360"/>
        </w:tabs>
        <w:ind w:left="360" w:hanging="360"/>
      </w:pPr>
    </w:lvl>
  </w:abstractNum>
  <w:abstractNum w:abstractNumId="7">
    <w:nsid w:val="FFFFFF89"/>
    <w:multiLevelType w:val="singleLevel"/>
    <w:tmpl w:val="013483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14:39: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a következ\u337?höz:"/>
    <w:docVar w:name="LW_ACCOMPAGNANT.CP" w:val="a következ\u337?höz:"/>
    <w:docVar w:name="LW_ANNEX_NBR_FIRST" w:val="1"/>
    <w:docVar w:name="LW_ANNEX_NBR_LAST" w:val="1"/>
    <w:docVar w:name="LW_ANNEX_UNIQUE" w:val="1"/>
    <w:docVar w:name="LW_CORRIGENDUM" w:val="&lt;UNUSED&gt;"/>
    <w:docVar w:name="LW_COVERPAGE_EXISTS" w:val="True"/>
    <w:docVar w:name="LW_COVERPAGE_GUID" w:val="50E0E170-5BDF-43CD-9FAB-E00D291516F7"/>
    <w:docVar w:name="LW_COVERPAGE_TYPE" w:val="1"/>
    <w:docVar w:name="LW_CROSSREFERENCE" w:val="&lt;UNUSED&gt;"/>
    <w:docVar w:name="LW_DocType" w:val="ANNEX"/>
    <w:docVar w:name="LW_EMISSION" w:val="2019.4.2."/>
    <w:docVar w:name="LW_EMISSION_ISODATE" w:val="2019-04-02"/>
    <w:docVar w:name="LW_EMISSION_LOCATION" w:val="BRX"/>
    <w:docVar w:name="LW_EMISSION_PREFIX" w:val="Brüsszel, "/>
    <w:docVar w:name="LW_EMISSION_SUFFIX" w:val=" "/>
    <w:docVar w:name="LW_ID_DOCSTRUCTURE" w:val="COM/ANNEX"/>
    <w:docVar w:name="LW_ID_DOCTYPE" w:val="SG-017"/>
    <w:docVar w:name="LW_LANGUE" w:val="HU"/>
    <w:docVar w:name="LW_LEVEL_OF_SENSITIVITY" w:val="Standard treatment"/>
    <w:docVar w:name="LW_NOM.INST" w:val="EURÓPAI BIZOTTSÁG"/>
    <w:docVar w:name="LW_NOM.INST_JOINTDOC" w:val="&lt;EMPTY&gt;"/>
    <w:docVar w:name="LW_OBJETACTEPRINCIPAL" w:val="a dohai fejlesztési menetrendre vonatkozó tárgyalási irányelveknek az elektronikus kereskedelemre vonatkozó szabályokkal és kötelezettségvállalásokkal kapcsolatos plurilaterális tárgyalások tekintetében történ\u337? kiegészítésér\u337?l"/>
    <w:docVar w:name="LW_OBJETACTEPRINCIPAL.CP" w:val="a dohai fejlesztési menetrendre vonatkozó tárgyalási irányelveknek az elektronikus kereskedelemre vonatkozó szabályokkal és kötelezettségvállalásokkal kapcsolatos plurilaterális tárgyalások tekintetében történ\u337? kiegészítésér\u337?l"/>
    <w:docVar w:name="LW_PART_NBR" w:val="1"/>
    <w:docVar w:name="LW_PART_NBR_TOTAL" w:val="1"/>
    <w:docVar w:name="LW_REF.INST.NEW" w:val="COM"/>
    <w:docVar w:name="LW_REF.INST.NEW_ADOPTED" w:val="final"/>
    <w:docVar w:name="LW_REF.INST.NEW_TEXT" w:val="(2019) 1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MELLÉKLET"/>
    <w:docVar w:name="LW_TYPE.DOC.CP" w:val="MELLÉKLET"/>
    <w:docVar w:name="LW_TYPEACTEPRINCIPAL" w:val="Ajánlás_x000b_A Tanács határozata"/>
    <w:docVar w:name="LW_TYPEACTEPRINCIPAL.CP" w:val="Ajánlás_x000b_A Tanács határozata"/>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0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4</Pages>
  <Words>803</Words>
  <Characters>6050</Characters>
  <Application>Microsoft Office Word</Application>
  <DocSecurity>0</DocSecurity>
  <Lines>106</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2019-04-04T08:47:00Z</dcterms:created>
  <dcterms:modified xsi:type="dcterms:W3CDTF">2019-04-04T12:39:00Z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DQCStatus">
    <vt:lpwstr>Green (DQC version 03)</vt:lpwstr>
  </property>
</Properties>
</file>