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06" w:rsidRDefault="008E4E48">
      <w:pPr>
        <w:pStyle w:val="Pagedecouverture"/>
        <w:rPr>
          <w:noProof/>
          <w:highlight w:val="yellow"/>
        </w:rPr>
      </w:pPr>
      <w:r w:rsidRPr="008E4E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38F37E-A596-49A4-AC31-41560880707E" style="width:450pt;height:397.8pt">
            <v:imagedata r:id="rId11" o:title=""/>
          </v:shape>
        </w:pict>
      </w:r>
      <w:bookmarkStart w:id="0" w:name="_GoBack"/>
      <w:bookmarkEnd w:id="0"/>
    </w:p>
    <w:p w:rsidR="009A3C06" w:rsidRDefault="009A3C06">
      <w:pPr>
        <w:rPr>
          <w:noProof/>
          <w:highlight w:val="yellow"/>
        </w:rPr>
        <w:sectPr w:rsidR="009A3C06">
          <w:footerReference w:type="default" r:id="rId12"/>
          <w:pgSz w:w="11907" w:h="16839"/>
          <w:pgMar w:top="1134" w:right="1417" w:bottom="1134" w:left="1417" w:header="709" w:footer="709" w:gutter="0"/>
          <w:pgNumType w:start="1"/>
          <w:cols w:space="720"/>
          <w:docGrid w:linePitch="360"/>
        </w:sectPr>
      </w:pPr>
    </w:p>
    <w:p w:rsidR="009A3C06" w:rsidRDefault="008E4E48">
      <w:pPr>
        <w:pStyle w:val="Annexetitre"/>
        <w:rPr>
          <w:noProof/>
        </w:rPr>
      </w:pPr>
      <w:r>
        <w:rPr>
          <w:noProof/>
        </w:rPr>
        <w:lastRenderedPageBreak/>
        <w:t>PRÍLOHA I</w:t>
      </w:r>
    </w:p>
    <w:p w:rsidR="009A3C06" w:rsidRDefault="008E4E48">
      <w:pPr>
        <w:jc w:val="center"/>
        <w:rPr>
          <w:b/>
          <w:noProof/>
          <w:u w:val="single"/>
        </w:rPr>
      </w:pPr>
      <w:r>
        <w:rPr>
          <w:b/>
          <w:noProof/>
          <w:u w:val="single"/>
        </w:rPr>
        <w:t xml:space="preserve">Pozícia Únie ku kľúčovým otázkam, o ktorých sa má diskutovať na 18. zasadaní konferencie zmluvných strán Dohovoru o medzinárodnom </w:t>
      </w:r>
      <w:r>
        <w:rPr>
          <w:b/>
          <w:noProof/>
          <w:u w:val="single"/>
        </w:rPr>
        <w:t>obchode s ohrozenými druhmi voľne žijúcich živočíchov a rastlín (CITES), Kolombo, Srí Lanka, 23. máj – 3. jún 2019</w:t>
      </w:r>
    </w:p>
    <w:p w:rsidR="009A3C06" w:rsidRDefault="008E4E48">
      <w:pPr>
        <w:pStyle w:val="ManualHeading1"/>
        <w:rPr>
          <w:noProof/>
        </w:rPr>
      </w:pPr>
      <w:r>
        <w:rPr>
          <w:noProof/>
        </w:rPr>
        <w:t>A.</w:t>
      </w:r>
      <w:r>
        <w:rPr>
          <w:noProof/>
        </w:rPr>
        <w:tab/>
        <w:t>Všeobecné úvahy</w:t>
      </w:r>
    </w:p>
    <w:p w:rsidR="009A3C06" w:rsidRDefault="008E4E48">
      <w:pPr>
        <w:pStyle w:val="NumPar1"/>
        <w:numPr>
          <w:ilvl w:val="0"/>
          <w:numId w:val="9"/>
        </w:numPr>
        <w:rPr>
          <w:noProof/>
        </w:rPr>
      </w:pPr>
      <w:r>
        <w:rPr>
          <w:noProof/>
        </w:rPr>
        <w:t>Únia považuje dohovor CITES za kľúčový medzinárodný dohovor na ochranu biodiverzity a boj proti nezákonnému obchodovaniu s</w:t>
      </w:r>
      <w:r>
        <w:rPr>
          <w:noProof/>
        </w:rPr>
        <w:t xml:space="preserve"> voľne žijúcimi druhmi. </w:t>
      </w:r>
    </w:p>
    <w:p w:rsidR="009A3C06" w:rsidRDefault="008E4E48">
      <w:pPr>
        <w:pStyle w:val="NumPar1"/>
        <w:rPr>
          <w:noProof/>
        </w:rPr>
      </w:pPr>
      <w:r>
        <w:rPr>
          <w:noProof/>
        </w:rPr>
        <w:t>Únia by mala na 18. zasadaní konferencie zmluvných strán dohovoru CITES prijať ambicióznu pozíciu v súlade s príslušnými politikami Únie a jej medzinárodnými záväzkami v tejto oblasti, najmä pokiaľ ide o ciele súvisiace s voľne žij</w:t>
      </w:r>
      <w:r>
        <w:rPr>
          <w:noProof/>
        </w:rPr>
        <w:t>úcimi druhmi v rámci cieľa trvalo udržateľného rozvoja č. 15, strategického plánu pre biodiverzitu na roky 2011 – 2020, ako aj ciele z Aichi dohodnuté v rámci Dohovoru o biologickej diverzite (DBD), strategickú víziu dohovoru CITES</w:t>
      </w:r>
      <w:r>
        <w:rPr>
          <w:rStyle w:val="FootnoteReference"/>
          <w:noProof/>
        </w:rPr>
        <w:footnoteReference w:id="1"/>
      </w:r>
      <w:r>
        <w:rPr>
          <w:noProof/>
        </w:rPr>
        <w:t xml:space="preserve"> a rezolúciu Valného zhr</w:t>
      </w:r>
      <w:r>
        <w:rPr>
          <w:noProof/>
        </w:rPr>
        <w:t>omaždenia OSN č. 71/326 o nezákonnom obchodovaní s voľne žijúcimi druhmi. Pozícia Únie by mala zároveň slúžiť na dosiahnutie cieľov stanovených na úrovni EÚ v rámci stratégie EÚ v oblasti biodiverzity do roku 2020, akčného plánu EÚ na boj proti nezákonnému</w:t>
      </w:r>
      <w:r>
        <w:rPr>
          <w:noProof/>
        </w:rPr>
        <w:t xml:space="preserve"> obchodovaniu s voľne žijúcimi druhmi živočíchov a rastlín, prístupu EÚ k podpore obchodu a udržateľného rozvoja zohľadnenom v stratégii „Obchod pre všetkých“, spoločnej rybárskej politiky a akčného plánu EÚ na zachovanie a riadenie populácií žralokov.</w:t>
      </w:r>
    </w:p>
    <w:p w:rsidR="009A3C06" w:rsidRDefault="008E4E48">
      <w:pPr>
        <w:pStyle w:val="NumPar1"/>
        <w:rPr>
          <w:noProof/>
        </w:rPr>
      </w:pPr>
      <w:r>
        <w:rPr>
          <w:noProof/>
        </w:rPr>
        <w:t>Pri</w:t>
      </w:r>
      <w:r>
        <w:rPr>
          <w:noProof/>
        </w:rPr>
        <w:t>oritami Únie na 18. zasadaní konferencie zmluvných strán dohovoru CITES by malo byť:</w:t>
      </w:r>
    </w:p>
    <w:p w:rsidR="009A3C06" w:rsidRDefault="008E4E48">
      <w:pPr>
        <w:pStyle w:val="Bullet1"/>
        <w:numPr>
          <w:ilvl w:val="0"/>
          <w:numId w:val="10"/>
        </w:numPr>
        <w:rPr>
          <w:noProof/>
        </w:rPr>
      </w:pPr>
      <w:r>
        <w:rPr>
          <w:noProof/>
        </w:rPr>
        <w:t>vedecky podložené plnohodnotné využívanie nástrojov dohovoru CITES na reguláciu medzinárodného obchodu s ohrozenými druhmi živočíchov a rastlín, ktoré sú predmetom neudrža</w:t>
      </w:r>
      <w:r>
        <w:rPr>
          <w:noProof/>
        </w:rPr>
        <w:t>teľného objemu medzinárodného obchodu,</w:t>
      </w:r>
    </w:p>
    <w:p w:rsidR="009A3C06" w:rsidRDefault="008E4E48">
      <w:pPr>
        <w:pStyle w:val="Bullet1"/>
        <w:rPr>
          <w:noProof/>
        </w:rPr>
      </w:pPr>
      <w:r>
        <w:rPr>
          <w:noProof/>
        </w:rPr>
        <w:t xml:space="preserve">posilnenie reakcie medzinárodného spoločenstva proti nezákonnému obchodovaniu s voľne žijúcimi druhmi, </w:t>
      </w:r>
    </w:p>
    <w:p w:rsidR="009A3C06" w:rsidRDefault="008E4E48">
      <w:pPr>
        <w:pStyle w:val="Bullet1"/>
        <w:rPr>
          <w:noProof/>
        </w:rPr>
      </w:pPr>
      <w:r>
        <w:rPr>
          <w:noProof/>
        </w:rPr>
        <w:t>zabezpečenie úplného zohľadnenia štatútu a práv EÚ ako strany dohovoru v príslušných procesných pravidlách a opat</w:t>
      </w:r>
      <w:r>
        <w:rPr>
          <w:noProof/>
        </w:rPr>
        <w:t xml:space="preserve">reniach. </w:t>
      </w:r>
    </w:p>
    <w:p w:rsidR="009A3C06" w:rsidRDefault="008E4E48">
      <w:pPr>
        <w:pStyle w:val="NumPar1"/>
        <w:rPr>
          <w:noProof/>
        </w:rPr>
      </w:pPr>
      <w:r>
        <w:rPr>
          <w:noProof/>
        </w:rPr>
        <w:t xml:space="preserve">V pozícii Únie by sa mal zohľadniť prínos kontrol podľa dohovoru CITES k zlepšeniu stavu ochrany druhov, pričom by sa malo oceniť úsilie krajín, ktoré zaviedli účinné ochranné opatrenia. Únia by mala zabezpečiť, aby sa rozhodnutiami prijatými na </w:t>
      </w:r>
      <w:r>
        <w:rPr>
          <w:noProof/>
        </w:rPr>
        <w:t>18. zasadaní COP dosiahla čo možno najvyššia účinnosť dohovoru CITES, a to minimalizáciou zbytočnej administratívnej záťaže a praktickými, nákladovo efektívnymi a funkčnými riešeniami problémov v oblasti plnenia a monitorovania.</w:t>
      </w:r>
    </w:p>
    <w:p w:rsidR="009A3C06" w:rsidRDefault="008E4E48">
      <w:pPr>
        <w:pStyle w:val="NumPar1"/>
        <w:rPr>
          <w:noProof/>
        </w:rPr>
      </w:pPr>
      <w:r>
        <w:rPr>
          <w:noProof/>
        </w:rPr>
        <w:t>COP je riadiacim orgánom do</w:t>
      </w:r>
      <w:r>
        <w:rPr>
          <w:noProof/>
        </w:rPr>
        <w:t xml:space="preserve">hovoru CITES, preto viacero rozhodnutí prijatých na 18. zasadaní konferencie strán dohovoru CITES vykoná jeho stály výbor, ktorý je hlavným pomocným orgánom COP. Pozíciou Únie vymedzenej na účely 18. zasadania konferencie zmluvných strán dohovoru CITES by </w:t>
      </w:r>
      <w:r>
        <w:rPr>
          <w:noProof/>
        </w:rPr>
        <w:t>sa preto mal riadiť aj prístup EÚ na 71. a 72. schôdzi stáleho výboru, ktoré sa uskutočnia pred 18. zasadaním konferencie strán dohovoru CITES a po ňom.</w:t>
      </w:r>
    </w:p>
    <w:p w:rsidR="009A3C06" w:rsidRDefault="008E4E48">
      <w:pPr>
        <w:pStyle w:val="ManualHeading1"/>
        <w:rPr>
          <w:noProof/>
        </w:rPr>
      </w:pPr>
      <w:r>
        <w:rPr>
          <w:noProof/>
        </w:rPr>
        <w:lastRenderedPageBreak/>
        <w:t>B.</w:t>
      </w:r>
      <w:r>
        <w:rPr>
          <w:noProof/>
        </w:rPr>
        <w:tab/>
        <w:t>Osobitné otázky</w:t>
      </w:r>
    </w:p>
    <w:p w:rsidR="009A3C06" w:rsidRDefault="008E4E48">
      <w:pPr>
        <w:pStyle w:val="NumPar1"/>
        <w:rPr>
          <w:noProof/>
        </w:rPr>
      </w:pPr>
      <w:r>
        <w:rPr>
          <w:noProof/>
        </w:rPr>
        <w:t xml:space="preserve">Na účely 18. zasadania konferencie zmluvných strán dohovoru CITES bolo predložených </w:t>
      </w:r>
      <w:r>
        <w:rPr>
          <w:noProof/>
        </w:rPr>
        <w:t xml:space="preserve">57 </w:t>
      </w:r>
      <w:r>
        <w:rPr>
          <w:b/>
          <w:noProof/>
        </w:rPr>
        <w:t>návrhov na zmenu príloh k dohovoru CITES</w:t>
      </w:r>
      <w:r>
        <w:rPr>
          <w:noProof/>
        </w:rPr>
        <w:t>. Dvanásť z týchto návrhov predložila Únia ako hlavný navrhovateľ alebo ako spolunavrhovateľ a ich prijatie by mala prirodzene podporovať aj Únia. Pozícia Únie ku všetkým návrhom by mala vychádzať zo stavu ochrany</w:t>
      </w:r>
      <w:r>
        <w:rPr>
          <w:noProof/>
        </w:rPr>
        <w:t xml:space="preserve"> dotknutých druhov a zo súčasného či potenciálneho vplyvu obchodu na dané druhy, v súlade s rezolúciou konferencie dohovoru č. 9.24 o kritériách pre zmenu príloh I a II. Mali by sa zohľadniť najmä stanoviská štátov, na ktorých území sa vyskytujú druhy, kto</w:t>
      </w:r>
      <w:r>
        <w:rPr>
          <w:noProof/>
        </w:rPr>
        <w:t>rých sa týkajú dané návrhy. Únia sa takisto domnieva, že vo všeobecnosti by sa mali podporiť návrhy na zmenu príloh k dohovoru CITES, ktoré sú výsledkom práce výborov dohovoru CITES pre živočíchy a rastliny a stáleho výboru. Malo by sa zohľadniť aj posúden</w:t>
      </w:r>
      <w:r>
        <w:rPr>
          <w:noProof/>
        </w:rPr>
        <w:t>ie návrhov zo strany sekretariátu CITES organizácií IUCN a Traffic</w:t>
      </w:r>
      <w:r>
        <w:rPr>
          <w:rStyle w:val="FootnoteReference"/>
          <w:noProof/>
        </w:rPr>
        <w:footnoteReference w:id="2"/>
      </w:r>
      <w:r>
        <w:rPr>
          <w:noProof/>
        </w:rPr>
        <w:t xml:space="preserve"> a v prípade komerčne lovených morských druhov takisto posúdenie špecializovanej skupiny odborníkov FAO, ak je k dispozícii.</w:t>
      </w:r>
    </w:p>
    <w:p w:rsidR="009A3C06" w:rsidRDefault="008E4E48">
      <w:pPr>
        <w:pStyle w:val="NumPar1"/>
        <w:rPr>
          <w:noProof/>
        </w:rPr>
      </w:pPr>
      <w:r>
        <w:rPr>
          <w:noProof/>
        </w:rPr>
        <w:t>V súlade so svojou pevne stanovenou pozíciou EÚ opätovne potvrdz</w:t>
      </w:r>
      <w:r>
        <w:rPr>
          <w:noProof/>
        </w:rPr>
        <w:t xml:space="preserve">uje, že dohovor CITES je vhodným nástrojom na reguláciu medzinárodného obchodu s </w:t>
      </w:r>
      <w:r>
        <w:rPr>
          <w:b/>
          <w:noProof/>
        </w:rPr>
        <w:t xml:space="preserve">morskými druhmi </w:t>
      </w:r>
      <w:r>
        <w:rPr>
          <w:noProof/>
        </w:rPr>
        <w:t>v prípade vplyvu obchodu na stav ochrany daných druhov a v prípade hrozby alebo potenciálnej hrozby ich vyhynutia. Únia osobitne sa zasadzuje za zaradenie troc</w:t>
      </w:r>
      <w:r>
        <w:rPr>
          <w:noProof/>
        </w:rPr>
        <w:t xml:space="preserve">h druhov rodu </w:t>
      </w:r>
      <w:r>
        <w:rPr>
          <w:i/>
          <w:noProof/>
        </w:rPr>
        <w:t>Holothuria (Microthele)</w:t>
      </w:r>
      <w:r>
        <w:rPr>
          <w:noProof/>
        </w:rPr>
        <w:t xml:space="preserve"> do prílohy II k dohovoru CITES vzhľadom na nadmerný lov týchto druhov a značné objemy medzinárodného obchodu s nimi.</w:t>
      </w:r>
    </w:p>
    <w:p w:rsidR="009A3C06" w:rsidRDefault="008E4E48">
      <w:pPr>
        <w:pStyle w:val="NumPar1"/>
        <w:rPr>
          <w:noProof/>
        </w:rPr>
      </w:pPr>
      <w:r>
        <w:rPr>
          <w:noProof/>
        </w:rPr>
        <w:t>Únia berie na vedomie, že v uplynulých rokoch sa vynaložilo značné úsilie v oblasti </w:t>
      </w:r>
      <w:r>
        <w:rPr>
          <w:b/>
          <w:noProof/>
        </w:rPr>
        <w:t>budovania kapacít</w:t>
      </w:r>
      <w:r>
        <w:rPr>
          <w:b/>
          <w:noProof/>
        </w:rPr>
        <w:t xml:space="preserve"> na účely plnenia</w:t>
      </w:r>
      <w:r>
        <w:rPr>
          <w:noProof/>
        </w:rPr>
        <w:t xml:space="preserve"> dohovoru CITES, v neposlednom rade pokiaľ ide o morské druhy, a to aj prostredníctvom finančnej podpory Únie. Únia podporuje lepšiu koordináciu medzi dohovorom CITES, regionálnymi rybárskymi organizáciami a ďalšími relevantnými subjektmi </w:t>
      </w:r>
      <w:r>
        <w:rPr>
          <w:noProof/>
        </w:rPr>
        <w:t xml:space="preserve">pôsobiacimi v rámci príslušných mandátov s cieľom zlepšiť správu a zvýšiť komplementárnosť. Únia je spolupredkladateľom návrhov na zaradenie určitých druhov žraloka (lamna ostronosá a lamna dlhoplutvá – </w:t>
      </w:r>
      <w:r>
        <w:rPr>
          <w:i/>
          <w:noProof/>
        </w:rPr>
        <w:t>Isurus oxyrinchus</w:t>
      </w:r>
      <w:r>
        <w:rPr>
          <w:noProof/>
        </w:rPr>
        <w:t xml:space="preserve"> a </w:t>
      </w:r>
      <w:r>
        <w:rPr>
          <w:i/>
          <w:noProof/>
        </w:rPr>
        <w:t>I. paucus</w:t>
      </w:r>
      <w:r>
        <w:rPr>
          <w:noProof/>
        </w:rPr>
        <w:t>) a rajotvarých (gitarov</w:t>
      </w:r>
      <w:r>
        <w:rPr>
          <w:noProof/>
        </w:rPr>
        <w:t xml:space="preserve">covité – </w:t>
      </w:r>
      <w:r>
        <w:rPr>
          <w:i/>
          <w:noProof/>
        </w:rPr>
        <w:t>Rhynchobatus australiae</w:t>
      </w:r>
      <w:r>
        <w:rPr>
          <w:noProof/>
        </w:rPr>
        <w:t xml:space="preserve"> spp. a rinovité – </w:t>
      </w:r>
      <w:r>
        <w:rPr>
          <w:i/>
          <w:noProof/>
        </w:rPr>
        <w:t>Rhinidae</w:t>
      </w:r>
      <w:r>
        <w:rPr>
          <w:noProof/>
        </w:rPr>
        <w:t xml:space="preserve"> spp.) do prílohy II k dohovoru. V prípade lamny ostronosej (</w:t>
      </w:r>
      <w:r>
        <w:rPr>
          <w:i/>
          <w:noProof/>
        </w:rPr>
        <w:t>Isurus oxyrinchus</w:t>
      </w:r>
      <w:r>
        <w:rPr>
          <w:noProof/>
        </w:rPr>
        <w:t>) by Únia mala prijať konečnú pozíciu, pričom zohľadní výsledky posúdení poradenskej komisie expertov FAO, sekretariátu</w:t>
      </w:r>
      <w:r>
        <w:rPr>
          <w:noProof/>
        </w:rPr>
        <w:t xml:space="preserve"> dohovoru CITES a organizácie IUCN.</w:t>
      </w:r>
    </w:p>
    <w:p w:rsidR="009A3C06" w:rsidRDefault="008E4E48">
      <w:pPr>
        <w:pStyle w:val="NumPar1"/>
        <w:rPr>
          <w:noProof/>
        </w:rPr>
      </w:pPr>
      <w:r>
        <w:rPr>
          <w:noProof/>
        </w:rPr>
        <w:t>Na 17. zasadaní konferencie zmluvných strán boli do prílohy II k dohovoru CITES zaradené ďalšie druhy palisandra (</w:t>
      </w:r>
      <w:r>
        <w:rPr>
          <w:i/>
          <w:noProof/>
        </w:rPr>
        <w:t>Pterocarpus erinaceus</w:t>
      </w:r>
      <w:r>
        <w:rPr>
          <w:noProof/>
        </w:rPr>
        <w:t xml:space="preserve">, tri druhy dreviny </w:t>
      </w:r>
      <w:r>
        <w:rPr>
          <w:i/>
          <w:noProof/>
        </w:rPr>
        <w:t>Guibourtia</w:t>
      </w:r>
      <w:r>
        <w:rPr>
          <w:noProof/>
        </w:rPr>
        <w:t xml:space="preserve"> a druh </w:t>
      </w:r>
      <w:r>
        <w:rPr>
          <w:i/>
          <w:noProof/>
        </w:rPr>
        <w:t>Dalbergia</w:t>
      </w:r>
      <w:r>
        <w:rPr>
          <w:noProof/>
        </w:rPr>
        <w:t xml:space="preserve"> spp.) s cieľom lepšie kontrolovať med</w:t>
      </w:r>
      <w:r>
        <w:rPr>
          <w:noProof/>
        </w:rPr>
        <w:t xml:space="preserve">zinárodný obchod s týmito druhmi </w:t>
      </w:r>
      <w:r>
        <w:rPr>
          <w:b/>
          <w:noProof/>
        </w:rPr>
        <w:t>tropických drevín</w:t>
      </w:r>
      <w:r>
        <w:rPr>
          <w:noProof/>
        </w:rPr>
        <w:t>. Pre Úniu je dôležité zabezpečiť zmenu súčasnej poznámky č. 15 s cieľom riešiť problematiku tých druhov, ktoré v medzinárodnom obchode figurujú po prvýkrát, a zabrániť zbytočnej záťaži v súvislosti s admin</w:t>
      </w:r>
      <w:r>
        <w:rPr>
          <w:noProof/>
        </w:rPr>
        <w:t>istratívou a presadzovaním práva. EÚ by preto mala podporiť dohodnutú zmenu poznámky č. 15 nastolenú na 70. schôdzi stáleho výboru. Pritom by mala zostať otvorená možným finálnym zlepšeniam, ktoré môžu vyplynúť z konzultácií s ostatnými stranami. Únia by v</w:t>
      </w:r>
      <w:r>
        <w:rPr>
          <w:noProof/>
        </w:rPr>
        <w:t xml:space="preserve"> súlade so svojím záväzkom lepšie </w:t>
      </w:r>
      <w:r>
        <w:rPr>
          <w:noProof/>
        </w:rPr>
        <w:lastRenderedPageBreak/>
        <w:t>kontrolovať dovoz dreva zo strednej Afriky mala takisto podporovať rozšírenie rozsahu zaradenia dreviny (</w:t>
      </w:r>
      <w:r>
        <w:rPr>
          <w:i/>
          <w:noProof/>
        </w:rPr>
        <w:t>Pericopsis elata)</w:t>
      </w:r>
      <w:r>
        <w:rPr>
          <w:noProof/>
        </w:rPr>
        <w:t xml:space="preserve"> do prílohy II k dohovoru. </w:t>
      </w:r>
    </w:p>
    <w:p w:rsidR="009A3C06" w:rsidRDefault="008E4E48">
      <w:pPr>
        <w:pStyle w:val="NumPar1"/>
        <w:rPr>
          <w:noProof/>
        </w:rPr>
      </w:pPr>
      <w:r>
        <w:rPr>
          <w:noProof/>
        </w:rPr>
        <w:t>V nadväznosti na závery špecializovaného seminára usporiadaného pod patr</w:t>
      </w:r>
      <w:r>
        <w:rPr>
          <w:noProof/>
        </w:rPr>
        <w:t xml:space="preserve">onátom EÚ v júni 2018 by Únia takisto mala podporovať prierezové úsilie o účinnejšiu reguláciu medzinárodného obchodu s ohrozenými voľne žijúcimi druhmi, a to vrátane navrhovanej rezolúcie o </w:t>
      </w:r>
      <w:r>
        <w:rPr>
          <w:b/>
          <w:noProof/>
        </w:rPr>
        <w:t>overovaní ich zákonného nadobudnutia</w:t>
      </w:r>
      <w:r>
        <w:rPr>
          <w:noProof/>
        </w:rPr>
        <w:t xml:space="preserve">. Prijatie novej </w:t>
      </w:r>
      <w:r>
        <w:rPr>
          <w:b/>
          <w:noProof/>
        </w:rPr>
        <w:t>strategickej</w:t>
      </w:r>
      <w:r>
        <w:rPr>
          <w:b/>
          <w:noProof/>
        </w:rPr>
        <w:t xml:space="preserve"> vízie</w:t>
      </w:r>
      <w:r>
        <w:rPr>
          <w:noProof/>
        </w:rPr>
        <w:t xml:space="preserve"> CITES na roky 2021 až 2030 na 18. zasadaní konferencie zmluvných strán je príležitosťou na konsolidáciu a prípadné objasnenie úlohy dohovoru v širšom kontexte medzinárodnej environmentálnej správy vrátane rámca biodiverzity po roku 2020 v rámci Doho</w:t>
      </w:r>
      <w:r>
        <w:rPr>
          <w:noProof/>
        </w:rPr>
        <w:t xml:space="preserve">voru o biologickej diverzite. </w:t>
      </w:r>
    </w:p>
    <w:p w:rsidR="009A3C06" w:rsidRDefault="008E4E48">
      <w:pPr>
        <w:pStyle w:val="NumPar1"/>
        <w:rPr>
          <w:noProof/>
        </w:rPr>
      </w:pPr>
      <w:r>
        <w:rPr>
          <w:noProof/>
        </w:rPr>
        <w:t xml:space="preserve">Pozícia Únie o návrhoch týkajúcich sa </w:t>
      </w:r>
      <w:r>
        <w:rPr>
          <w:b/>
          <w:noProof/>
        </w:rPr>
        <w:t>nezákonného obchodovania s voľne žijúcimi druhmi</w:t>
      </w:r>
      <w:r>
        <w:rPr>
          <w:noProof/>
        </w:rPr>
        <w:t xml:space="preserve"> by mala byť súlade s tromi prioritami stanovenými v akčnom pláne EÚ na boj proti nezákonnému obchodovaniu s voľne žijúcimi druhmi a so súv</w:t>
      </w:r>
      <w:r>
        <w:rPr>
          <w:noProof/>
        </w:rPr>
        <w:t>isiacimi závermi Rady. Pozícia by mala takisto zohľadniť nedávnu správu Komisie o vykonávaní akčného plánu.</w:t>
      </w:r>
    </w:p>
    <w:p w:rsidR="009A3C06" w:rsidRDefault="008E4E48">
      <w:pPr>
        <w:pStyle w:val="NumPar1"/>
        <w:rPr>
          <w:noProof/>
        </w:rPr>
      </w:pPr>
      <w:r>
        <w:rPr>
          <w:noProof/>
        </w:rPr>
        <w:t>V súlade s prvou prioritou akčného plánu Únia podporuje prostredníctvom dohovoru CITES lepšiu ochranu druhov, ktoré sa v súčasnosti dovážajú do EÚ v</w:t>
      </w:r>
      <w:r>
        <w:rPr>
          <w:noProof/>
        </w:rPr>
        <w:t xml:space="preserve"> neudržateľných objemoch alebo nezákonne (najmä pokiaľ ide o obchod s </w:t>
      </w:r>
      <w:r>
        <w:rPr>
          <w:b/>
          <w:noProof/>
        </w:rPr>
        <w:t>exotickými spoločenskými zvieratami</w:t>
      </w:r>
      <w:r>
        <w:rPr>
          <w:noProof/>
        </w:rPr>
        <w:t xml:space="preserve">). Únia preto podporuje návrhy na zmenu príloh, pokiaľ ide o rôzne druhy plazov a obojživelníkov, najmä viaceré druhy gekónov a mlokov. </w:t>
      </w:r>
    </w:p>
    <w:p w:rsidR="009A3C06" w:rsidRDefault="008E4E48">
      <w:pPr>
        <w:pStyle w:val="NumPar1"/>
        <w:rPr>
          <w:noProof/>
        </w:rPr>
      </w:pPr>
      <w:r>
        <w:rPr>
          <w:noProof/>
        </w:rPr>
        <w:t>V súlade s dru</w:t>
      </w:r>
      <w:r>
        <w:rPr>
          <w:noProof/>
        </w:rPr>
        <w:t xml:space="preserve">hou a treťou prioritou Únia podporuje prísne opatrenia na </w:t>
      </w:r>
      <w:r>
        <w:rPr>
          <w:b/>
          <w:noProof/>
        </w:rPr>
        <w:t>plnenie</w:t>
      </w:r>
      <w:r>
        <w:rPr>
          <w:noProof/>
        </w:rPr>
        <w:t xml:space="preserve"> dohovoru jeho stranami. Zasadzuje sa o jasný harmonogram s mechanizmami monitorovania (vrátane možnosti uloženia obchodných sankcií) vo vzťahu k tým stranám, ktoré si opakovane neplnia povin</w:t>
      </w:r>
      <w:r>
        <w:rPr>
          <w:noProof/>
        </w:rPr>
        <w:t>nosti vyplývajúce z dohovoru CITES. Toto je osobitne dôležité z hľadiska boja proti nezákonnému lovu slonov (pozri ďalej), nosorožcov, veľkých ázijských mačkovitých šeliem, šupinavcov a nezákonnému výrubu palisandra, ako aj obchodovaniu s týmito druhmi.</w:t>
      </w:r>
    </w:p>
    <w:p w:rsidR="009A3C06" w:rsidRDefault="008E4E48">
      <w:pPr>
        <w:pStyle w:val="NumPar1"/>
        <w:rPr>
          <w:noProof/>
        </w:rPr>
      </w:pPr>
      <w:r>
        <w:rPr>
          <w:noProof/>
        </w:rPr>
        <w:t>Vi</w:t>
      </w:r>
      <w:r>
        <w:rPr>
          <w:noProof/>
        </w:rPr>
        <w:t xml:space="preserve">acero návrhov, ktoré sa predložia na 18. zasadaní konferencie zmluvných strán, sa zameriava na otázky týkajúce sa </w:t>
      </w:r>
      <w:r>
        <w:rPr>
          <w:b/>
          <w:noProof/>
        </w:rPr>
        <w:t>udržateľného využívania zdrojov</w:t>
      </w:r>
      <w:r>
        <w:rPr>
          <w:noProof/>
        </w:rPr>
        <w:t>, živobytia a vidieckych komunít. Únia by dané návrhy mala podporovať, pokiaľ nimi možno v súlade s ustanovenia</w:t>
      </w:r>
      <w:r>
        <w:rPr>
          <w:noProof/>
        </w:rPr>
        <w:t>mi dohovoru zabezpečiť premietnutie príslušných informácií do existujúcich procesov. Malo by sa zabrániť vytváraniu ďalších značne nákladných procesov alebo štruktúr s neistým prínosom.</w:t>
      </w:r>
    </w:p>
    <w:p w:rsidR="009A3C06" w:rsidRDefault="008E4E48">
      <w:pPr>
        <w:pStyle w:val="NumPar1"/>
        <w:rPr>
          <w:noProof/>
        </w:rPr>
      </w:pPr>
      <w:r>
        <w:rPr>
          <w:b/>
          <w:noProof/>
        </w:rPr>
        <w:t>Miera nezákonného lovu slonov a obchodovania so slonovinou</w:t>
      </w:r>
      <w:r>
        <w:rPr>
          <w:noProof/>
        </w:rPr>
        <w:t xml:space="preserve"> je naďalej </w:t>
      </w:r>
      <w:r>
        <w:rPr>
          <w:noProof/>
        </w:rPr>
        <w:t>znepokojivo vysoká. Únia aj jej členské štáty poskytli africkým krajinám značnú podporu s cieľom zlepšiť ochranu voľne žijúcich druhov a bojovať proti nezákonnému obchodovaniu s nimi. Únia je odhodlaná naďalej podporovať svojich afrických partnerov a zvýši</w:t>
      </w:r>
      <w:r>
        <w:rPr>
          <w:noProof/>
        </w:rPr>
        <w:t>ť svoje úsilie v tomto smere, a to v súlade s akčným plánom EÚ na boj proti obchodovaniu s voľne žijúcimi druhmi živočíchov a rastlín. Vysoká miera nezákonného lovu a obchodovania vyvoláva aj naďalej značné obavy. V prípade všetkých bodov programu 18. zasa</w:t>
      </w:r>
      <w:r>
        <w:rPr>
          <w:noProof/>
        </w:rPr>
        <w:t xml:space="preserve">dania zmluvných strán dohovoru súvisiacich s problematikou (lovu) slonov by prioritou EÚ mala byť podpora opatrení určených na priame riešenie tohto problému. </w:t>
      </w:r>
    </w:p>
    <w:p w:rsidR="009A3C06" w:rsidRDefault="008E4E48">
      <w:pPr>
        <w:pStyle w:val="NumPar1"/>
        <w:rPr>
          <w:noProof/>
        </w:rPr>
      </w:pPr>
      <w:r>
        <w:rPr>
          <w:noProof/>
        </w:rPr>
        <w:t>Únia berie na vedomie, že zmluvné strany predložili viacero sčasti si odporujúcich návrhov v súv</w:t>
      </w:r>
      <w:r>
        <w:rPr>
          <w:noProof/>
        </w:rPr>
        <w:t xml:space="preserve">islosti so </w:t>
      </w:r>
      <w:r>
        <w:rPr>
          <w:b/>
          <w:noProof/>
        </w:rPr>
        <w:t>zákonným obchodom so slonovinou</w:t>
      </w:r>
      <w:r>
        <w:rPr>
          <w:noProof/>
        </w:rPr>
        <w:t xml:space="preserve">. Medzinárodný obchod so slonovinou je v súčasnosti v rámci dohovoru CITES zakázaný. Únia sa domnieva, </w:t>
      </w:r>
      <w:r>
        <w:rPr>
          <w:noProof/>
        </w:rPr>
        <w:lastRenderedPageBreak/>
        <w:t xml:space="preserve">že podmienky pre opätovné povolenie tohto obchodu nie sú splnené a na 18. zasadaní konferencie zmluvných strán </w:t>
      </w:r>
      <w:r>
        <w:rPr>
          <w:noProof/>
        </w:rPr>
        <w:t>dohovoru CITES nepodporí návrhy na jeho obnovu. Pokiaľ ide o domáce trhy so slonovinou, Únia by mala v rámci pôsobnosti dohovoru naďalej podporovať primerané a účinné opatrenia podložené najlepšími dostupnými dôkazmi.</w:t>
      </w:r>
    </w:p>
    <w:p w:rsidR="009A3C06" w:rsidRDefault="008E4E48">
      <w:pPr>
        <w:pStyle w:val="NumPar1"/>
        <w:rPr>
          <w:noProof/>
        </w:rPr>
      </w:pPr>
      <w:r>
        <w:rPr>
          <w:noProof/>
        </w:rPr>
        <w:t xml:space="preserve">Únia sa domnieva, že </w:t>
      </w:r>
      <w:r>
        <w:rPr>
          <w:b/>
          <w:noProof/>
        </w:rPr>
        <w:t>rokovací poriadok</w:t>
      </w:r>
      <w:r>
        <w:rPr>
          <w:noProof/>
        </w:rPr>
        <w:t xml:space="preserve"> konferencie zmluvných strán sa nesmie odchyľovať od textu dohovoru vrátane jeho článku XXI ods. 2 až 6. Akékoľvek pokusy o pridanie ustanovení, ktoré by výkon práv Únie ako zmluvnej strany upravovali podmienkami, ktoré nie sú stanovené v dohovore, by sa m</w:t>
      </w:r>
      <w:r>
        <w:rPr>
          <w:noProof/>
        </w:rPr>
        <w:t xml:space="preserve">ali dôrazne zamietnuť. </w:t>
      </w:r>
    </w:p>
    <w:p w:rsidR="009A3C06" w:rsidRDefault="008E4E48">
      <w:pPr>
        <w:pStyle w:val="NumPar1"/>
        <w:rPr>
          <w:noProof/>
        </w:rPr>
      </w:pPr>
      <w:r>
        <w:rPr>
          <w:noProof/>
        </w:rPr>
        <w:t xml:space="preserve">Kríza súvisiaca s nezákonným obchodovaním s voľne žijúcimi druhmi spolu s rozšírením rozsahu pôsobnosti dohovoru CITES na nové druhy a zmluvné strany znamená, že </w:t>
      </w:r>
      <w:r>
        <w:rPr>
          <w:b/>
          <w:noProof/>
        </w:rPr>
        <w:t>škála činností pod záštitou dohovoru CITES sa rozšírila</w:t>
      </w:r>
      <w:r>
        <w:rPr>
          <w:noProof/>
        </w:rPr>
        <w:t xml:space="preserve"> a že pracovné </w:t>
      </w:r>
      <w:r>
        <w:rPr>
          <w:noProof/>
        </w:rPr>
        <w:t xml:space="preserve">zaťaženie sekretariátu dohovoru CITES výrazne vzrástlo. Únia by mala zohľadniť tento vývoj pri rozhodovaní o svojich prioritách na 18. zasadaní konferencie zmluvných strán a o budúcom rozpočte sekretariátu dohovoru CITES. </w:t>
      </w:r>
    </w:p>
    <w:sectPr w:rsidR="009A3C06">
      <w:footerReference w:type="default" r:id="rId13"/>
      <w:footerReference w:type="first" r:id="rId14"/>
      <w:pgSz w:w="11907" w:h="16839"/>
      <w:pgMar w:top="1134" w:right="1417" w:bottom="1134" w:left="1417"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BD307" w16cid:durableId="20119FF9"/>
  <w16cid:commentId w16cid:paraId="09FB7257" w16cid:durableId="20119FFA"/>
  <w16cid:commentId w16cid:paraId="0E5E1FF7" w16cid:durableId="2011A050"/>
  <w16cid:commentId w16cid:paraId="4BFD0E96" w16cid:durableId="20119FFB"/>
  <w16cid:commentId w16cid:paraId="462571C0" w16cid:durableId="20119FFC"/>
  <w16cid:commentId w16cid:paraId="2589A3C0" w16cid:durableId="2011A0AC"/>
  <w16cid:commentId w16cid:paraId="2C5BBDCA" w16cid:durableId="20119F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06" w:rsidRDefault="008E4E48">
      <w:pPr>
        <w:spacing w:before="0" w:after="0"/>
      </w:pPr>
      <w:r>
        <w:separator/>
      </w:r>
    </w:p>
  </w:endnote>
  <w:endnote w:type="continuationSeparator" w:id="0">
    <w:p w:rsidR="009A3C06" w:rsidRDefault="008E4E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06" w:rsidRDefault="008E4E48">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06" w:rsidRDefault="008E4E48">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06" w:rsidRDefault="009A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06" w:rsidRDefault="008E4E48">
      <w:pPr>
        <w:spacing w:before="0" w:after="0"/>
      </w:pPr>
      <w:r>
        <w:separator/>
      </w:r>
    </w:p>
  </w:footnote>
  <w:footnote w:type="continuationSeparator" w:id="0">
    <w:p w:rsidR="009A3C06" w:rsidRDefault="008E4E48">
      <w:pPr>
        <w:spacing w:before="0" w:after="0"/>
      </w:pPr>
      <w:r>
        <w:continuationSeparator/>
      </w:r>
    </w:p>
  </w:footnote>
  <w:footnote w:id="1">
    <w:p w:rsidR="009A3C06" w:rsidRDefault="008E4E48">
      <w:pPr>
        <w:pStyle w:val="FootnoteText"/>
      </w:pPr>
      <w:r>
        <w:rPr>
          <w:rStyle w:val="FootnoteReference"/>
        </w:rPr>
        <w:footnoteRef/>
      </w:r>
      <w:r>
        <w:rPr>
          <w:lang w:val="pl-PL"/>
        </w:rPr>
        <w:tab/>
      </w:r>
      <w:r>
        <w:t>Rezolúcia konferencie CITES č. 14.2, ktorá sa aktualizuje na 18. zasadaní COP (pozri odsek 5).</w:t>
      </w:r>
    </w:p>
  </w:footnote>
  <w:footnote w:id="2">
    <w:p w:rsidR="009A3C06" w:rsidRDefault="008E4E48">
      <w:pPr>
        <w:pStyle w:val="FootnoteText"/>
      </w:pPr>
      <w:r>
        <w:rPr>
          <w:rStyle w:val="FootnoteReference"/>
        </w:rPr>
        <w:footnoteRef/>
      </w:r>
      <w:r>
        <w:tab/>
        <w:t>Medzinárodná únia na ochranu prírody IUCN a sieť TRAFFIC sa špecializujú na problematiku obchodovania s voľne žijúcimi živočíchmi a pred každým zasadan</w:t>
      </w:r>
      <w:r>
        <w:t>ím COP vypracúvajú podrobné posúdenie návrhov na zmenu príloh k dohovoru CITES.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4EAF8F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CC82490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01C63F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93EBC3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4C9F9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66A716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2ABAB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BB825E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5: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k"/>
    <w:docVar w:name="LW_ACCOMPAGNANT.CP" w:val="k"/>
    <w:docVar w:name="LW_ANNEX_NBR_FIRST" w:val="1"/>
    <w:docVar w:name="LW_ANNEX_NBR_LAST" w:val="1"/>
    <w:docVar w:name="LW_ANNEX_UNIQUE" w:val="0"/>
    <w:docVar w:name="LW_CORRIGENDUM" w:val="&lt;UNUSED&gt;"/>
    <w:docVar w:name="LW_COVERPAGE_EXISTS" w:val="True"/>
    <w:docVar w:name="LW_COVERPAGE_GUID" w:val="AD38F37E-A596-49A4-AC31-41560880707E"/>
    <w:docVar w:name="LW_COVERPAGE_TYPE" w:val="1"/>
    <w:docVar w:name="LW_CROSSREFERENCE" w:val="&lt;UNUSED&gt;"/>
    <w:docVar w:name="LW_DocType" w:val="ANNEX"/>
    <w:docVar w:name="LW_EMISSION" w:val="21. 3. 2019"/>
    <w:docVar w:name="LW_EMISSION_ISODATE" w:val="2019-03-21"/>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pozícii, ktorá sa má prija\u357? v mene Európskej únie na 18. zasadaní konferencie zmluvných strán Dohovoru o medzinárodnom obchode s ohrozenými druhmi vo\u318?ne \u382?ijúcich \u382?ivo\u269?íchov a rastlín (COP18 CITES)"/>
    <w:docVar w:name="LW_OBJETACTEPRINCIPAL.CP" w:val="o pozícii, ktorá sa má prija\u357? v mene Európskej únie na 18. zasadaní konferencie zmluvných strán Dohovoru o medzinárodnom obchode s ohrozenými druhmi vo\u318?ne \u382?ijúcich \u382?ivo\u269?íchov a rastlín (COP18 CITES)"/>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A"/>
    <w:docVar w:name="LW_TYPE.DOC.CP" w:val="PRÍLOHA"/>
    <w:docVar w:name="LW_TYPEACTEPRINCIPAL" w:val="návrhu ROZHODNUTIA RADY"/>
    <w:docVar w:name="LW_TYPEACTEPRINCIPAL.CP" w:val="návrhu ROZHODNUTIA RADY"/>
  </w:docVars>
  <w:rsids>
    <w:rsidRoot w:val="009A3C06"/>
    <w:rsid w:val="008E4E48"/>
    <w:rsid w:val="009A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5570CF3-D53A-4DD0-9675-092000B6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19209">
      <w:bodyDiv w:val="1"/>
      <w:marLeft w:val="0"/>
      <w:marRight w:val="0"/>
      <w:marTop w:val="0"/>
      <w:marBottom w:val="0"/>
      <w:divBdr>
        <w:top w:val="none" w:sz="0" w:space="0" w:color="auto"/>
        <w:left w:val="none" w:sz="0" w:space="0" w:color="auto"/>
        <w:bottom w:val="none" w:sz="0" w:space="0" w:color="auto"/>
        <w:right w:val="none" w:sz="0" w:space="0" w:color="auto"/>
      </w:divBdr>
    </w:div>
    <w:div w:id="1036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10B5-82C2-49CE-8CEE-0588BD883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55E34B-72E3-43DE-A94E-25E96730B894}">
  <ds:schemaRefs>
    <ds:schemaRef ds:uri="http://schemas.microsoft.com/sharepoint/v3/contenttype/forms"/>
  </ds:schemaRefs>
</ds:datastoreItem>
</file>

<file path=customXml/itemProps3.xml><?xml version="1.0" encoding="utf-8"?>
<ds:datastoreItem xmlns:ds="http://schemas.openxmlformats.org/officeDocument/2006/customXml" ds:itemID="{2E52D4C4-F5F4-4E05-8D9B-20F6F4D6C69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0A25CD-3947-46CA-98BD-972E1D01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1537</Words>
  <Characters>9069</Characters>
  <Application>Microsoft Office Word</Application>
  <DocSecurity>0</DocSecurity>
  <Lines>153</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dc:description/>
  <cp:lastModifiedBy>KITRIMI Efstathia (SG)</cp:lastModifiedBy>
  <cp:revision>9</cp:revision>
  <cp:lastPrinted>2019-02-15T18:13:00Z</cp:lastPrinted>
  <dcterms:created xsi:type="dcterms:W3CDTF">2019-04-03T12:26:00Z</dcterms:created>
  <dcterms:modified xsi:type="dcterms:W3CDTF">2019-04-05T13:38:00Z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ContentTypeId">
    <vt:lpwstr>0x010100135AA856C34D8E478D8680B911FA8A3D</vt:lpwstr>
  </property>
  <property fmtid="{D5CDD505-2E9C-101B-9397-08002B2CF9AE}" pid="12" name="IsMyDocuments">
    <vt:bool>true</vt:bool>
  </property>
  <property fmtid="{D5CDD505-2E9C-101B-9397-08002B2CF9AE}" pid="13" name="DQCStatus">
    <vt:lpwstr>Yellow (DQC version 03)</vt:lpwstr>
  </property>
</Properties>
</file>