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26" w:rsidRDefault="007F7137">
      <w:pPr>
        <w:pStyle w:val="Pagedecouverture"/>
        <w:rPr>
          <w:noProof/>
          <w:highlight w:val="yellow"/>
        </w:rPr>
      </w:pPr>
      <w:r w:rsidRPr="007F71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F69A12B-C1B1-4E7A-9B7B-66D8073B7EB5" style="width:450.6pt;height:397.8pt">
            <v:imagedata r:id="rId11" o:title=""/>
          </v:shape>
        </w:pict>
      </w:r>
      <w:bookmarkStart w:id="0" w:name="_GoBack"/>
      <w:bookmarkEnd w:id="0"/>
    </w:p>
    <w:p w:rsidR="00122B26" w:rsidRDefault="00122B26">
      <w:pPr>
        <w:rPr>
          <w:noProof/>
          <w:color w:val="000000" w:themeColor="text1"/>
        </w:rPr>
        <w:sectPr w:rsidR="00122B26">
          <w:footerReference w:type="default" r:id="rId12"/>
          <w:pgSz w:w="11907" w:h="16839"/>
          <w:pgMar w:top="1134" w:right="1417" w:bottom="1134" w:left="1417" w:header="709" w:footer="709" w:gutter="0"/>
          <w:pgNumType w:start="1"/>
          <w:cols w:space="720"/>
          <w:docGrid w:linePitch="360"/>
        </w:sectPr>
      </w:pPr>
    </w:p>
    <w:p w:rsidR="00122B26" w:rsidRDefault="007F7137">
      <w:pPr>
        <w:jc w:val="center"/>
        <w:rPr>
          <w:b/>
          <w:noProof/>
          <w:color w:val="000000" w:themeColor="text1"/>
          <w:u w:val="single"/>
        </w:rPr>
      </w:pPr>
      <w:r>
        <w:rPr>
          <w:b/>
          <w:noProof/>
          <w:color w:val="000000" w:themeColor="text1"/>
          <w:u w:val="single"/>
        </w:rPr>
        <w:lastRenderedPageBreak/>
        <w:t>BILAGA II</w:t>
      </w:r>
    </w:p>
    <w:p w:rsidR="00122B26" w:rsidRDefault="007F7137">
      <w:pPr>
        <w:jc w:val="center"/>
        <w:rPr>
          <w:b/>
          <w:noProof/>
          <w:color w:val="000000" w:themeColor="text1"/>
          <w:u w:val="single"/>
        </w:rPr>
      </w:pPr>
      <w:r>
        <w:rPr>
          <w:b/>
          <w:noProof/>
          <w:color w:val="000000" w:themeColor="text1"/>
          <w:u w:val="single"/>
        </w:rPr>
        <w:t xml:space="preserve">Unionens ståndpunkt vad gäller ett antal förslag som lämnats in till det 18:e mötet i partskonferensen för konventionen om </w:t>
      </w:r>
      <w:r>
        <w:rPr>
          <w:b/>
          <w:noProof/>
          <w:color w:val="000000" w:themeColor="text1"/>
          <w:u w:val="single"/>
        </w:rPr>
        <w:t>internationell handel med utrotningshotade arter av vilda djur och växter (Cites), Colombo, Sri Lanka, 23 maj–3 juni 2019</w:t>
      </w:r>
    </w:p>
    <w:tbl>
      <w:tblPr>
        <w:tblStyle w:val="TableGrid"/>
        <w:tblW w:w="5000" w:type="pct"/>
        <w:tblLook w:val="04A0" w:firstRow="1" w:lastRow="0" w:firstColumn="1" w:lastColumn="0" w:noHBand="0" w:noVBand="1"/>
      </w:tblPr>
      <w:tblGrid>
        <w:gridCol w:w="3097"/>
        <w:gridCol w:w="3097"/>
        <w:gridCol w:w="3095"/>
      </w:tblGrid>
      <w:tr w:rsidR="00122B26">
        <w:tc>
          <w:tcPr>
            <w:tcW w:w="1667" w:type="pct"/>
          </w:tcPr>
          <w:p w:rsidR="00122B26" w:rsidRDefault="007F7137">
            <w:pPr>
              <w:rPr>
                <w:noProof/>
                <w:color w:val="000000" w:themeColor="text1"/>
                <w:sz w:val="20"/>
                <w:szCs w:val="20"/>
              </w:rPr>
            </w:pPr>
            <w:r>
              <w:rPr>
                <w:noProof/>
                <w:color w:val="000000" w:themeColor="text1"/>
                <w:sz w:val="20"/>
              </w:rPr>
              <w:t>”+” anger ståndpunkt för</w:t>
            </w:r>
          </w:p>
        </w:tc>
        <w:tc>
          <w:tcPr>
            <w:tcW w:w="1667" w:type="pct"/>
          </w:tcPr>
          <w:p w:rsidR="00122B26" w:rsidRDefault="007F7137">
            <w:pPr>
              <w:rPr>
                <w:noProof/>
                <w:color w:val="000000" w:themeColor="text1"/>
                <w:sz w:val="20"/>
                <w:szCs w:val="20"/>
              </w:rPr>
            </w:pPr>
            <w:r>
              <w:rPr>
                <w:noProof/>
                <w:color w:val="000000" w:themeColor="text1"/>
                <w:sz w:val="20"/>
              </w:rPr>
              <w:t>”–” anger ståndpunkt mot</w:t>
            </w:r>
          </w:p>
        </w:tc>
        <w:tc>
          <w:tcPr>
            <w:tcW w:w="1666" w:type="pct"/>
          </w:tcPr>
          <w:p w:rsidR="00122B26" w:rsidRDefault="007F7137">
            <w:pPr>
              <w:rPr>
                <w:noProof/>
                <w:color w:val="000000" w:themeColor="text1"/>
                <w:sz w:val="20"/>
                <w:szCs w:val="20"/>
              </w:rPr>
            </w:pPr>
            <w:r>
              <w:rPr>
                <w:noProof/>
                <w:color w:val="000000" w:themeColor="text1"/>
                <w:sz w:val="20"/>
              </w:rPr>
              <w:t>”0” anger en öppen ståndpunkt</w:t>
            </w:r>
          </w:p>
        </w:tc>
      </w:tr>
      <w:tr w:rsidR="00122B26">
        <w:tc>
          <w:tcPr>
            <w:tcW w:w="5000" w:type="pct"/>
            <w:gridSpan w:val="3"/>
          </w:tcPr>
          <w:p w:rsidR="00122B26" w:rsidRDefault="007F7137">
            <w:pPr>
              <w:jc w:val="center"/>
              <w:rPr>
                <w:noProof/>
                <w:color w:val="000000" w:themeColor="text1"/>
                <w:sz w:val="20"/>
                <w:szCs w:val="20"/>
              </w:rPr>
            </w:pPr>
            <w:r>
              <w:rPr>
                <w:noProof/>
                <w:color w:val="000000" w:themeColor="text1"/>
                <w:sz w:val="20"/>
              </w:rPr>
              <w:t>”(  )” anger behov av ytterligare analys</w:t>
            </w:r>
          </w:p>
        </w:tc>
      </w:tr>
    </w:tbl>
    <w:p w:rsidR="00122B26" w:rsidRDefault="007F7137">
      <w:pPr>
        <w:pStyle w:val="Heading1"/>
        <w:numPr>
          <w:ilvl w:val="0"/>
          <w:numId w:val="13"/>
        </w:numPr>
        <w:rPr>
          <w:noProof/>
        </w:rPr>
      </w:pPr>
      <w:r>
        <w:rPr>
          <w:noProof/>
        </w:rPr>
        <w:t>Arbetsdokument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29"/>
        <w:gridCol w:w="625"/>
        <w:gridCol w:w="126"/>
        <w:gridCol w:w="565"/>
        <w:gridCol w:w="1954"/>
        <w:gridCol w:w="1684"/>
        <w:gridCol w:w="2397"/>
        <w:gridCol w:w="1227"/>
      </w:tblGrid>
      <w:tr w:rsidR="00122B26">
        <w:trPr>
          <w:cantSplit/>
          <w:tblHeader/>
        </w:trPr>
        <w:tc>
          <w:tcPr>
            <w:tcW w:w="0" w:type="auto"/>
            <w:tcMar>
              <w:top w:w="60" w:type="dxa"/>
              <w:left w:w="135" w:type="dxa"/>
              <w:bottom w:w="60" w:type="dxa"/>
              <w:right w:w="135" w:type="dxa"/>
            </w:tcMar>
          </w:tcPr>
          <w:p w:rsidR="00122B26" w:rsidRDefault="007F7137">
            <w:pPr>
              <w:spacing w:before="0" w:after="0" w:line="240" w:lineRule="atLeast"/>
              <w:rPr>
                <w:rFonts w:eastAsia="Times New Roman"/>
                <w:b/>
                <w:bCs/>
                <w:i/>
                <w:noProof/>
                <w:color w:val="000000" w:themeColor="text1"/>
                <w:sz w:val="20"/>
                <w:szCs w:val="20"/>
              </w:rPr>
            </w:pPr>
            <w:r>
              <w:rPr>
                <w:b/>
                <w:i/>
                <w:noProof/>
                <w:color w:val="000000" w:themeColor="text1"/>
                <w:sz w:val="20"/>
              </w:rPr>
              <w:t>Nr</w:t>
            </w:r>
          </w:p>
        </w:tc>
        <w:tc>
          <w:tcPr>
            <w:tcW w:w="3731" w:type="dxa"/>
            <w:gridSpan w:val="4"/>
          </w:tcPr>
          <w:p w:rsidR="00122B26" w:rsidRDefault="007F7137">
            <w:pPr>
              <w:spacing w:before="0" w:after="0" w:line="240" w:lineRule="atLeast"/>
              <w:rPr>
                <w:rFonts w:eastAsia="Times New Roman"/>
                <w:b/>
                <w:bCs/>
                <w:i/>
                <w:noProof/>
                <w:color w:val="000000" w:themeColor="text1"/>
                <w:sz w:val="20"/>
                <w:szCs w:val="20"/>
              </w:rPr>
            </w:pPr>
            <w:r>
              <w:rPr>
                <w:b/>
                <w:i/>
                <w:noProof/>
                <w:color w:val="000000" w:themeColor="text1"/>
                <w:sz w:val="20"/>
              </w:rPr>
              <w:t>Punkt på dagordningen</w:t>
            </w:r>
          </w:p>
        </w:tc>
        <w:tc>
          <w:tcPr>
            <w:tcW w:w="1423" w:type="dxa"/>
            <w:tcMar>
              <w:top w:w="60" w:type="dxa"/>
              <w:left w:w="135" w:type="dxa"/>
              <w:bottom w:w="60" w:type="dxa"/>
              <w:right w:w="135" w:type="dxa"/>
            </w:tcMar>
          </w:tcPr>
          <w:p w:rsidR="00122B26" w:rsidRDefault="007F7137">
            <w:pPr>
              <w:spacing w:before="0" w:after="0" w:line="240" w:lineRule="atLeast"/>
              <w:rPr>
                <w:rFonts w:eastAsia="Times New Roman"/>
                <w:b/>
                <w:bCs/>
                <w:i/>
                <w:noProof/>
                <w:color w:val="000000" w:themeColor="text1"/>
                <w:sz w:val="20"/>
                <w:szCs w:val="20"/>
              </w:rPr>
            </w:pPr>
            <w:r>
              <w:rPr>
                <w:b/>
                <w:i/>
                <w:noProof/>
                <w:color w:val="000000" w:themeColor="text1"/>
                <w:sz w:val="20"/>
              </w:rPr>
              <w:t>Förslagsställare</w:t>
            </w:r>
            <w:r>
              <w:rPr>
                <w:rStyle w:val="Heading1Char"/>
                <w:noProof/>
                <w:vertAlign w:val="superscript"/>
              </w:rPr>
              <w:footnoteReference w:id="2"/>
            </w:r>
          </w:p>
        </w:tc>
        <w:tc>
          <w:tcPr>
            <w:tcW w:w="2410" w:type="dxa"/>
            <w:tcMar>
              <w:top w:w="60" w:type="dxa"/>
              <w:left w:w="135" w:type="dxa"/>
              <w:bottom w:w="60" w:type="dxa"/>
              <w:right w:w="135" w:type="dxa"/>
            </w:tcMar>
          </w:tcPr>
          <w:p w:rsidR="00122B26" w:rsidRDefault="007F7137">
            <w:pPr>
              <w:spacing w:before="0" w:after="0" w:line="240" w:lineRule="atLeast"/>
              <w:jc w:val="left"/>
              <w:rPr>
                <w:rFonts w:eastAsia="Times New Roman"/>
                <w:b/>
                <w:bCs/>
                <w:i/>
                <w:noProof/>
                <w:color w:val="000000" w:themeColor="text1"/>
                <w:sz w:val="20"/>
                <w:szCs w:val="20"/>
              </w:rPr>
            </w:pPr>
            <w:r>
              <w:rPr>
                <w:b/>
                <w:i/>
                <w:noProof/>
                <w:color w:val="000000" w:themeColor="text1"/>
                <w:sz w:val="20"/>
              </w:rPr>
              <w:t>Anmärkningar</w:t>
            </w:r>
          </w:p>
        </w:tc>
        <w:tc>
          <w:tcPr>
            <w:tcW w:w="992" w:type="dxa"/>
            <w:tcMar>
              <w:top w:w="60" w:type="dxa"/>
              <w:left w:w="135" w:type="dxa"/>
              <w:bottom w:w="60" w:type="dxa"/>
              <w:right w:w="135" w:type="dxa"/>
            </w:tcMar>
          </w:tcPr>
          <w:p w:rsidR="00122B26" w:rsidRDefault="007F7137">
            <w:pPr>
              <w:spacing w:before="0" w:after="0" w:line="240" w:lineRule="atLeast"/>
              <w:rPr>
                <w:rFonts w:eastAsia="Times New Roman"/>
                <w:b/>
                <w:bCs/>
                <w:i/>
                <w:noProof/>
                <w:color w:val="000000" w:themeColor="text1"/>
                <w:sz w:val="20"/>
                <w:szCs w:val="20"/>
              </w:rPr>
            </w:pPr>
            <w:r>
              <w:rPr>
                <w:b/>
                <w:i/>
                <w:noProof/>
                <w:color w:val="000000" w:themeColor="text1"/>
                <w:sz w:val="20"/>
              </w:rPr>
              <w:t>Ståndpunkt</w:t>
            </w: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Öppningsceremoni</w:t>
            </w: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Inget dokument</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9207" w:type="dxa"/>
            <w:gridSpan w:val="8"/>
            <w:tcMar>
              <w:top w:w="60" w:type="dxa"/>
              <w:left w:w="135" w:type="dxa"/>
              <w:bottom w:w="60" w:type="dxa"/>
              <w:right w:w="135" w:type="dxa"/>
            </w:tcMar>
            <w:hideMark/>
          </w:tcPr>
          <w:p w:rsidR="00122B26" w:rsidRDefault="007F7137">
            <w:pPr>
              <w:spacing w:before="0" w:after="0" w:line="240" w:lineRule="atLeast"/>
              <w:jc w:val="left"/>
              <w:rPr>
                <w:rFonts w:eastAsia="Times New Roman"/>
                <w:b/>
                <w:bCs/>
                <w:noProof/>
                <w:color w:val="000000" w:themeColor="text1"/>
                <w:sz w:val="20"/>
                <w:szCs w:val="20"/>
              </w:rPr>
            </w:pPr>
            <w:r>
              <w:rPr>
                <w:b/>
                <w:noProof/>
                <w:color w:val="000000" w:themeColor="text1"/>
                <w:sz w:val="20"/>
              </w:rPr>
              <w:t>Administrativa och finansiella frågor</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Val</w:t>
            </w:r>
            <w:r>
              <w:rPr>
                <w:noProof/>
                <w:sz w:val="20"/>
                <w:szCs w:val="20"/>
              </w:rPr>
              <w:t xml:space="preserve"> av ordförande, ersättande ordförande och vice ordförande till mötet och av ordförande för kommittéerna I och II</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Inget dokument</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Godkännande av </w:t>
            </w:r>
            <w:r>
              <w:rPr>
                <w:b/>
                <w:noProof/>
                <w:color w:val="000000" w:themeColor="text1"/>
                <w:sz w:val="20"/>
              </w:rPr>
              <w:t>dagordningen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Antagande av </w:t>
            </w:r>
            <w:r>
              <w:rPr>
                <w:b/>
                <w:noProof/>
                <w:color w:val="000000" w:themeColor="text1"/>
                <w:sz w:val="20"/>
              </w:rPr>
              <w:t>arbetsprogrammet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b/>
                <w:noProof/>
                <w:color w:val="000000" w:themeColor="text1"/>
                <w:sz w:val="20"/>
                <w:szCs w:val="20"/>
              </w:rPr>
            </w:pPr>
            <w:r>
              <w:rPr>
                <w:b/>
                <w:noProof/>
                <w:color w:val="000000" w:themeColor="text1"/>
                <w:sz w:val="20"/>
              </w:rPr>
              <w:t>Arbetsordning</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Arbetsordning för det 18:e mötet i partskonferensen </w:t>
            </w:r>
            <w:r>
              <w:rPr>
                <w:noProof/>
                <w:color w:val="000000" w:themeColor="text1"/>
                <w:sz w:val="20"/>
                <w:u w:val="single"/>
              </w:rPr>
              <w:t>CoP18 Doc. 4.1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Notera dokument som innehåller nuvarande arbetsordning, vilken kommer att fortsätta gälla såvida den inte och fram till dess att den ändras av CoP (jfr regel 32).</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Översyn av arbetsordningen </w:t>
            </w:r>
            <w:r>
              <w:rPr>
                <w:noProof/>
                <w:color w:val="000000" w:themeColor="text1"/>
                <w:sz w:val="20"/>
                <w:u w:val="single"/>
              </w:rPr>
              <w:t>CoP18 Doc. 4.2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för att behålla arbetsordningen oförändrad vid CoP18; stöd även nytt mandat för SC att se över regel 25 (förfarande för beslut om ändringar av bilagorna) till CoP19. </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Fullmakts</w:t>
            </w:r>
            <w:r>
              <w:rPr>
                <w:noProof/>
                <w:sz w:val="20"/>
                <w:szCs w:val="20"/>
              </w:rPr>
              <w:t>kommittén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Upprättande av fullmaktskommittén</w:t>
            </w:r>
            <w:r>
              <w:rPr>
                <w:rFonts w:eastAsia="Times New Roman"/>
                <w:noProof/>
                <w:color w:val="000000" w:themeColor="text1"/>
                <w:sz w:val="20"/>
                <w:szCs w:val="20"/>
              </w:rPr>
              <w:br/>
            </w:r>
            <w:r>
              <w:rPr>
                <w:noProof/>
                <w:color w:val="000000" w:themeColor="text1"/>
                <w:sz w:val="20"/>
              </w:rPr>
              <w:t>(inget dokument)</w:t>
            </w: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Inget dokument</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Fullmaktskommitténs rapport</w:t>
            </w:r>
            <w:r>
              <w:rPr>
                <w:rFonts w:eastAsia="Times New Roman"/>
                <w:noProof/>
                <w:color w:val="000000" w:themeColor="text1"/>
                <w:sz w:val="20"/>
                <w:szCs w:val="20"/>
              </w:rPr>
              <w:br/>
            </w:r>
            <w:r>
              <w:rPr>
                <w:noProof/>
                <w:color w:val="000000" w:themeColor="text1"/>
                <w:sz w:val="20"/>
              </w:rPr>
              <w:t>(inget dokument)</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Inget dokument</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Tillträde för </w:t>
            </w:r>
            <w:r>
              <w:rPr>
                <w:b/>
                <w:noProof/>
                <w:color w:val="000000" w:themeColor="text1"/>
                <w:sz w:val="20"/>
              </w:rPr>
              <w:t>observatörer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Administration, ekonomi och budget</w:t>
            </w:r>
            <w:r>
              <w:rPr>
                <w:noProof/>
                <w:sz w:val="20"/>
                <w:szCs w:val="20"/>
              </w:rPr>
              <w:t xml:space="preserve"> för sekretariatet och partskonferensens möten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Sekretariatets administration</w:t>
            </w:r>
            <w:r>
              <w:rPr>
                <w:rFonts w:eastAsia="Times New Roman"/>
                <w:noProof/>
                <w:color w:val="000000" w:themeColor="text1"/>
                <w:sz w:val="20"/>
                <w:szCs w:val="20"/>
              </w:rPr>
              <w:br/>
            </w:r>
            <w:r>
              <w:rPr>
                <w:noProof/>
                <w:color w:val="000000" w:themeColor="text1"/>
                <w:sz w:val="20"/>
                <w:u w:val="single"/>
              </w:rPr>
              <w:t>CoP18 Doc. 7.1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Rapport från den verkställande direktören för FN:s miljöprogram (Unep) om administrativa och andra frågor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Ekonomiska rapporter för 2016–2019</w:t>
            </w:r>
            <w:r>
              <w:rPr>
                <w:rFonts w:eastAsia="Times New Roman"/>
                <w:noProof/>
                <w:color w:val="000000" w:themeColor="text1"/>
                <w:sz w:val="20"/>
                <w:szCs w:val="20"/>
              </w:rPr>
              <w:br/>
            </w:r>
            <w:r>
              <w:rPr>
                <w:noProof/>
                <w:color w:val="000000" w:themeColor="text1"/>
                <w:sz w:val="20"/>
                <w:u w:val="single"/>
              </w:rPr>
              <w:t>CoP18 Doc. 7.3</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1: Ekonomisk rapport om budgeterat arbetsprogram för 2016 </w:t>
            </w:r>
            <w:r>
              <w:rPr>
                <w:noProof/>
                <w:color w:val="000000" w:themeColor="text1"/>
                <w:sz w:val="20"/>
                <w:u w:val="single"/>
              </w:rPr>
              <w:t>CoP18 Doc. 7.3 A1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2: Cites förvaltningsfond (CTL) – bidrag per den 31 december 2016</w:t>
            </w:r>
            <w:r>
              <w:rPr>
                <w:rFonts w:eastAsia="Times New Roman"/>
                <w:noProof/>
                <w:color w:val="000000" w:themeColor="text1"/>
                <w:sz w:val="20"/>
                <w:szCs w:val="20"/>
              </w:rPr>
              <w:br/>
            </w:r>
            <w:r>
              <w:rPr>
                <w:noProof/>
                <w:color w:val="000000" w:themeColor="text1"/>
                <w:sz w:val="20"/>
                <w:u w:val="single"/>
              </w:rPr>
              <w:t>CoP18 Doc. 7.3 A2</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3: Cites externa förvaltningsfond (QTL) – bidrag per den 31</w:t>
            </w:r>
            <w:r>
              <w:rPr>
                <w:noProof/>
                <w:color w:val="000000" w:themeColor="text1"/>
                <w:sz w:val="20"/>
              </w:rPr>
              <w:t xml:space="preserve"> december 2016</w:t>
            </w:r>
            <w:r>
              <w:rPr>
                <w:rFonts w:eastAsia="Times New Roman"/>
                <w:noProof/>
                <w:color w:val="000000" w:themeColor="text1"/>
                <w:sz w:val="20"/>
                <w:szCs w:val="20"/>
              </w:rPr>
              <w:br/>
            </w:r>
            <w:r>
              <w:rPr>
                <w:noProof/>
                <w:color w:val="000000" w:themeColor="text1"/>
                <w:sz w:val="20"/>
                <w:u w:val="single"/>
              </w:rPr>
              <w:t>CoP18 Doc. 7.3 A3</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4: Ekonomisk rapport om budgeterat arbetsprogram för 2017</w:t>
            </w:r>
            <w:r>
              <w:rPr>
                <w:rFonts w:eastAsia="Times New Roman"/>
                <w:noProof/>
                <w:color w:val="000000" w:themeColor="text1"/>
                <w:sz w:val="20"/>
                <w:szCs w:val="20"/>
              </w:rPr>
              <w:br/>
            </w:r>
            <w:r>
              <w:rPr>
                <w:noProof/>
                <w:color w:val="000000" w:themeColor="text1"/>
                <w:sz w:val="20"/>
                <w:u w:val="single"/>
              </w:rPr>
              <w:t>CoP18 Doc. 7.3 A4</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5: Cites förvaltningsfond (CTL) – bidrag per den 31 december 2017</w:t>
            </w:r>
            <w:r>
              <w:rPr>
                <w:rFonts w:eastAsia="Times New Roman"/>
                <w:noProof/>
                <w:color w:val="000000" w:themeColor="text1"/>
                <w:sz w:val="20"/>
                <w:szCs w:val="20"/>
              </w:rPr>
              <w:br/>
            </w:r>
            <w:r>
              <w:rPr>
                <w:noProof/>
                <w:color w:val="000000" w:themeColor="text1"/>
                <w:sz w:val="20"/>
                <w:u w:val="single"/>
              </w:rPr>
              <w:t>CoP18 Doc. 7.3 A5</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6: Cites externa förvaltningsfond (QTL) – bidrag per den 31 december 2017 </w:t>
            </w:r>
            <w:r>
              <w:rPr>
                <w:noProof/>
                <w:color w:val="000000" w:themeColor="text1"/>
                <w:sz w:val="20"/>
                <w:u w:val="single"/>
              </w:rPr>
              <w:t>CoP18 Doc. 7.3 A6</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7: Ekonomisk rapport om budgeterat arbetsprogram för 2018 </w:t>
            </w:r>
            <w:r>
              <w:rPr>
                <w:noProof/>
                <w:color w:val="000000" w:themeColor="text1"/>
                <w:sz w:val="20"/>
                <w:u w:val="single"/>
              </w:rPr>
              <w:t>CoP18 Doc. 7.3 A7</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8: Cites förvaltningsfond (CTL) – bidrag per den 31 december 2018 </w:t>
            </w:r>
            <w:r>
              <w:rPr>
                <w:rFonts w:eastAsia="Times New Roman"/>
                <w:noProof/>
                <w:color w:val="000000" w:themeColor="text1"/>
                <w:sz w:val="20"/>
                <w:szCs w:val="20"/>
              </w:rPr>
              <w:br/>
            </w:r>
            <w:r>
              <w:rPr>
                <w:noProof/>
                <w:color w:val="000000" w:themeColor="text1"/>
                <w:sz w:val="20"/>
                <w:u w:val="single"/>
              </w:rPr>
              <w:t>CoP18 Doc. 7.3 A8</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9: Cites förvaltningsfond (CTL) – årlig fördelning av obetalade avgifter från och med den 31 december 2018 </w:t>
            </w:r>
            <w:r>
              <w:rPr>
                <w:rFonts w:eastAsia="Times New Roman"/>
                <w:noProof/>
                <w:color w:val="000000" w:themeColor="text1"/>
                <w:sz w:val="20"/>
                <w:szCs w:val="20"/>
              </w:rPr>
              <w:br/>
            </w:r>
            <w:r>
              <w:rPr>
                <w:noProof/>
                <w:color w:val="000000" w:themeColor="text1"/>
                <w:sz w:val="20"/>
                <w:u w:val="single"/>
              </w:rPr>
              <w:t>CoP18 Doc. 7.3 A9</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10: Cites externa förvaltningsfond (QTL) – bidrag per den 31 december 2018 </w:t>
            </w:r>
            <w:r>
              <w:rPr>
                <w:noProof/>
                <w:color w:val="000000" w:themeColor="text1"/>
                <w:sz w:val="20"/>
                <w:u w:val="single"/>
              </w:rPr>
              <w:t>CoP18 Doc. 7.3 A10</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11: Redovisning av ekonomiskt resultat och finansiell ställning för året som avslutades den 31 december 2017</w:t>
            </w:r>
            <w:r>
              <w:rPr>
                <w:rFonts w:eastAsia="Times New Roman"/>
                <w:noProof/>
                <w:color w:val="000000" w:themeColor="text1"/>
                <w:sz w:val="20"/>
                <w:szCs w:val="20"/>
              </w:rPr>
              <w:br/>
            </w:r>
            <w:r>
              <w:rPr>
                <w:noProof/>
                <w:color w:val="000000" w:themeColor="text1"/>
                <w:sz w:val="20"/>
                <w:u w:val="single"/>
              </w:rPr>
              <w:t>CoP18 Doc. 7.3 A11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12: Ekonomisk rapport om budgeterat arbetsprogram för 2019 (t.o.m. den 31 mars 2019)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13: Cites förvaltningsfond (CTL) – bidrag per den 31 mars 2019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14: Cites externa förvaltningsfond (QTL) – bidrag per den 31 mars </w:t>
            </w:r>
            <w:r>
              <w:rPr>
                <w:noProof/>
                <w:color w:val="000000" w:themeColor="text1"/>
                <w:sz w:val="20"/>
              </w:rPr>
              <w:t>2019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Budget och arbetsprogram för 2020–2022 </w:t>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Bilaga 1: Utkast till resolution om finansiering och budgeterat arbetsprogram för sekretariatet under treårsperioden 2020–2022</w:t>
            </w:r>
            <w:r>
              <w:rPr>
                <w:i/>
                <w:noProof/>
                <w:color w:val="000000" w:themeColor="text1"/>
                <w:sz w:val="20"/>
              </w:rPr>
              <w:t xml:space="preserve"> </w:t>
            </w:r>
            <w:r>
              <w:rPr>
                <w:rFonts w:eastAsia="Times New Roman"/>
                <w:i/>
                <w:iCs/>
                <w:noProof/>
                <w:color w:val="000000" w:themeColor="text1"/>
                <w:sz w:val="20"/>
                <w:szCs w:val="20"/>
              </w:rPr>
              <w:br/>
            </w:r>
            <w:r>
              <w:rPr>
                <w:noProof/>
                <w:color w:val="000000" w:themeColor="text1"/>
                <w:sz w:val="20"/>
                <w:u w:val="single"/>
              </w:rPr>
              <w:t>CoP18 Doc. 7.4 A1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2: Budgetscenario – real nolltillväxt </w:t>
            </w:r>
            <w:r>
              <w:rPr>
                <w:rFonts w:eastAsia="Times New Roman"/>
                <w:noProof/>
                <w:color w:val="000000" w:themeColor="text1"/>
                <w:sz w:val="20"/>
                <w:szCs w:val="20"/>
              </w:rPr>
              <w:br/>
            </w:r>
            <w:r>
              <w:rPr>
                <w:noProof/>
                <w:color w:val="000000" w:themeColor="text1"/>
                <w:sz w:val="20"/>
                <w:u w:val="single"/>
              </w:rPr>
              <w:t>CoP18 Doc. 7.4 A2</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3: Budgetscenario – nominal nolltillväxt </w:t>
            </w:r>
            <w:r>
              <w:rPr>
                <w:rFonts w:eastAsia="Times New Roman"/>
                <w:noProof/>
                <w:color w:val="000000" w:themeColor="text1"/>
                <w:sz w:val="20"/>
                <w:szCs w:val="20"/>
              </w:rPr>
              <w:br/>
            </w:r>
            <w:r>
              <w:rPr>
                <w:noProof/>
                <w:color w:val="000000" w:themeColor="text1"/>
                <w:sz w:val="20"/>
                <w:u w:val="single"/>
              </w:rPr>
              <w:t>CoP18 Doc. 7.4 A3</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4: Budgetscenario – tillväxtökning </w:t>
            </w:r>
            <w:r>
              <w:rPr>
                <w:rFonts w:eastAsia="Times New Roman"/>
                <w:noProof/>
                <w:color w:val="000000" w:themeColor="text1"/>
                <w:sz w:val="20"/>
                <w:szCs w:val="20"/>
              </w:rPr>
              <w:br/>
            </w:r>
            <w:r>
              <w:rPr>
                <w:noProof/>
                <w:color w:val="000000" w:themeColor="text1"/>
                <w:sz w:val="20"/>
                <w:u w:val="single"/>
              </w:rPr>
              <w:t>CoP18 Doc. 7.4 A4</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Tillgång till finansiering, inklusive GEF-finansiering </w:t>
            </w:r>
            <w:r>
              <w:rPr>
                <w:rFonts w:eastAsia="Times New Roman"/>
                <w:noProof/>
                <w:color w:val="000000" w:themeColor="text1"/>
                <w:sz w:val="20"/>
                <w:szCs w:val="20"/>
              </w:rPr>
              <w:br/>
            </w:r>
            <w:r>
              <w:rPr>
                <w:noProof/>
                <w:color w:val="000000" w:themeColor="text1"/>
                <w:sz w:val="20"/>
                <w:u w:val="single"/>
              </w:rPr>
              <w:t>CoP18 Doc. 7.5</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sz w:val="20"/>
                <w:szCs w:val="20"/>
              </w:rPr>
              <w:t xml:space="preserve">Projektet för </w:t>
            </w:r>
            <w:r>
              <w:rPr>
                <w:b/>
                <w:i/>
                <w:noProof/>
                <w:sz w:val="20"/>
                <w:szCs w:val="20"/>
              </w:rPr>
              <w:t>sponsrade delegater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7.6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för att behålla nuvarande urvalskriterier; Sekretariatet undersöker utvidgningen av projektet från CoP till </w:t>
            </w:r>
            <w:r>
              <w:rPr>
                <w:noProof/>
                <w:color w:val="000000" w:themeColor="text1"/>
                <w:sz w:val="20"/>
              </w:rPr>
              <w:t>kommittémöten.</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Utkast till resolution om </w:t>
            </w:r>
            <w:r>
              <w:rPr>
                <w:b/>
                <w:noProof/>
                <w:color w:val="000000" w:themeColor="text1"/>
                <w:sz w:val="20"/>
                <w:szCs w:val="20"/>
              </w:rPr>
              <w:t>språkstrategi</w:t>
            </w:r>
            <w:r>
              <w:rPr>
                <w:noProof/>
                <w:color w:val="000000" w:themeColor="text1"/>
                <w:sz w:val="20"/>
                <w:szCs w:val="20"/>
              </w:rPr>
              <w:t xml:space="preserve"> för konventionen </w:t>
            </w:r>
            <w:r>
              <w:rPr>
                <w:rFonts w:eastAsia="Times New Roman"/>
                <w:noProof/>
                <w:color w:val="000000" w:themeColor="text1"/>
                <w:sz w:val="20"/>
                <w:szCs w:val="20"/>
              </w:rPr>
              <w:br/>
            </w:r>
            <w:r>
              <w:rPr>
                <w:noProof/>
                <w:color w:val="000000" w:themeColor="text1"/>
                <w:sz w:val="20"/>
                <w:szCs w:val="20"/>
                <w:u w:val="single"/>
              </w:rPr>
              <w:t>CoP18 Doc. 8</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Oklart varför arabiska bör läggas till som officiellt Cites-språk men inte andra FN-språk (kinesiska, ryska). Budgetkonsekvenser och potentiella ytterligare </w:t>
            </w:r>
            <w:r>
              <w:rPr>
                <w:noProof/>
                <w:color w:val="000000" w:themeColor="text1"/>
                <w:sz w:val="20"/>
              </w:rPr>
              <w:t>förseningar i dokumentframställningen talar mot förslaget.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9207" w:type="dxa"/>
            <w:gridSpan w:val="8"/>
            <w:tcMar>
              <w:top w:w="60" w:type="dxa"/>
              <w:left w:w="135" w:type="dxa"/>
              <w:bottom w:w="60" w:type="dxa"/>
              <w:right w:w="135" w:type="dxa"/>
            </w:tcMar>
            <w:hideMark/>
          </w:tcPr>
          <w:p w:rsidR="00122B26" w:rsidRDefault="007F7137">
            <w:pPr>
              <w:spacing w:before="0" w:after="0" w:line="240" w:lineRule="atLeast"/>
              <w:jc w:val="left"/>
              <w:rPr>
                <w:rFonts w:eastAsia="Times New Roman"/>
                <w:b/>
                <w:bCs/>
                <w:noProof/>
                <w:color w:val="000000" w:themeColor="text1"/>
                <w:sz w:val="20"/>
                <w:szCs w:val="20"/>
              </w:rPr>
            </w:pPr>
            <w:r>
              <w:rPr>
                <w:b/>
                <w:noProof/>
                <w:color w:val="000000" w:themeColor="text1"/>
                <w:sz w:val="20"/>
                <w:szCs w:val="20"/>
              </w:rPr>
              <w:t>Strategiska frågor</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Kommittéernas</w:t>
            </w:r>
            <w:r>
              <w:rPr>
                <w:noProof/>
                <w:sz w:val="20"/>
                <w:szCs w:val="20"/>
              </w:rPr>
              <w:t xml:space="preserve"> rapporter och rekommendationer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Ständiga</w:t>
            </w:r>
            <w:r>
              <w:rPr>
                <w:noProof/>
                <w:sz w:val="20"/>
                <w:szCs w:val="20"/>
              </w:rPr>
              <w:t xml:space="preserve"> kommittén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ordföranden </w:t>
            </w:r>
            <w:r>
              <w:rPr>
                <w:rFonts w:eastAsia="Times New Roman"/>
                <w:noProof/>
                <w:color w:val="000000" w:themeColor="text1"/>
                <w:sz w:val="20"/>
                <w:szCs w:val="20"/>
              </w:rPr>
              <w:br/>
            </w:r>
            <w:r>
              <w:rPr>
                <w:noProof/>
                <w:color w:val="000000" w:themeColor="text1"/>
                <w:sz w:val="20"/>
                <w:u w:val="single"/>
              </w:rPr>
              <w:t>CoP18 Doc. 9.1.1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Val av nya regionala </w:t>
            </w:r>
            <w:r>
              <w:rPr>
                <w:noProof/>
                <w:color w:val="000000" w:themeColor="text1"/>
                <w:sz w:val="20"/>
              </w:rPr>
              <w:t>ledamöter och suppleanter (inget dokument)</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Djur</w:t>
            </w:r>
            <w:r>
              <w:rPr>
                <w:noProof/>
                <w:sz w:val="20"/>
                <w:szCs w:val="20"/>
              </w:rPr>
              <w:t>kommittén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Rapport från ordföranden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Val av nya regionala ledamöter och suppleanter (inget dokument)</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Växt</w:t>
            </w:r>
            <w:r>
              <w:rPr>
                <w:noProof/>
                <w:sz w:val="20"/>
                <w:szCs w:val="20"/>
              </w:rPr>
              <w:t>kommittén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ordföranden </w:t>
            </w:r>
            <w:r>
              <w:rPr>
                <w:rFonts w:eastAsia="Times New Roman"/>
                <w:noProof/>
                <w:color w:val="000000" w:themeColor="text1"/>
                <w:sz w:val="20"/>
                <w:szCs w:val="20"/>
              </w:rPr>
              <w:br/>
            </w:r>
            <w:r>
              <w:rPr>
                <w:noProof/>
                <w:color w:val="000000" w:themeColor="text1"/>
                <w:sz w:val="20"/>
                <w:u w:val="single"/>
              </w:rPr>
              <w:t>CoP18</w:t>
            </w:r>
            <w:r>
              <w:rPr>
                <w:noProof/>
                <w:color w:val="000000" w:themeColor="text1"/>
                <w:sz w:val="20"/>
                <w:u w:val="single"/>
              </w:rPr>
              <w:t xml:space="preserve"> Doc. 9.3.1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Val av nya regionala ledamöter och suppleanter (inget dokument)</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10.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Strategisk vision</w:t>
            </w:r>
            <w:r>
              <w:rPr>
                <w:noProof/>
                <w:color w:val="000000" w:themeColor="text1"/>
                <w:sz w:val="20"/>
              </w:rPr>
              <w:t xml:space="preserve"> för Cites efter 2020 </w:t>
            </w:r>
            <w:r>
              <w:rPr>
                <w:rFonts w:eastAsia="Times New Roman"/>
                <w:noProof/>
                <w:color w:val="000000" w:themeColor="text1"/>
                <w:sz w:val="20"/>
                <w:szCs w:val="20"/>
              </w:rPr>
              <w:br/>
            </w:r>
            <w:r>
              <w:rPr>
                <w:noProof/>
                <w:color w:val="000000" w:themeColor="text1"/>
                <w:sz w:val="20"/>
                <w:u w:val="single"/>
              </w:rPr>
              <w:t>CoP18 Doc. 10</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 antagande av den reviderade strategiska visionen; ge sekretariatet i uppgift att jämföra mål</w:t>
            </w:r>
            <w:r>
              <w:rPr>
                <w:noProof/>
                <w:color w:val="000000" w:themeColor="text1"/>
                <w:sz w:val="20"/>
              </w:rPr>
              <w:t xml:space="preserve"> med befintliga beslut, resolutioner; uppdra åt ständiga kommittén att arbeta med indikatorer.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b/>
                <w:noProof/>
                <w:color w:val="000000" w:themeColor="text1"/>
                <w:sz w:val="20"/>
                <w:szCs w:val="20"/>
              </w:rPr>
            </w:pPr>
            <w:r>
              <w:rPr>
                <w:b/>
                <w:noProof/>
                <w:color w:val="000000" w:themeColor="text1"/>
                <w:sz w:val="20"/>
              </w:rPr>
              <w:t>Översyn av konventionen</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Tar upp några relevanta frågor som gäller försörjningsmöjligheter och översyn av bilagorna. Förslaget förefaller dock vara ensidigt i sin nuvarande form och omfattning, och även otillräckligt förberett, baserat på historiska överväganden utan djupare efter</w:t>
            </w:r>
            <w:r>
              <w:rPr>
                <w:noProof/>
                <w:color w:val="000000" w:themeColor="text1"/>
                <w:sz w:val="20"/>
              </w:rPr>
              <w:t>tanke vad gäller alltmer komplex handel med vilda djur och växter och allt större bevarandeproblem, och mot bakgrund av de potentiellt långtgående konsekvenserna. Det anges inte vem utkasten till beslut riktar sig till. Ytterligare diskussioner behövs, äve</w:t>
            </w:r>
            <w:r>
              <w:rPr>
                <w:noProof/>
                <w:color w:val="000000" w:themeColor="text1"/>
                <w:sz w:val="20"/>
              </w:rPr>
              <w:t xml:space="preserve">n i samband med andra förslag om landsbygdssamhällen osv. (punkterna 17, 18) och när det gäller resursbehov.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12.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Säkerställa bättre genomförande av </w:t>
            </w:r>
            <w:r>
              <w:rPr>
                <w:b/>
                <w:noProof/>
                <w:color w:val="000000" w:themeColor="text1"/>
                <w:sz w:val="20"/>
              </w:rPr>
              <w:t>listningar av marina fiskarter</w:t>
            </w:r>
            <w:r>
              <w:rPr>
                <w:noProof/>
                <w:color w:val="000000" w:themeColor="text1"/>
                <w:sz w:val="20"/>
              </w:rPr>
              <w:t xml:space="preserve"> i bilagorna </w:t>
            </w:r>
            <w:r>
              <w:rPr>
                <w:rFonts w:eastAsia="Times New Roman"/>
                <w:noProof/>
                <w:color w:val="000000" w:themeColor="text1"/>
                <w:sz w:val="20"/>
                <w:szCs w:val="20"/>
              </w:rPr>
              <w:br/>
            </w:r>
            <w:r>
              <w:rPr>
                <w:noProof/>
                <w:color w:val="000000" w:themeColor="text1"/>
                <w:sz w:val="20"/>
                <w:u w:val="single"/>
              </w:rPr>
              <w:t>CoP18 Doc. 12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Bekräfta att det fortfarande behövs stöd för ett mer effektivt genomförande av listningar av marina arter. Översynen av effektiviteten i tidigare listningar bör dock inriktas på särskilda fall, med en tydlig motivering, och befintliga mekanismer och rekomm</w:t>
            </w:r>
            <w:r>
              <w:rPr>
                <w:noProof/>
                <w:color w:val="000000" w:themeColor="text1"/>
                <w:sz w:val="20"/>
              </w:rPr>
              <w:t xml:space="preserve">endationer från tidigare översyner bör användas i stället för att fastställa en ny ad hoc-process. Invänd mot ett ”embargo” på nya listningar av artgrupper; Det som är viktigt är huruvida kriterier för listning är uppfyllda.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Revidering av konferens</w:t>
            </w:r>
            <w:r>
              <w:rPr>
                <w:noProof/>
                <w:color w:val="000000" w:themeColor="text1"/>
                <w:sz w:val="20"/>
              </w:rPr>
              <w:t xml:space="preserve">resolution 11.1 (rev. CoP17) om </w:t>
            </w:r>
            <w:r>
              <w:rPr>
                <w:b/>
                <w:i/>
                <w:noProof/>
                <w:color w:val="000000" w:themeColor="text1"/>
                <w:sz w:val="20"/>
              </w:rPr>
              <w:t>inrättande av kommittéer</w:t>
            </w:r>
            <w:r>
              <w:rPr>
                <w:noProof/>
                <w:color w:val="000000" w:themeColor="text1"/>
                <w:sz w:val="20"/>
              </w:rPr>
              <w:t xml:space="preserve"> </w:t>
            </w:r>
            <w:r>
              <w:rPr>
                <w:noProof/>
                <w:color w:val="000000" w:themeColor="text1"/>
                <w:sz w:val="20"/>
                <w:u w:val="single"/>
              </w:rPr>
              <w:t>CoP18 Doc. 13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 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den föreslagna nya resolutionen; ändringar föreslagna av sekretariatet behöver övervägas ytterligare.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Potentiella </w:t>
            </w:r>
            <w:r>
              <w:rPr>
                <w:b/>
                <w:noProof/>
                <w:color w:val="000000" w:themeColor="text1"/>
                <w:sz w:val="20"/>
              </w:rPr>
              <w:t>intressekonflikter</w:t>
            </w:r>
            <w:r>
              <w:rPr>
                <w:noProof/>
                <w:color w:val="000000" w:themeColor="text1"/>
                <w:sz w:val="20"/>
              </w:rPr>
              <w:t xml:space="preserve"> i djur- och växtkommittéerna </w:t>
            </w:r>
            <w:r>
              <w:rPr>
                <w:noProof/>
                <w:color w:val="000000" w:themeColor="text1"/>
                <w:sz w:val="20"/>
                <w:u w:val="single"/>
              </w:rPr>
              <w:t>CoP18 Doc. 14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SC70 antog ett standardformulär för offentliggörande av intresseförklaringar; stöd för strykning av besluten 16.09 och 16.10.</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Samarbete</w:t>
            </w:r>
            <w:r>
              <w:rPr>
                <w:noProof/>
                <w:sz w:val="20"/>
                <w:szCs w:val="20"/>
              </w:rPr>
              <w:t xml:space="preserve"> med organisationer och multilaterala miljöavtal</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Samarbete med </w:t>
            </w:r>
            <w:r>
              <w:rPr>
                <w:b/>
                <w:i/>
                <w:noProof/>
                <w:color w:val="000000" w:themeColor="text1"/>
                <w:sz w:val="20"/>
              </w:rPr>
              <w:t xml:space="preserve">andra konventioner </w:t>
            </w:r>
            <w:r>
              <w:rPr>
                <w:b/>
                <w:i/>
                <w:noProof/>
                <w:color w:val="000000" w:themeColor="text1"/>
                <w:sz w:val="20"/>
              </w:rPr>
              <w:t>som rör biologisk mångfald</w:t>
            </w:r>
            <w:r>
              <w:rPr>
                <w:noProof/>
                <w:color w:val="000000" w:themeColor="text1"/>
                <w:sz w:val="20"/>
              </w:rPr>
              <w:t xml:space="preserve"> </w:t>
            </w:r>
            <w:r>
              <w:rPr>
                <w:noProof/>
                <w:color w:val="000000" w:themeColor="text1"/>
                <w:sz w:val="20"/>
                <w:u w:val="single"/>
              </w:rPr>
              <w:t>CoP18 Doc. 15.1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förnyelse av besluten 17.55 och 17.56.</w:t>
            </w:r>
          </w:p>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Synergierna mellan de multilaterala miljöavtalen om biologisk mångfald bör fortsätta att stärkas och det är lämpligt att ständiga kommittén håller dessa frågor under </w:t>
            </w:r>
            <w:r>
              <w:rPr>
                <w:noProof/>
                <w:color w:val="000000" w:themeColor="text1"/>
                <w:sz w:val="20"/>
              </w:rPr>
              <w:t>uppsikt.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Kommissionen för bevarande av marina levande tillgångar i Antarktis (</w:t>
            </w:r>
            <w:r>
              <w:rPr>
                <w:b/>
                <w:i/>
                <w:noProof/>
                <w:color w:val="000000" w:themeColor="text1"/>
                <w:sz w:val="20"/>
              </w:rPr>
              <w:t>CCAMLR</w:t>
            </w:r>
            <w:r>
              <w:rPr>
                <w:noProof/>
                <w:color w:val="000000" w:themeColor="text1"/>
                <w:sz w:val="20"/>
              </w:rPr>
              <w:t xml:space="preserve">) </w:t>
            </w:r>
            <w:r>
              <w:rPr>
                <w:noProof/>
                <w:color w:val="000000" w:themeColor="text1"/>
                <w:sz w:val="20"/>
                <w:u w:val="single"/>
              </w:rPr>
              <w:t>CoP18 Doc. 15.2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ändringar av konferensresolution 12.4 som föreslagits gemensamt av sekretariaten för Cites och CCAMLR.</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Global strategi för </w:t>
            </w:r>
            <w:r>
              <w:rPr>
                <w:b/>
                <w:i/>
                <w:noProof/>
                <w:color w:val="000000" w:themeColor="text1"/>
                <w:sz w:val="20"/>
              </w:rPr>
              <w:t>bevarande av växter</w:t>
            </w:r>
            <w:r>
              <w:rPr>
                <w:rFonts w:eastAsia="Times New Roman"/>
                <w:noProof/>
                <w:color w:val="000000" w:themeColor="text1"/>
                <w:sz w:val="20"/>
                <w:szCs w:val="20"/>
              </w:rPr>
              <w:br/>
            </w:r>
            <w:r>
              <w:rPr>
                <w:noProof/>
                <w:color w:val="000000" w:themeColor="text1"/>
                <w:sz w:val="20"/>
                <w:u w:val="single"/>
              </w:rPr>
              <w:t>CoP18 Doc. 15.3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nya utkast till beslut som ska ersätta besluten 17.53 och 17.54.</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Mellanstatliga vetenskapspolitiska plattformen för biologisk mångfald och ekosystemtjänster (Intergovernmental Science-Policy Platform on Biodiversity and Ecosystem Services,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CoP18 Doc. 15.4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utkastet till resolution om </w:t>
            </w:r>
            <w:r>
              <w:rPr>
                <w:i/>
                <w:noProof/>
                <w:color w:val="000000" w:themeColor="text1"/>
                <w:sz w:val="20"/>
              </w:rPr>
              <w:t xml:space="preserve">Cooperation with </w:t>
            </w:r>
            <w:r>
              <w:rPr>
                <w:i/>
                <w:noProof/>
                <w:color w:val="000000" w:themeColor="text1"/>
                <w:sz w:val="20"/>
              </w:rPr>
              <w:t>the Intergovernmental Science-Policy Platform on Biodiversity and Ecosystem Services</w:t>
            </w:r>
            <w:r>
              <w:rPr>
                <w:noProof/>
                <w:color w:val="000000" w:themeColor="text1"/>
                <w:sz w:val="20"/>
              </w:rPr>
              <w:t xml:space="preserve"> i bilaga 3 till dokumentet.</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Internationella konsortiet för att bekämpa artskyddsbrott (International Consortium on Combating Wildlife Crime,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 xml:space="preserve">CoP18 Doc. </w:t>
            </w:r>
            <w:r>
              <w:rPr>
                <w:noProof/>
                <w:color w:val="000000" w:themeColor="text1"/>
                <w:sz w:val="20"/>
                <w:u w:val="single"/>
              </w:rPr>
              <w:t>15.5</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uppmaning till parterna att fortsätta att finansiera ICCWC:s verksamhet.</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Samarbete mellan Cites och </w:t>
            </w:r>
            <w:r>
              <w:rPr>
                <w:b/>
                <w:i/>
                <w:noProof/>
                <w:color w:val="000000" w:themeColor="text1"/>
                <w:sz w:val="20"/>
              </w:rPr>
              <w:t>Världsarvs</w:t>
            </w:r>
            <w:r>
              <w:rPr>
                <w:noProof/>
                <w:color w:val="000000" w:themeColor="text1"/>
                <w:sz w:val="20"/>
              </w:rPr>
              <w:t xml:space="preserve">konventionen (konventionen om skydd för världens kultur- och naturarv) </w:t>
            </w:r>
            <w:r>
              <w:rPr>
                <w:rFonts w:eastAsia="Times New Roman"/>
                <w:noProof/>
                <w:color w:val="000000" w:themeColor="text1"/>
                <w:sz w:val="20"/>
                <w:szCs w:val="20"/>
              </w:rPr>
              <w:br/>
            </w:r>
            <w:r>
              <w:rPr>
                <w:noProof/>
                <w:color w:val="000000" w:themeColor="text1"/>
                <w:sz w:val="20"/>
                <w:u w:val="single"/>
              </w:rPr>
              <w:t>CoP18 Doc. 15.6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Norge</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utkastet till </w:t>
            </w:r>
            <w:r>
              <w:rPr>
                <w:noProof/>
                <w:color w:val="000000" w:themeColor="text1"/>
                <w:sz w:val="20"/>
              </w:rPr>
              <w:t>resolution (som syftar till att utveckla ett samförståndsavtal mellan Världsarvskonventionen och Cites) och utkastet till beslut i bilagorna 1 och 2.</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Cites-program för </w:t>
            </w:r>
            <w:r>
              <w:rPr>
                <w:b/>
                <w:noProof/>
                <w:color w:val="000000" w:themeColor="text1"/>
                <w:sz w:val="20"/>
              </w:rPr>
              <w:t>träd</w:t>
            </w:r>
            <w:r>
              <w:rPr>
                <w:noProof/>
                <w:color w:val="000000" w:themeColor="text1"/>
                <w:sz w:val="20"/>
              </w:rPr>
              <w:t>arter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17.</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b/>
                <w:noProof/>
                <w:color w:val="000000" w:themeColor="text1"/>
                <w:sz w:val="20"/>
                <w:szCs w:val="20"/>
              </w:rPr>
            </w:pPr>
            <w:r>
              <w:rPr>
                <w:b/>
                <w:noProof/>
                <w:color w:val="000000" w:themeColor="text1"/>
                <w:sz w:val="20"/>
              </w:rPr>
              <w:t>Landsbygdssamhällen</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i/>
                <w:noProof/>
                <w:color w:val="000000" w:themeColor="text1"/>
                <w:sz w:val="20"/>
              </w:rPr>
              <w:t>Överväg tillsammans med relaterade förslag under punkt 18.</w:t>
            </w: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ständiga kommittén </w:t>
            </w:r>
            <w:r>
              <w:rPr>
                <w:rFonts w:eastAsia="Times New Roman"/>
                <w:noProof/>
                <w:color w:val="000000" w:themeColor="text1"/>
                <w:sz w:val="20"/>
                <w:szCs w:val="20"/>
              </w:rPr>
              <w:br/>
            </w:r>
            <w:r>
              <w:rPr>
                <w:noProof/>
                <w:color w:val="000000" w:themeColor="text1"/>
                <w:sz w:val="20"/>
                <w:u w:val="single"/>
              </w:rPr>
              <w:t>CoP18 Doc. 17.1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Öppen för att överväga sekretariatets förslag om ändring av konferensresolution 16.6 om </w:t>
            </w:r>
            <w:r>
              <w:rPr>
                <w:i/>
                <w:noProof/>
                <w:color w:val="000000" w:themeColor="text1"/>
                <w:sz w:val="20"/>
              </w:rPr>
              <w:t>försörjningsmöjligheter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Förslaget om att stryka besluten från CoP17 kan vara för tidigt väckt; ytterligare arbete mellan mötena (tillsammans med arbetsgruppen för försörjningsmöjligheter?).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Föreslagna ändringar av konferensresolution 4.6 (Rev. </w:t>
            </w:r>
            <w:r>
              <w:rPr>
                <w:noProof/>
                <w:color w:val="000000" w:themeColor="text1"/>
                <w:sz w:val="20"/>
              </w:rPr>
              <w:t>CoP17) [</w:t>
            </w:r>
            <w:r>
              <w:rPr>
                <w:i/>
                <w:noProof/>
                <w:color w:val="000000" w:themeColor="text1"/>
                <w:sz w:val="20"/>
              </w:rPr>
              <w:t>Submission of draft resolutions</w:t>
            </w:r>
            <w:r>
              <w:rPr>
                <w:noProof/>
                <w:color w:val="000000" w:themeColor="text1"/>
                <w:sz w:val="20"/>
              </w:rPr>
              <w:t xml:space="preserve">] och konferensresolution 9.24 (Rev. CoP17) </w:t>
            </w:r>
            <w:r>
              <w:rPr>
                <w:rFonts w:eastAsia="Times New Roman"/>
                <w:noProof/>
                <w:color w:val="000000" w:themeColor="text1"/>
                <w:sz w:val="20"/>
                <w:szCs w:val="20"/>
              </w:rPr>
              <w:br/>
            </w:r>
            <w:r>
              <w:rPr>
                <w:noProof/>
                <w:color w:val="000000" w:themeColor="text1"/>
                <w:sz w:val="20"/>
                <w:u w:val="single"/>
              </w:rPr>
              <w:t>CoP18 Doc. 17.2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Utkastet med förslag till ändring av resolution 4.6 förefaller olämpligt, eftersom resolutionen för övrigt är inriktad på formaliteter och förfarande</w:t>
            </w:r>
            <w:r>
              <w:rPr>
                <w:noProof/>
                <w:color w:val="000000" w:themeColor="text1"/>
                <w:sz w:val="20"/>
              </w:rPr>
              <w:t>n för inlämnande av förslag.</w:t>
            </w:r>
          </w:p>
          <w:p w:rsidR="00122B26" w:rsidRDefault="007F7137">
            <w:pPr>
              <w:spacing w:after="0" w:line="240" w:lineRule="atLeast"/>
              <w:jc w:val="left"/>
              <w:rPr>
                <w:rFonts w:eastAsia="Times New Roman"/>
                <w:noProof/>
                <w:color w:val="000000" w:themeColor="text1"/>
                <w:sz w:val="20"/>
                <w:szCs w:val="20"/>
              </w:rPr>
            </w:pPr>
            <w:r>
              <w:rPr>
                <w:noProof/>
                <w:color w:val="000000" w:themeColor="text1"/>
                <w:sz w:val="20"/>
              </w:rPr>
              <w:t xml:space="preserve">Varje ändring i resolution 9.24 skulle åtminstone behöva klargöra det geografiska tillämpningsområdet för samråd med landsbygdssamhällen, dvs. varje part inom sitt eget territorium; ytterligare diskussion krävs. </w:t>
            </w:r>
          </w:p>
          <w:p w:rsidR="00122B26" w:rsidRDefault="007F7137">
            <w:pPr>
              <w:spacing w:after="0" w:line="240" w:lineRule="atLeast"/>
              <w:jc w:val="left"/>
              <w:rPr>
                <w:rFonts w:eastAsia="Times New Roman"/>
                <w:noProof/>
                <w:color w:val="000000" w:themeColor="text1"/>
                <w:sz w:val="20"/>
                <w:szCs w:val="20"/>
              </w:rPr>
            </w:pPr>
            <w:r>
              <w:rPr>
                <w:i/>
                <w:noProof/>
                <w:color w:val="000000" w:themeColor="text1"/>
                <w:sz w:val="20"/>
              </w:rPr>
              <w:t>Överväg tillsa</w:t>
            </w:r>
            <w:r>
              <w:rPr>
                <w:i/>
                <w:noProof/>
                <w:color w:val="000000" w:themeColor="text1"/>
                <w:sz w:val="20"/>
              </w:rPr>
              <w:t>mmans med dokument 18.3.</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Deltagandemekanism för landsbygdssamhällen</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Invänd mot inrättandet av en permanent kommitté för landsbygdssamhällen; överväga alternativa sätt att göra landsbygdssamhällenas röst hörd.</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och </w:t>
            </w:r>
            <w:r>
              <w:rPr>
                <w:b/>
                <w:noProof/>
                <w:color w:val="000000" w:themeColor="text1"/>
                <w:sz w:val="20"/>
              </w:rPr>
              <w:t>försörjningsmöjligheter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i/>
                <w:noProof/>
                <w:color w:val="000000" w:themeColor="text1"/>
                <w:sz w:val="20"/>
                <w:szCs w:val="20"/>
              </w:rPr>
            </w:pPr>
            <w:r>
              <w:rPr>
                <w:i/>
                <w:noProof/>
                <w:color w:val="000000" w:themeColor="text1"/>
                <w:sz w:val="20"/>
              </w:rPr>
              <w:t>Överväg tillsammans med relaterade förslag under punkt 17.</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sekretariatet </w:t>
            </w:r>
            <w:r>
              <w:rPr>
                <w:noProof/>
                <w:color w:val="000000" w:themeColor="text1"/>
                <w:sz w:val="20"/>
                <w:u w:val="single"/>
              </w:rPr>
              <w:t>CoP18 Doc. 18.1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återinrättande av arbetsgrupp, utveckling av vägledning genom rådgivning, för övervägande av CoP19. </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Förslag från Peru </w:t>
            </w:r>
            <w:r>
              <w:rPr>
                <w:rFonts w:eastAsia="Times New Roman"/>
                <w:noProof/>
                <w:color w:val="000000" w:themeColor="text1"/>
                <w:sz w:val="20"/>
                <w:szCs w:val="20"/>
              </w:rPr>
              <w:br/>
            </w:r>
            <w:r>
              <w:rPr>
                <w:noProof/>
                <w:color w:val="000000" w:themeColor="text1"/>
                <w:sz w:val="20"/>
                <w:u w:val="single"/>
              </w:rPr>
              <w:t>CoP18 Doc. 18.2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Öppna för fortsättning av arbetsgruppen men ifrågasätt förslaget om ett tillägg till dess mandat avseende arbete med ett eventuellt certifieringssystem för ”produkter av Cites-listade arter tillverkade av landsbyg</w:t>
            </w:r>
            <w:r>
              <w:rPr>
                <w:noProof/>
                <w:color w:val="000000" w:themeColor="text1"/>
                <w:sz w:val="20"/>
              </w:rPr>
              <w:t>dssamhällen i enlighet med Cites bestämmelser”.</w:t>
            </w:r>
          </w:p>
          <w:p w:rsidR="00122B26" w:rsidRDefault="007F7137">
            <w:pPr>
              <w:spacing w:after="0" w:line="240" w:lineRule="atLeast"/>
              <w:jc w:val="left"/>
              <w:rPr>
                <w:rFonts w:eastAsia="Times New Roman"/>
                <w:noProof/>
                <w:color w:val="000000" w:themeColor="text1"/>
                <w:sz w:val="20"/>
                <w:szCs w:val="20"/>
              </w:rPr>
            </w:pPr>
            <w:r>
              <w:rPr>
                <w:noProof/>
                <w:color w:val="000000" w:themeColor="text1"/>
                <w:sz w:val="20"/>
              </w:rPr>
              <w:t>Öppna även generellt för inrättande av en ”internationell dag för landsbygdssamhällens försörjningsmöjligheter” men det kanske inte behövs en särskild resolution om detta; överväg också resurskonsekvenser.</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Föreslagna ändringar av konferensresolution 9.24 (Rev. CoP17) </w:t>
            </w:r>
            <w:r>
              <w:rPr>
                <w:rFonts w:eastAsia="Times New Roman"/>
                <w:noProof/>
                <w:color w:val="000000" w:themeColor="text1"/>
                <w:sz w:val="20"/>
                <w:szCs w:val="20"/>
              </w:rPr>
              <w:br/>
            </w:r>
            <w:r>
              <w:rPr>
                <w:noProof/>
                <w:color w:val="000000" w:themeColor="text1"/>
                <w:sz w:val="20"/>
                <w:u w:val="single"/>
              </w:rPr>
              <w:t>CoP18 Doc. 18.3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Idén om att inkludera någon typ av ”analys av försörjningsmöjligheter” i stöduttalande för listningsförslag (konferensresolution 9.24, bilaga 6) skulle kunna överväga</w:t>
            </w:r>
            <w:r>
              <w:rPr>
                <w:noProof/>
                <w:color w:val="000000" w:themeColor="text1"/>
                <w:sz w:val="20"/>
              </w:rPr>
              <w:t xml:space="preserve">s men tycks inte vara mogen för beslut vid CoP18; föreslagen formulering delvis oklar. </w:t>
            </w:r>
          </w:p>
          <w:p w:rsidR="00122B26" w:rsidRDefault="007F7137">
            <w:pPr>
              <w:spacing w:after="0" w:line="240" w:lineRule="atLeast"/>
              <w:jc w:val="left"/>
              <w:rPr>
                <w:rFonts w:eastAsia="Times New Roman"/>
                <w:noProof/>
                <w:color w:val="000000" w:themeColor="text1"/>
                <w:sz w:val="20"/>
                <w:szCs w:val="20"/>
              </w:rPr>
            </w:pPr>
            <w:r>
              <w:rPr>
                <w:i/>
                <w:noProof/>
                <w:color w:val="000000" w:themeColor="text1"/>
                <w:sz w:val="20"/>
              </w:rPr>
              <w:t>Överväg tillsammans med dokument 17.2.</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Livsmedelstrygghet</w:t>
            </w:r>
            <w:r>
              <w:rPr>
                <w:noProof/>
                <w:sz w:val="20"/>
                <w:szCs w:val="20"/>
              </w:rPr>
              <w:t xml:space="preserve"> och försörjningsmöjligheter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19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Invänd mot förnyelse av beslut, eftersom arbetsgruppen </w:t>
            </w:r>
            <w:r>
              <w:rPr>
                <w:noProof/>
                <w:color w:val="000000" w:themeColor="text1"/>
                <w:sz w:val="20"/>
              </w:rPr>
              <w:t>inte har gjort några framsteg och mycket likartade frågor tas upp under ”landsbygdssamhällen” och ”försörjningsmöjligheter”; stöd sekretariatets kommentarer.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sz w:val="20"/>
                <w:szCs w:val="20"/>
              </w:rPr>
              <w:t xml:space="preserve">Strategier för att </w:t>
            </w:r>
            <w:r>
              <w:rPr>
                <w:b/>
                <w:noProof/>
                <w:sz w:val="20"/>
                <w:szCs w:val="20"/>
              </w:rPr>
              <w:t>minska efterfrågan</w:t>
            </w:r>
            <w:r>
              <w:rPr>
                <w:noProof/>
                <w:sz w:val="20"/>
                <w:szCs w:val="20"/>
              </w:rPr>
              <w:t xml:space="preserve"> för att bekämpa olaglig handel med Cites-listade arter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20</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antagande av utkasten till beslut i bilaga 1 och godkänn strykning av besluten 17.44 till 17.48.</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lastRenderedPageBreak/>
              <w:t>21.</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b/>
                <w:noProof/>
                <w:sz w:val="20"/>
                <w:szCs w:val="20"/>
              </w:rPr>
              <w:t>Kapacitetsuppbyggnad</w:t>
            </w:r>
            <w:r>
              <w:rPr>
                <w:noProof/>
                <w:sz w:val="20"/>
                <w:szCs w:val="20"/>
              </w:rPr>
              <w:t xml:space="preserve"> och identifieringsmaterial</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Kapacitetsuppbyggnad och identifieringsmaterial </w:t>
            </w:r>
            <w:r>
              <w:rPr>
                <w:rFonts w:eastAsia="Times New Roman"/>
                <w:noProof/>
                <w:color w:val="000000" w:themeColor="text1"/>
                <w:sz w:val="20"/>
                <w:szCs w:val="20"/>
              </w:rPr>
              <w:br/>
            </w:r>
            <w:r>
              <w:rPr>
                <w:noProof/>
                <w:color w:val="000000" w:themeColor="text1"/>
                <w:sz w:val="20"/>
                <w:u w:val="single"/>
              </w:rPr>
              <w:t>CoP18 Doc. 21.1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AC/PC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utkast till beslut om att inrätta gemensam AC/PC-arbetsgrupper för identifiering av material; STÖD även sekretariatets förslag om att stryka beslut som omfattas av punkt 54.1.</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Aktiviteter för kapacitetsuppbyggnad specificeras i resolutioner och beslut </w:t>
            </w:r>
            <w:r>
              <w:rPr>
                <w:rFonts w:eastAsia="Times New Roman"/>
                <w:noProof/>
                <w:color w:val="000000" w:themeColor="text1"/>
                <w:sz w:val="20"/>
                <w:szCs w:val="20"/>
              </w:rPr>
              <w:br/>
            </w:r>
            <w:r>
              <w:rPr>
                <w:noProof/>
                <w:color w:val="000000" w:themeColor="text1"/>
                <w:sz w:val="20"/>
                <w:u w:val="single"/>
              </w:rPr>
              <w:t>CoP18 Doc. 21.2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antagande av utkasten till beslut (översyn, förbättring av Cites webbplats, onlinekurser på virtuellt college) med sekretariatets föreslagna </w:t>
            </w:r>
            <w:r>
              <w:rPr>
                <w:noProof/>
                <w:color w:val="000000" w:themeColor="text1"/>
                <w:sz w:val="20"/>
              </w:rPr>
              <w:t>ändringar.</w:t>
            </w:r>
          </w:p>
          <w:p w:rsidR="00122B26" w:rsidRDefault="007F7137">
            <w:pPr>
              <w:spacing w:before="0" w:after="0" w:line="240" w:lineRule="atLeast"/>
              <w:jc w:val="left"/>
              <w:rPr>
                <w:rFonts w:eastAsia="Times New Roman"/>
                <w:i/>
                <w:noProof/>
                <w:color w:val="000000" w:themeColor="text1"/>
                <w:sz w:val="20"/>
                <w:szCs w:val="20"/>
              </w:rPr>
            </w:pPr>
            <w:r>
              <w:rPr>
                <w:i/>
                <w:noProof/>
                <w:color w:val="000000" w:themeColor="text1"/>
                <w:sz w:val="20"/>
              </w:rPr>
              <w:t>Överväg tillsammans med 21.3, 28, 29.</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Ram för att underlätta samordning, transparens och ansvarsskyldighet för Cites kapacitetsuppbyggande insatser. </w:t>
            </w:r>
            <w:r>
              <w:rPr>
                <w:rFonts w:eastAsia="Times New Roman"/>
                <w:noProof/>
                <w:color w:val="000000" w:themeColor="text1"/>
                <w:sz w:val="20"/>
                <w:szCs w:val="20"/>
              </w:rPr>
              <w:br/>
            </w:r>
            <w:r>
              <w:rPr>
                <w:noProof/>
                <w:color w:val="000000" w:themeColor="text1"/>
                <w:sz w:val="20"/>
                <w:u w:val="single"/>
              </w:rPr>
              <w:t>CoP18 Doc. 21.3</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US</w:t>
            </w:r>
          </w:p>
        </w:tc>
        <w:tc>
          <w:tcPr>
            <w:tcW w:w="2410" w:type="dxa"/>
            <w:shd w:val="clear" w:color="auto" w:fill="auto"/>
            <w:tcMar>
              <w:top w:w="60" w:type="dxa"/>
              <w:left w:w="135" w:type="dxa"/>
              <w:bottom w:w="60" w:type="dxa"/>
              <w:right w:w="135" w:type="dxa"/>
            </w:tcMar>
            <w:vAlign w:val="center"/>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Värdefullt initiativ men det förefaller vara alltför tidigt att </w:t>
            </w:r>
            <w:r>
              <w:rPr>
                <w:noProof/>
                <w:color w:val="000000" w:themeColor="text1"/>
                <w:sz w:val="20"/>
              </w:rPr>
              <w:t>anta förslaget till resolution och ramen vid CoP18. Stöd i stället införlivande av relevanta element i 21.2, så som f</w:t>
            </w:r>
            <w:r>
              <w:rPr>
                <w:noProof/>
              </w:rPr>
              <w:t>öreslagits av sekretariatet, för övervägande av ständiga kommittén och CoP19.</w:t>
            </w:r>
          </w:p>
          <w:p w:rsidR="00122B26" w:rsidRDefault="007F7137">
            <w:pPr>
              <w:spacing w:before="0" w:after="0" w:line="240" w:lineRule="atLeast"/>
              <w:jc w:val="left"/>
              <w:rPr>
                <w:rFonts w:eastAsia="Times New Roman"/>
                <w:i/>
                <w:noProof/>
                <w:color w:val="000000" w:themeColor="text1"/>
                <w:sz w:val="20"/>
                <w:szCs w:val="20"/>
              </w:rPr>
            </w:pPr>
            <w:r>
              <w:rPr>
                <w:i/>
                <w:noProof/>
                <w:color w:val="000000" w:themeColor="text1"/>
                <w:sz w:val="20"/>
              </w:rPr>
              <w:t>Överväg tillsammans med dokumenten 21.2, 28.</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Förenta nationernas </w:t>
            </w:r>
            <w:r>
              <w:rPr>
                <w:b/>
                <w:noProof/>
                <w:color w:val="000000" w:themeColor="text1"/>
                <w:sz w:val="20"/>
              </w:rPr>
              <w:t>World Wildlife Day</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i/>
                <w:noProof/>
                <w:color w:val="000000" w:themeColor="text1"/>
                <w:sz w:val="20"/>
                <w:szCs w:val="20"/>
              </w:rPr>
            </w:pPr>
            <w:r>
              <w:rPr>
                <w:noProof/>
                <w:color w:val="000000" w:themeColor="text1"/>
                <w:sz w:val="20"/>
              </w:rPr>
              <w:t>Stöd utkastet till ändringar av konferensresolution 17.1 som uppmanar parterna och stater som inte är parter att utse en kontaktpunkt för att samordna firandet av World Wildlife Day.</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rPr>
              <w:t>Ungdomars</w:t>
            </w:r>
            <w:r>
              <w:rPr>
                <w:noProof/>
              </w:rPr>
              <w:t xml:space="preserve"> engagemang</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23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föreslagna ändringar av konferensresolution 17.5 om ungdomars engagemang (bilaga i) och stryk besluten 17.26 och 17.27.</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9207" w:type="dxa"/>
            <w:gridSpan w:val="8"/>
            <w:tcMar>
              <w:top w:w="60" w:type="dxa"/>
              <w:left w:w="135" w:type="dxa"/>
              <w:bottom w:w="60" w:type="dxa"/>
              <w:right w:w="135" w:type="dxa"/>
            </w:tcMar>
            <w:hideMark/>
          </w:tcPr>
          <w:p w:rsidR="00122B26" w:rsidRDefault="007F7137">
            <w:pPr>
              <w:spacing w:before="0" w:after="0" w:line="240" w:lineRule="atLeast"/>
              <w:jc w:val="left"/>
              <w:rPr>
                <w:rFonts w:eastAsia="Times New Roman"/>
                <w:b/>
                <w:bCs/>
                <w:noProof/>
                <w:color w:val="000000" w:themeColor="text1"/>
                <w:sz w:val="20"/>
                <w:szCs w:val="20"/>
              </w:rPr>
            </w:pPr>
            <w:r>
              <w:rPr>
                <w:b/>
                <w:noProof/>
                <w:color w:val="000000" w:themeColor="text1"/>
                <w:sz w:val="20"/>
              </w:rPr>
              <w:t>Frågor som rör tolkning och genomförande</w:t>
            </w: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u w:val="single"/>
              </w:rPr>
              <w:t>Befintliga resolutioner och beslut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7F7137">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24.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Översyn av </w:t>
            </w:r>
            <w:r>
              <w:rPr>
                <w:b/>
                <w:noProof/>
                <w:color w:val="000000" w:themeColor="text1"/>
                <w:sz w:val="20"/>
              </w:rPr>
              <w:t>resolutioner</w:t>
            </w:r>
            <w:r>
              <w:rPr>
                <w:rFonts w:eastAsia="Times New Roman"/>
                <w:noProof/>
                <w:color w:val="000000" w:themeColor="text1"/>
                <w:sz w:val="20"/>
                <w:szCs w:val="20"/>
              </w:rPr>
              <w:br/>
            </w:r>
            <w:r>
              <w:rPr>
                <w:noProof/>
                <w:color w:val="000000" w:themeColor="text1"/>
                <w:sz w:val="20"/>
                <w:u w:val="single"/>
              </w:rPr>
              <w:t>CoP18 Doc. 24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generellt ändringar av konferensresolution 4.6, </w:t>
            </w:r>
            <w:r>
              <w:rPr>
                <w:i/>
                <w:noProof/>
                <w:color w:val="000000" w:themeColor="text1"/>
                <w:sz w:val="20"/>
              </w:rPr>
              <w:t>Submission of documents</w:t>
            </w:r>
            <w:r>
              <w:rPr>
                <w:noProof/>
                <w:color w:val="000000" w:themeColor="text1"/>
                <w:sz w:val="20"/>
              </w:rPr>
              <w:t xml:space="preserve"> (inkl. om centraliserade finansieringsbeslut); se över föreslaget införlivande av dokument 14.19. Stöd ändringar av resolution 12.8, </w:t>
            </w:r>
            <w:r>
              <w:rPr>
                <w:i/>
                <w:noProof/>
                <w:color w:val="000000" w:themeColor="text1"/>
                <w:sz w:val="20"/>
              </w:rPr>
              <w:t>Review of Sign</w:t>
            </w:r>
            <w:r>
              <w:rPr>
                <w:i/>
                <w:noProof/>
                <w:color w:val="000000" w:themeColor="text1"/>
                <w:sz w:val="20"/>
              </w:rPr>
              <w:t>ificant Trade</w:t>
            </w:r>
            <w:r>
              <w:rPr>
                <w:noProof/>
                <w:color w:val="000000" w:themeColor="text1"/>
                <w:sz w:val="20"/>
              </w:rPr>
              <w:t xml:space="preserve"> (enligt SC70) och 14.3, </w:t>
            </w:r>
            <w:r>
              <w:rPr>
                <w:i/>
                <w:noProof/>
                <w:color w:val="000000" w:themeColor="text1"/>
                <w:sz w:val="20"/>
              </w:rPr>
              <w:t>Compliance procedures</w:t>
            </w:r>
            <w:r>
              <w:rPr>
                <w:noProof/>
                <w:color w:val="000000" w:themeColor="text1"/>
                <w:sz w:val="20"/>
              </w:rPr>
              <w:t xml:space="preserve"> (inkl. resolution 10.10).</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Översyn av </w:t>
            </w:r>
            <w:r>
              <w:rPr>
                <w:b/>
                <w:noProof/>
                <w:color w:val="000000" w:themeColor="text1"/>
                <w:sz w:val="20"/>
              </w:rPr>
              <w:t>beslut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i/>
                <w:noProof/>
                <w:color w:val="000000" w:themeColor="text1"/>
                <w:sz w:val="20"/>
                <w:szCs w:val="20"/>
              </w:rPr>
            </w:pPr>
            <w:r>
              <w:rPr>
                <w:i/>
                <w:noProof/>
                <w:color w:val="000000" w:themeColor="text1"/>
                <w:sz w:val="20"/>
              </w:rPr>
              <w:t> 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Allmän efterlevnad och tillsyn</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 xml:space="preserve">Nationella lagar </w:t>
            </w:r>
            <w:r>
              <w:rPr>
                <w:noProof/>
                <w:sz w:val="20"/>
                <w:szCs w:val="20"/>
              </w:rPr>
              <w:t>för konventionens genomförande</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Stöd uppsättningen av beslut men efterlys större klarhet om tidsfristerna och överväg att föreslå ytterligare åtgärder, för parter med lagstiftning i kategori 2 eller 3 att till sekretariatet lämna närmare uppgifter om åtgärder för ett effektivt geno</w:t>
            </w:r>
            <w:r>
              <w:rPr>
                <w:noProof/>
                <w:color w:val="000000" w:themeColor="text1"/>
                <w:sz w:val="20"/>
              </w:rPr>
              <w:t>mförande av konventionen.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Frågor som rör </w:t>
            </w:r>
            <w:r>
              <w:rPr>
                <w:b/>
                <w:noProof/>
                <w:color w:val="000000" w:themeColor="text1"/>
                <w:sz w:val="20"/>
              </w:rPr>
              <w:t>efterlevnaden</w:t>
            </w:r>
            <w:r>
              <w:rPr>
                <w:noProof/>
                <w:color w:val="000000" w:themeColor="text1"/>
                <w:sz w:val="20"/>
              </w:rPr>
              <w:t xml:space="preserve"> av Cites</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Stöd föreslagen ändring av konferensresolution 11.3 (Rev. CoP17) och antagande av utkast till beslut som syftar till att se över Cites tillståndspolicy och relaterade efterlevn</w:t>
            </w:r>
            <w:r>
              <w:rPr>
                <w:noProof/>
                <w:color w:val="000000" w:themeColor="text1"/>
                <w:sz w:val="20"/>
              </w:rPr>
              <w:t>adsfrågor.</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28.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b/>
                <w:noProof/>
                <w:color w:val="000000" w:themeColor="text1"/>
                <w:sz w:val="20"/>
                <w:szCs w:val="20"/>
              </w:rPr>
            </w:pPr>
            <w:r>
              <w:rPr>
                <w:b/>
                <w:noProof/>
                <w:color w:val="000000" w:themeColor="text1"/>
                <w:sz w:val="20"/>
              </w:rPr>
              <w:t>Biståndsprogram</w:t>
            </w:r>
            <w:r>
              <w:rPr>
                <w:noProof/>
                <w:color w:val="000000" w:themeColor="text1"/>
                <w:sz w:val="20"/>
              </w:rPr>
              <w:t xml:space="preserve"> för efterlevnad.</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generellt uppsättningen beslut som syftar till att inrätta ett biståndsprogram för efterlevnad för att hjälpa parter som sedan länge har svårt att efterleva konventionen och tillhörande </w:t>
            </w:r>
            <w:r>
              <w:rPr>
                <w:noProof/>
                <w:color w:val="000000" w:themeColor="text1"/>
                <w:sz w:val="20"/>
              </w:rPr>
              <w:t>rekommendationer från ständiga kommittén. Diskutera emellertid budgetkonsekvenserna av programmets inrättande.</w:t>
            </w:r>
          </w:p>
          <w:p w:rsidR="00122B26" w:rsidRDefault="007F7137">
            <w:pPr>
              <w:spacing w:before="0" w:after="0"/>
              <w:jc w:val="left"/>
              <w:rPr>
                <w:rFonts w:eastAsia="Times New Roman"/>
                <w:i/>
                <w:noProof/>
                <w:color w:val="000000" w:themeColor="text1"/>
                <w:sz w:val="20"/>
                <w:szCs w:val="20"/>
              </w:rPr>
            </w:pPr>
            <w:r>
              <w:rPr>
                <w:i/>
                <w:noProof/>
                <w:color w:val="000000" w:themeColor="text1"/>
                <w:sz w:val="20"/>
              </w:rPr>
              <w:t>Överväg tillsammans med dokument 21 och med budgetdokument.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29.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Landsomfattande</w:t>
            </w:r>
            <w:r>
              <w:rPr>
                <w:noProof/>
                <w:sz w:val="20"/>
                <w:szCs w:val="20"/>
              </w:rPr>
              <w:t xml:space="preserve"> granskningar av betydande handel </w:t>
            </w:r>
            <w:r>
              <w:rPr>
                <w:noProof/>
                <w:color w:val="000000" w:themeColor="text1"/>
                <w:sz w:val="20"/>
                <w:szCs w:val="20"/>
                <w:u w:val="single"/>
              </w:rPr>
              <w:t>CoP18 Doc. 29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AC/PC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mandat för sekretariatet att analysera och för kommittéerna att överväga alternativ, ge rekommendationer till CoP19.</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Efterlevnad i fråga om ebenholts (</w:t>
            </w:r>
            <w:r>
              <w:rPr>
                <w:i/>
                <w:noProof/>
                <w:color w:val="000000" w:themeColor="text1"/>
                <w:sz w:val="20"/>
              </w:rPr>
              <w:t xml:space="preserve">Diospyros </w:t>
            </w:r>
            <w:r>
              <w:rPr>
                <w:noProof/>
                <w:color w:val="000000" w:themeColor="text1"/>
                <w:sz w:val="20"/>
              </w:rPr>
              <w:t>spp.) och palisander (</w:t>
            </w:r>
            <w:r>
              <w:rPr>
                <w:i/>
                <w:noProof/>
                <w:color w:val="000000" w:themeColor="text1"/>
                <w:sz w:val="20"/>
              </w:rPr>
              <w:t xml:space="preserve">Dalbergia </w:t>
            </w:r>
            <w:r>
              <w:rPr>
                <w:noProof/>
                <w:color w:val="000000" w:themeColor="text1"/>
                <w:sz w:val="20"/>
              </w:rPr>
              <w:t xml:space="preserve">spp.) från </w:t>
            </w:r>
            <w:r>
              <w:rPr>
                <w:b/>
                <w:noProof/>
                <w:color w:val="000000" w:themeColor="text1"/>
                <w:sz w:val="20"/>
              </w:rPr>
              <w:t>Madagaskar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w:t>
            </w:r>
            <w:r>
              <w:rPr>
                <w:noProof/>
                <w:color w:val="000000" w:themeColor="text1"/>
                <w:sz w:val="20"/>
              </w:rPr>
              <w:t>Madagaskar.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noProof/>
                <w:color w:val="000000" w:themeColor="text1"/>
                <w:sz w:val="20"/>
                <w:szCs w:val="20"/>
              </w:rPr>
            </w:pPr>
            <w:r>
              <w:rPr>
                <w:noProof/>
                <w:color w:val="000000" w:themeColor="text1"/>
                <w:sz w:val="20"/>
              </w:rPr>
              <w:t>Notera.</w:t>
            </w:r>
          </w:p>
          <w:p w:rsidR="00122B26" w:rsidRDefault="007F7137">
            <w:pPr>
              <w:spacing w:before="0" w:after="0"/>
              <w:jc w:val="left"/>
              <w:rPr>
                <w:rFonts w:eastAsia="Times New Roman"/>
                <w:i/>
                <w:noProof/>
                <w:color w:val="000000" w:themeColor="text1"/>
                <w:sz w:val="20"/>
                <w:szCs w:val="20"/>
              </w:rPr>
            </w:pPr>
            <w:r>
              <w:rPr>
                <w:i/>
                <w:noProof/>
                <w:color w:val="000000" w:themeColor="text1"/>
                <w:sz w:val="20"/>
              </w:rPr>
              <w:t>Överväg tillsammans med dokument 30.2.</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30.2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ständiga kommittén </w:t>
            </w:r>
            <w:r>
              <w:rPr>
                <w:noProof/>
                <w:color w:val="000000" w:themeColor="text1"/>
                <w:sz w:val="20"/>
                <w:u w:val="single"/>
              </w:rPr>
              <w:t>CoP18 Doc. 30.2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men var fortsatt vaksam på behovet av att inte fokusera alla diskussioner på den nyttjandeplan som föreslagits av Madagaskar. </w:t>
            </w:r>
            <w:r>
              <w:rPr>
                <w:noProof/>
                <w:color w:val="000000" w:themeColor="text1"/>
                <w:sz w:val="20"/>
              </w:rPr>
              <w:t>Uppmana till ett starkt fokus på behovet av kraftfullare brottsbekämpande insatser för att motverka olaglig skogsavverkning och upplösa smugglingsnätverk. Föreslå en ändring av utkastet till beslut 18.BB för att beakta UNODC:s rekommendationer i frågan frå</w:t>
            </w:r>
            <w:r>
              <w:rPr>
                <w:noProof/>
                <w:color w:val="000000" w:themeColor="text1"/>
                <w:sz w:val="20"/>
              </w:rPr>
              <w:t>n 2017, och inför försiktighetsformuleringar för att se till att eventuella framtida planer är tillräckligt säkra.</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Inhemska marknader</w:t>
            </w:r>
            <w:r>
              <w:rPr>
                <w:noProof/>
                <w:sz w:val="20"/>
                <w:szCs w:val="20"/>
              </w:rPr>
              <w:t xml:space="preserve"> för exemplar som ofta är föremål för olaglig handel </w:t>
            </w:r>
            <w:r>
              <w:rPr>
                <w:noProof/>
                <w:color w:val="000000" w:themeColor="text1"/>
                <w:sz w:val="20"/>
                <w:szCs w:val="20"/>
                <w:u w:val="single"/>
              </w:rPr>
              <w:t>CoP18 Doc. 31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föreslagen ändring av konferensresolution</w:t>
            </w:r>
            <w:r>
              <w:rPr>
                <w:noProof/>
                <w:color w:val="000000" w:themeColor="text1"/>
                <w:sz w:val="20"/>
              </w:rPr>
              <w:t xml:space="preserve"> 10.10 (Rev. CoP17) och utkast till reviderade beslut 17.87–17.88, bl.a. om inhemska kontroller av produkter av vilda djur och växter utöver elefantelfenben.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Efterlevnads</w:t>
            </w:r>
            <w:r>
              <w:rPr>
                <w:noProof/>
                <w:sz w:val="20"/>
                <w:szCs w:val="20"/>
              </w:rPr>
              <w:t xml:space="preserve">frågor </w:t>
            </w:r>
            <w:r>
              <w:rPr>
                <w:noProof/>
                <w:color w:val="000000" w:themeColor="text1"/>
                <w:sz w:val="20"/>
                <w:szCs w:val="20"/>
                <w:u w:val="single"/>
              </w:rPr>
              <w:t>CoP18 Doc. 32</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föreslagna utkast till beslut och föreslagen </w:t>
            </w:r>
            <w:r>
              <w:rPr>
                <w:noProof/>
                <w:color w:val="000000" w:themeColor="text1"/>
                <w:sz w:val="20"/>
              </w:rPr>
              <w:t>ändring av konferensresolution 11.3 (Rev.COP17). Godkänn strykning av besluten 17.83 till 17.85.</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Bekämpa </w:t>
            </w:r>
            <w:r>
              <w:rPr>
                <w:b/>
                <w:noProof/>
                <w:color w:val="000000" w:themeColor="text1"/>
                <w:sz w:val="20"/>
              </w:rPr>
              <w:t>cyberbrottslighet</w:t>
            </w:r>
            <w:r>
              <w:rPr>
                <w:noProof/>
                <w:color w:val="000000" w:themeColor="text1"/>
                <w:sz w:val="20"/>
              </w:rPr>
              <w:t xml:space="preserve"> som rör vilda djur och växter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sekretariatet </w:t>
            </w:r>
            <w:r>
              <w:rPr>
                <w:noProof/>
                <w:color w:val="000000" w:themeColor="text1"/>
                <w:sz w:val="20"/>
                <w:u w:val="single"/>
              </w:rPr>
              <w:t>CoP18 Doc. 33.1</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noProof/>
                <w:color w:val="000000" w:themeColor="text1"/>
                <w:sz w:val="20"/>
              </w:rPr>
              <w:t xml:space="preserve">Stöd föreslagna utkast till beslut.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ständiga kommittén </w:t>
            </w:r>
            <w:r>
              <w:rPr>
                <w:noProof/>
                <w:color w:val="000000" w:themeColor="text1"/>
                <w:sz w:val="20"/>
                <w:u w:val="single"/>
              </w:rPr>
              <w:t>CoP18 Doc. 33.2</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föreslagna ändringar av konferensresolution 11.3 (Rev. COP17) och antagande av utkasten till beslut i deras ändrade lydelse enligt sekretariatet. Godkänn strykning av besluten 17.94 till 17.96.</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Stöd brottsbekämpande insatser mot naturvårdsbrott i </w:t>
            </w:r>
            <w:r>
              <w:rPr>
                <w:b/>
                <w:noProof/>
                <w:color w:val="000000" w:themeColor="text1"/>
                <w:sz w:val="20"/>
              </w:rPr>
              <w:t>Väst- och Centralafrika</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Bortskaffande av </w:t>
            </w:r>
            <w:r>
              <w:rPr>
                <w:b/>
                <w:noProof/>
                <w:color w:val="000000" w:themeColor="text1"/>
                <w:sz w:val="20"/>
              </w:rPr>
              <w:t>konfiskerade exemplar</w:t>
            </w:r>
            <w:r>
              <w:rPr>
                <w:noProof/>
                <w:color w:val="000000" w:themeColor="text1"/>
                <w:sz w:val="20"/>
              </w:rPr>
              <w:t xml:space="preserve"> </w:t>
            </w:r>
            <w:r>
              <w:rPr>
                <w:noProof/>
                <w:color w:val="000000" w:themeColor="text1"/>
                <w:sz w:val="20"/>
                <w:u w:val="single"/>
              </w:rPr>
              <w:t>CoP18 Doc. 35</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noProof/>
                <w:color w:val="000000" w:themeColor="text1"/>
                <w:sz w:val="20"/>
              </w:rPr>
              <w:t>Stöd strykning av besluten 17.118 och 17.119 samt antagande av föreslagna utkast till beslut. Invänd mot eventuella tillägg som skulle äventyra känslig information om räddningscenter, eller som skulle leda till ytterligare skyldigheter för parterna. Invänd</w:t>
            </w:r>
            <w:r>
              <w:rPr>
                <w:noProof/>
                <w:color w:val="000000" w:themeColor="text1"/>
                <w:sz w:val="20"/>
              </w:rPr>
              <w:t xml:space="preserve"> även mot ett potentiellt återupptagande av arbetsgruppen inom ständiga kommittén.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Lagring och hantering av </w:t>
            </w:r>
            <w:r>
              <w:rPr>
                <w:b/>
                <w:noProof/>
                <w:color w:val="000000" w:themeColor="text1"/>
                <w:sz w:val="20"/>
              </w:rPr>
              <w:t>data om olaglig handel</w:t>
            </w:r>
            <w:r>
              <w:rPr>
                <w:noProof/>
                <w:color w:val="000000" w:themeColor="text1"/>
                <w:sz w:val="20"/>
              </w:rPr>
              <w:t xml:space="preserve"> som samlats in genom parternas årliga rapporter om olaglig handel </w:t>
            </w:r>
            <w:r>
              <w:rPr>
                <w:noProof/>
                <w:color w:val="000000" w:themeColor="text1"/>
                <w:sz w:val="20"/>
                <w:u w:val="single"/>
              </w:rPr>
              <w:t>CoP18 Doc. 36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Generellt stöd för principen om </w:t>
            </w:r>
            <w:r>
              <w:rPr>
                <w:noProof/>
                <w:color w:val="000000" w:themeColor="text1"/>
                <w:sz w:val="20"/>
              </w:rPr>
              <w:t>mer systematisk lagring och hantering av data om olaglig handel som samlats in genom årliga rapporter om olaglig handel. Dela sekretariatets oro över det begränsade mervärdet av en sådan databas om långsiktig finansiering inte säkerställs och om endast ett</w:t>
            </w:r>
            <w:r>
              <w:rPr>
                <w:noProof/>
                <w:color w:val="000000" w:themeColor="text1"/>
                <w:sz w:val="20"/>
              </w:rPr>
              <w:t xml:space="preserve"> begränsat antal parter faktiskt rapporterar och tillhandahåller data. Överväg att föreslå formuleringar för att uppmuntra parterna att mer systematiskt lämna in årliga rapporter om olaglig handel.</w:t>
            </w:r>
          </w:p>
          <w:p w:rsidR="00122B26" w:rsidRDefault="007F7137">
            <w:pPr>
              <w:spacing w:before="0" w:after="0"/>
              <w:jc w:val="left"/>
              <w:rPr>
                <w:rFonts w:eastAsia="Times New Roman"/>
                <w:i/>
                <w:noProof/>
                <w:color w:val="000000" w:themeColor="text1"/>
                <w:sz w:val="20"/>
                <w:szCs w:val="20"/>
              </w:rPr>
            </w:pPr>
            <w:r>
              <w:rPr>
                <w:i/>
                <w:noProof/>
                <w:color w:val="000000" w:themeColor="text1"/>
                <w:sz w:val="20"/>
              </w:rPr>
              <w:t>Överväg tillsammans med budgetdokument.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37.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Arbetsförhållanden för </w:t>
            </w:r>
            <w:r>
              <w:rPr>
                <w:b/>
                <w:noProof/>
                <w:color w:val="000000" w:themeColor="text1"/>
                <w:sz w:val="20"/>
              </w:rPr>
              <w:t>parkvakter</w:t>
            </w:r>
            <w:r>
              <w:rPr>
                <w:noProof/>
                <w:color w:val="000000" w:themeColor="text1"/>
                <w:sz w:val="20"/>
              </w:rPr>
              <w:t xml:space="preserve"> och konsekvenser för genomförandet av Cites CoP18 Doc. 37</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Välkomna rapporten och erkänn frågans betydelse.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u w:val="single"/>
              </w:rPr>
              <w:t>Reglering av handeln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38.</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Utseende av </w:t>
            </w:r>
            <w:r>
              <w:rPr>
                <w:b/>
                <w:noProof/>
                <w:color w:val="000000" w:themeColor="text1"/>
                <w:sz w:val="20"/>
              </w:rPr>
              <w:t>förvaltningsmyndigheter</w:t>
            </w:r>
            <w:r>
              <w:rPr>
                <w:noProof/>
                <w:color w:val="000000" w:themeColor="text1"/>
                <w:sz w:val="20"/>
              </w:rPr>
              <w:t xml:space="preserve"> och deras roller </w:t>
            </w:r>
            <w:r>
              <w:rPr>
                <w:noProof/>
                <w:color w:val="000000" w:themeColor="text1"/>
                <w:sz w:val="20"/>
                <w:u w:val="single"/>
              </w:rPr>
              <w:t>CoP18 Doc. 38</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generellt föreslagen resolution. Det behövs en närmare granskning av vissa aspekter av texten.</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Vägledning för att </w:t>
            </w:r>
            <w:r>
              <w:rPr>
                <w:b/>
                <w:noProof/>
                <w:color w:val="000000" w:themeColor="text1"/>
                <w:sz w:val="20"/>
              </w:rPr>
              <w:t>fastställa lagligt förvärv</w:t>
            </w:r>
            <w:r>
              <w:rPr>
                <w:noProof/>
                <w:color w:val="000000" w:themeColor="text1"/>
                <w:sz w:val="20"/>
              </w:rPr>
              <w:t xml:space="preserve"> </w:t>
            </w:r>
            <w:r>
              <w:rPr>
                <w:noProof/>
                <w:color w:val="000000" w:themeColor="text1"/>
                <w:sz w:val="20"/>
                <w:u w:val="single"/>
              </w:rPr>
              <w:t>CoP18 Doc. 39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noProof/>
                <w:color w:val="000000" w:themeColor="text1"/>
                <w:sz w:val="20"/>
              </w:rPr>
              <w:t xml:space="preserve">Stöd utkast till resolution. </w:t>
            </w:r>
            <w:r>
              <w:rPr>
                <w:rFonts w:eastAsia="Times New Roman"/>
                <w:noProof/>
                <w:color w:val="000000" w:themeColor="text1"/>
                <w:sz w:val="20"/>
                <w:szCs w:val="20"/>
              </w:rPr>
              <w:br/>
            </w:r>
            <w:r>
              <w:rPr>
                <w:i/>
                <w:noProof/>
                <w:color w:val="000000" w:themeColor="text1"/>
                <w:sz w:val="20"/>
              </w:rPr>
              <w:t>Överväg tillsammans med dokument 40.</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 xml:space="preserve">Tillbörlig </w:t>
            </w:r>
            <w:r>
              <w:rPr>
                <w:b/>
                <w:noProof/>
                <w:sz w:val="20"/>
                <w:szCs w:val="20"/>
              </w:rPr>
              <w:t>aktsamhet</w:t>
            </w:r>
            <w:r>
              <w:rPr>
                <w:noProof/>
                <w:sz w:val="20"/>
                <w:szCs w:val="20"/>
              </w:rPr>
              <w:t xml:space="preserve"> hos Cites parter och skyldigheter för importerande länder</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US</w:t>
            </w:r>
          </w:p>
        </w:tc>
        <w:tc>
          <w:tcPr>
            <w:tcW w:w="2410" w:type="dxa"/>
            <w:shd w:val="clear" w:color="auto" w:fill="auto"/>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allmänt syftet och strategin. Det behövs en närmare granskning av vissa aspekter av de föreslagna ändringarna av konferensresolution 11.3.</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Elektroniska system</w:t>
            </w:r>
            <w:r>
              <w:rPr>
                <w:noProof/>
                <w:sz w:val="20"/>
                <w:szCs w:val="20"/>
              </w:rPr>
              <w:t xml:space="preserve"> och informationsteknik </w:t>
            </w:r>
            <w:r>
              <w:rPr>
                <w:noProof/>
                <w:color w:val="000000" w:themeColor="text1"/>
                <w:sz w:val="20"/>
                <w:szCs w:val="20"/>
                <w:u w:val="single"/>
              </w:rPr>
              <w:t>CoP18 Doc. 41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Stödja de föreslagna utkasten till beslut som ska ersätta besluten 17.156 till 17.159 för att bedöma nyttan och genomförbarheten av </w:t>
            </w:r>
            <w:r>
              <w:rPr>
                <w:i/>
                <w:noProof/>
                <w:color w:val="000000" w:themeColor="text1"/>
                <w:sz w:val="20"/>
              </w:rPr>
              <w:t>eCites genomföranderam</w:t>
            </w:r>
            <w:r>
              <w:rPr>
                <w:noProof/>
                <w:color w:val="000000" w:themeColor="text1"/>
                <w:sz w:val="20"/>
              </w:rPr>
              <w:t xml:space="preserve"> och förnya arbetsgruppens mandat.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Spårbarhet</w:t>
            </w:r>
            <w:r>
              <w:rPr>
                <w:noProof/>
                <w:sz w:val="20"/>
                <w:szCs w:val="20"/>
              </w:rPr>
              <w:t xml:space="preserve"> </w:t>
            </w:r>
            <w:r>
              <w:rPr>
                <w:noProof/>
                <w:sz w:val="20"/>
                <w:szCs w:val="20"/>
                <w:u w:val="single"/>
              </w:rPr>
              <w:t xml:space="preserve">CoP18 </w:t>
            </w:r>
            <w:r>
              <w:rPr>
                <w:noProof/>
                <w:sz w:val="20"/>
                <w:szCs w:val="20"/>
                <w:u w:val="single"/>
              </w:rPr>
              <w:t>Doc. 42</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Sec., SC ordförande, MX och CH som ordförande i arbetsgruppen för spårbarhet, mellan sammanträdena</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Godkänn arbetsdefinitionen av spårbarhet inom ramen för Cites, och stöd antagandet av utkasten till beslut i bilaga 1, inklusive sekretariatets föres</w:t>
            </w:r>
            <w:r>
              <w:rPr>
                <w:noProof/>
                <w:color w:val="000000" w:themeColor="text1"/>
                <w:sz w:val="20"/>
              </w:rPr>
              <w:t>lagna ändringar.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Exemplar som framställts av </w:t>
            </w:r>
            <w:r>
              <w:rPr>
                <w:b/>
                <w:noProof/>
                <w:color w:val="000000" w:themeColor="text1"/>
                <w:sz w:val="20"/>
              </w:rPr>
              <w:t>syntetiskt eller odlat DNA</w:t>
            </w:r>
            <w:r>
              <w:rPr>
                <w:noProof/>
                <w:color w:val="000000" w:themeColor="text1"/>
                <w:sz w:val="20"/>
              </w:rPr>
              <w:t xml:space="preserve"> </w:t>
            </w:r>
            <w:r>
              <w:rPr>
                <w:noProof/>
                <w:color w:val="000000" w:themeColor="text1"/>
                <w:sz w:val="20"/>
                <w:u w:val="single"/>
              </w:rPr>
              <w:t>CoP18 Doc. 43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utkasten till beslut i deras ändrade lydelse enligt sekretariatet, och ersättningsbesluten 17.89–17.91, för att fortsätta att bedöma konsekvenserna av </w:t>
            </w:r>
            <w:r>
              <w:rPr>
                <w:noProof/>
                <w:color w:val="000000" w:themeColor="text1"/>
                <w:sz w:val="20"/>
              </w:rPr>
              <w:t>exemplar framställda genom bioteknik som kan påverka tolkningen och genomförandet av konventionen. Några av besluten kan behöva bearbetas för att bli tydligare.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lastRenderedPageBreak/>
              <w:t>44.</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Definition av termen </w:t>
            </w:r>
            <w:r>
              <w:rPr>
                <w:b/>
                <w:noProof/>
                <w:color w:val="000000" w:themeColor="text1"/>
                <w:sz w:val="20"/>
              </w:rPr>
              <w:t>”lämpliga och godtagbara destinationer”</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från ständiga kommittén </w:t>
            </w:r>
            <w:r>
              <w:rPr>
                <w:noProof/>
                <w:color w:val="000000" w:themeColor="text1"/>
                <w:sz w:val="20"/>
                <w:u w:val="single"/>
              </w:rPr>
              <w:t>CoP18 Doc. 44.1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rekommendationerna och utkasten till beslut som rör definitionen av termen ”lämpliga och godtagbara destinationer”. Några ändringar i texten kan dock behövas för att undvika feltolkning.</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Internationell handel med levande afrikanska elefanter: Föreslagen revidering av konferensresolution 11.20 (Rev. CoP17) om </w:t>
            </w:r>
            <w:r>
              <w:rPr>
                <w:i/>
                <w:noProof/>
                <w:color w:val="000000" w:themeColor="text1"/>
                <w:sz w:val="20"/>
              </w:rPr>
              <w:t xml:space="preserve">Definition of the term 'appropriate and acceptable destinations' </w:t>
            </w:r>
            <w:r>
              <w:rPr>
                <w:rFonts w:eastAsia="Times New Roman"/>
                <w:i/>
                <w:iCs/>
                <w:noProof/>
                <w:color w:val="000000" w:themeColor="text1"/>
                <w:sz w:val="20"/>
                <w:szCs w:val="20"/>
              </w:rPr>
              <w:br/>
            </w:r>
            <w:r>
              <w:rPr>
                <w:noProof/>
                <w:color w:val="000000" w:themeColor="text1"/>
                <w:sz w:val="20"/>
                <w:u w:val="single"/>
              </w:rPr>
              <w:t>CoP18 Doc. 44.2</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BF, JO, LB, LR, NE, NG, SD, SY</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Dokumentet föreslår </w:t>
            </w:r>
            <w:r>
              <w:rPr>
                <w:noProof/>
                <w:color w:val="000000" w:themeColor="text1"/>
                <w:sz w:val="20"/>
              </w:rPr>
              <w:t xml:space="preserve">att konferensresolution 11.20 ändras så att levande afrikanska elefanter endast får flyttas till in situ-bevarandeprogram inom deras naturliga utbredningsområde, för att därigenom utesluta handel med vildfångade afrikanska elefanter till destinationer för </w:t>
            </w:r>
            <w:r>
              <w:rPr>
                <w:noProof/>
                <w:color w:val="000000" w:themeColor="text1"/>
                <w:sz w:val="20"/>
              </w:rPr>
              <w:t>användning i fångenskap ex situ, även om detta skulle främja bevarandeändamål. Överväg även i relation till den nuvarande ordningen för exemplar upptagna i bilaga I.</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Icke-skadlighetsrekvisit</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45</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föreslagna utkast till beslut som</w:t>
            </w:r>
            <w:r>
              <w:rPr>
                <w:noProof/>
                <w:color w:val="000000" w:themeColor="text1"/>
                <w:sz w:val="20"/>
              </w:rPr>
              <w:t xml:space="preserve"> syftar till att åtgärda brister och parternas behov av att fastställa icke-skadlighetsrekvisit, och som stöder genomförandet av konferensresolution 16.7 (Rev. CoP17). Stöd för en andra internationell workshop om icke-skadlighetsrekvisit.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Kvoter för </w:t>
            </w:r>
            <w:r>
              <w:rPr>
                <w:b/>
                <w:noProof/>
                <w:color w:val="000000" w:themeColor="text1"/>
                <w:sz w:val="20"/>
              </w:rPr>
              <w:t>jakttroféer av leopard</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i/>
                <w:noProof/>
                <w:color w:val="000000" w:themeColor="text1"/>
                <w:sz w:val="20"/>
                <w:szCs w:val="20"/>
              </w:rPr>
            </w:pPr>
            <w:r>
              <w:rPr>
                <w:i/>
                <w:noProof/>
                <w:color w:val="000000" w:themeColor="text1"/>
                <w:sz w:val="20"/>
              </w:rPr>
              <w:t> Inget dokument tillgängligt den 13 februari.</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47.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Ökning av kvoter för </w:t>
            </w:r>
            <w:r>
              <w:rPr>
                <w:b/>
                <w:noProof/>
                <w:color w:val="000000" w:themeColor="text1"/>
                <w:sz w:val="20"/>
              </w:rPr>
              <w:t>jakttroféer av skruvhornsget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47</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rsidR="00122B26" w:rsidRDefault="007F7137">
            <w:pPr>
              <w:spacing w:before="0" w:after="0"/>
              <w:rPr>
                <w:rFonts w:eastAsia="Times New Roman"/>
                <w:noProof/>
                <w:color w:val="000000" w:themeColor="text1"/>
                <w:sz w:val="20"/>
                <w:szCs w:val="20"/>
              </w:rPr>
            </w:pPr>
            <w:r>
              <w:rPr>
                <w:noProof/>
                <w:color w:val="000000" w:themeColor="text1"/>
                <w:sz w:val="20"/>
              </w:rPr>
              <w:t xml:space="preserve">Stöd en ökning av kvoterna för jakttroféer från skruvhornsget i Pakistan från 12 till 20 djur per år, om Pakistan lämnar mer information om vilka nya samhällen/områden som kommer att ansluta sig till det samhällsbaserade troféjaktprogrammet. </w:t>
            </w:r>
          </w:p>
          <w:p w:rsidR="00122B26" w:rsidRDefault="007F7137">
            <w:pPr>
              <w:spacing w:before="0" w:after="0"/>
              <w:jc w:val="left"/>
              <w:rPr>
                <w:rFonts w:eastAsia="Times New Roman"/>
                <w:i/>
                <w:noProof/>
                <w:color w:val="000000" w:themeColor="text1"/>
                <w:sz w:val="20"/>
                <w:szCs w:val="20"/>
              </w:rPr>
            </w:pPr>
            <w:r>
              <w:rPr>
                <w:i/>
                <w:noProof/>
                <w:color w:val="000000" w:themeColor="text1"/>
                <w:sz w:val="20"/>
              </w:rPr>
              <w:t>Överväg tills</w:t>
            </w:r>
            <w:r>
              <w:rPr>
                <w:i/>
                <w:noProof/>
                <w:color w:val="000000" w:themeColor="text1"/>
                <w:sz w:val="20"/>
              </w:rPr>
              <w:t>ammans med listningsförslag nr 1.</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Jakttroféer av spetsnoshörning</w:t>
            </w:r>
            <w:r>
              <w:rPr>
                <w:noProof/>
                <w:color w:val="000000" w:themeColor="text1"/>
                <w:sz w:val="20"/>
              </w:rPr>
              <w:t xml:space="preserve"> Exportkvot för Sydafrika</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Den föreslagna ökningen av kvoten från nuvarande 5 vuxna hanar av spetsnoshörning till högst 0,5 % av landets totala population förefaller rimlig, om den</w:t>
            </w:r>
            <w:r>
              <w:rPr>
                <w:noProof/>
                <w:color w:val="000000" w:themeColor="text1"/>
                <w:sz w:val="20"/>
              </w:rPr>
              <w:t xml:space="preserve"> översätts till årligt offentliggörande av specifik kvot (absolut antal exemplar) i Sydafrika.</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49.</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Konsekvenser av överföringen av en art till </w:t>
            </w:r>
            <w:r>
              <w:rPr>
                <w:b/>
                <w:noProof/>
                <w:color w:val="000000" w:themeColor="text1"/>
                <w:sz w:val="20"/>
              </w:rPr>
              <w:t>bilaga I</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7F7137">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Sekretariatets rapport</w:t>
            </w:r>
            <w:r>
              <w:rPr>
                <w:rFonts w:eastAsia="Times New Roman"/>
                <w:noProof/>
                <w:color w:val="000000" w:themeColor="text1"/>
                <w:sz w:val="20"/>
                <w:szCs w:val="20"/>
              </w:rPr>
              <w:br/>
            </w:r>
            <w:r>
              <w:rPr>
                <w:noProof/>
                <w:color w:val="000000" w:themeColor="text1"/>
                <w:sz w:val="20"/>
                <w:u w:val="single"/>
              </w:rPr>
              <w:t>CoP18 Doc. 49.1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ändringar av konferensresolution </w:t>
            </w:r>
            <w:r>
              <w:rPr>
                <w:noProof/>
                <w:color w:val="000000" w:themeColor="text1"/>
                <w:sz w:val="20"/>
              </w:rPr>
              <w:t>12.3, för att klargöra att efter upplistning av en art är de tillämpliga reglerna de som gäller vid tidpunkten för handel (inte vid tidpunkten för uttaget), och konferensresolution 13.6. Analysera vidare förslaget om att införa en ny punkt 11 i konferensre</w:t>
            </w:r>
            <w:r>
              <w:rPr>
                <w:noProof/>
                <w:color w:val="000000" w:themeColor="text1"/>
                <w:sz w:val="20"/>
              </w:rPr>
              <w:t>solution 12.3 och utkastet till förslag om att ständiga kommittén ska överväga behovet av vägledning under övergångsperioden, inbegripet mellan beslutet om listning och ikraftträdandet, och att ständiga kommittén ska undersöka särskilda villkor för växtart</w:t>
            </w:r>
            <w:r>
              <w:rPr>
                <w:noProof/>
                <w:color w:val="000000" w:themeColor="text1"/>
                <w:sz w:val="20"/>
              </w:rPr>
              <w:t>er som försetts med anmärkningar i en not, inklusive arter som ger timmer.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Handel med ”prekonventionella bilaga I”-exemplar</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CoP18 Doc. 49.2</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Införliva i de ändringar som föreslås i dokument 49.1.</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Ändringar av konferensresolution 10.13 (Rev. CoP15) om </w:t>
            </w:r>
            <w:r>
              <w:rPr>
                <w:b/>
                <w:i/>
                <w:noProof/>
                <w:color w:val="000000" w:themeColor="text1"/>
                <w:sz w:val="20"/>
                <w:szCs w:val="20"/>
              </w:rPr>
              <w:t>Implementation</w:t>
            </w:r>
            <w:r>
              <w:rPr>
                <w:i/>
                <w:noProof/>
                <w:color w:val="000000" w:themeColor="text1"/>
                <w:sz w:val="20"/>
                <w:szCs w:val="20"/>
              </w:rPr>
              <w:t xml:space="preserve"> of the Convention for </w:t>
            </w:r>
            <w:r>
              <w:rPr>
                <w:b/>
                <w:i/>
                <w:noProof/>
                <w:color w:val="000000" w:themeColor="text1"/>
                <w:sz w:val="20"/>
                <w:szCs w:val="20"/>
              </w:rPr>
              <w:t>timber</w:t>
            </w:r>
            <w:r>
              <w:rPr>
                <w:i/>
                <w:noProof/>
                <w:color w:val="000000" w:themeColor="text1"/>
                <w:sz w:val="20"/>
                <w:szCs w:val="20"/>
              </w:rPr>
              <w:t xml:space="preserve"> species</w:t>
            </w:r>
            <w:r>
              <w:rPr>
                <w:rFonts w:eastAsia="Times New Roman"/>
                <w:i/>
                <w:iCs/>
                <w:noProof/>
                <w:color w:val="000000" w:themeColor="text1"/>
                <w:sz w:val="20"/>
                <w:szCs w:val="20"/>
              </w:rPr>
              <w:br/>
            </w:r>
            <w:hyperlink r:id="rId13">
              <w:r>
                <w:rPr>
                  <w:noProof/>
                  <w:color w:val="000000" w:themeColor="text1"/>
                  <w:sz w:val="20"/>
                  <w:szCs w:val="20"/>
                  <w:u w:val="single"/>
                </w:rPr>
                <w:t>CoP18 Doc. 50</w:t>
              </w:r>
            </w:hyperlink>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men föreslå att det införs en </w:t>
            </w:r>
            <w:r>
              <w:rPr>
                <w:noProof/>
                <w:color w:val="000000" w:themeColor="text1"/>
                <w:sz w:val="20"/>
              </w:rPr>
              <w:t>hänvisning till behovet av att basera icke-skadlighetsrekvisit på adekvata omvandlingsfaktorer, och att andra mindre ändringar görs.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Lager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51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fortsatt arbete mellan mötena med ett tydligare definierat mandat, med undantag för </w:t>
            </w:r>
            <w:r>
              <w:rPr>
                <w:noProof/>
                <w:color w:val="000000" w:themeColor="text1"/>
                <w:sz w:val="20"/>
              </w:rPr>
              <w:t>hantering av lager.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Införande från havet</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52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förnyat mandat för sekretariatet att övervaka genomförandet av konferensresolution 14.6 och rapportera om förhandlingarna om marin biologisk mångfald i områden utanför nationell </w:t>
            </w:r>
            <w:r>
              <w:rPr>
                <w:noProof/>
                <w:color w:val="000000" w:themeColor="text1"/>
                <w:sz w:val="20"/>
              </w:rPr>
              <w:t>jurisdiktion (marine biological diversity of areas beyond national jurisdiction, BBNJ); SC ska se över informationen.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 xml:space="preserve">Koder för syfte </w:t>
            </w:r>
            <w:r>
              <w:rPr>
                <w:noProof/>
                <w:sz w:val="20"/>
                <w:szCs w:val="20"/>
              </w:rPr>
              <w:t>på Cites-tillstånd och Cites-intyg</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53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Preliminärt stöd för utkast till ändringar av beslut 14.54 och av konferensresolution 12.3 (Rev. CoP17) om </w:t>
            </w:r>
            <w:r>
              <w:rPr>
                <w:i/>
                <w:noProof/>
                <w:color w:val="000000" w:themeColor="text1"/>
                <w:sz w:val="20"/>
              </w:rPr>
              <w:t>Permits and certificates</w:t>
            </w:r>
            <w:r>
              <w:rPr>
                <w:noProof/>
                <w:color w:val="000000" w:themeColor="text1"/>
                <w:sz w:val="20"/>
              </w:rPr>
              <w:t>; dubbelkontrollera mot bakgrund av kommande kommentarer från sekretariatet. Ifrågasätt behovet av en ny arbetsgrupp mellan m</w:t>
            </w:r>
            <w:r>
              <w:rPr>
                <w:noProof/>
                <w:color w:val="000000" w:themeColor="text1"/>
                <w:sz w:val="20"/>
              </w:rPr>
              <w:t>ötena.</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b/>
                <w:noProof/>
                <w:sz w:val="20"/>
                <w:szCs w:val="20"/>
              </w:rPr>
              <w:t>Identifiering</w:t>
            </w:r>
            <w:r>
              <w:rPr>
                <w:noProof/>
                <w:sz w:val="20"/>
                <w:szCs w:val="20"/>
              </w:rPr>
              <w:t xml:space="preserve"> av exemplar i handeln</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7F7137">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Identifierings</w:t>
            </w:r>
            <w:r>
              <w:rPr>
                <w:b/>
                <w:noProof/>
                <w:color w:val="000000" w:themeColor="text1"/>
                <w:sz w:val="20"/>
              </w:rPr>
              <w:t>manual</w:t>
            </w:r>
            <w:r>
              <w:rPr>
                <w:rFonts w:eastAsia="Times New Roman"/>
                <w:noProof/>
                <w:color w:val="000000" w:themeColor="text1"/>
                <w:sz w:val="20"/>
                <w:szCs w:val="20"/>
              </w:rPr>
              <w:br/>
            </w:r>
            <w:r>
              <w:rPr>
                <w:noProof/>
                <w:color w:val="000000" w:themeColor="text1"/>
                <w:sz w:val="20"/>
                <w:u w:val="single"/>
              </w:rPr>
              <w:t>CoP18 Doc. 54.1</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AC, PC, Sec.</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w:t>
            </w:r>
          </w:p>
          <w:p w:rsidR="00122B26" w:rsidRDefault="007F7137">
            <w:pPr>
              <w:spacing w:before="0" w:after="0"/>
              <w:jc w:val="left"/>
              <w:rPr>
                <w:rFonts w:eastAsia="Times New Roman"/>
                <w:i/>
                <w:noProof/>
                <w:color w:val="000000" w:themeColor="text1"/>
                <w:sz w:val="20"/>
                <w:szCs w:val="20"/>
              </w:rPr>
            </w:pPr>
            <w:r>
              <w:rPr>
                <w:i/>
                <w:noProof/>
                <w:color w:val="000000" w:themeColor="text1"/>
                <w:sz w:val="20"/>
              </w:rPr>
              <w:t>Överväg tillsammans med 21.1.</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Identifiering av Cites-listade </w:t>
            </w:r>
            <w:r>
              <w:rPr>
                <w:b/>
                <w:i/>
                <w:noProof/>
                <w:color w:val="000000" w:themeColor="text1"/>
                <w:sz w:val="20"/>
              </w:rPr>
              <w:t>träd</w:t>
            </w:r>
            <w:r>
              <w:rPr>
                <w:noProof/>
                <w:color w:val="000000" w:themeColor="text1"/>
                <w:sz w:val="20"/>
              </w:rPr>
              <w:t xml:space="preserve">arter </w:t>
            </w:r>
            <w:r>
              <w:rPr>
                <w:rFonts w:eastAsia="Times New Roman"/>
                <w:noProof/>
                <w:color w:val="000000" w:themeColor="text1"/>
                <w:sz w:val="20"/>
                <w:szCs w:val="20"/>
              </w:rPr>
              <w:br/>
            </w:r>
            <w:r>
              <w:rPr>
                <w:noProof/>
                <w:color w:val="000000" w:themeColor="text1"/>
                <w:sz w:val="20"/>
                <w:u w:val="single"/>
              </w:rPr>
              <w:t>CoP18 Doc. 54.2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ny uppsättning beslut och </w:t>
            </w:r>
            <w:r>
              <w:rPr>
                <w:noProof/>
                <w:color w:val="000000" w:themeColor="text1"/>
                <w:sz w:val="20"/>
              </w:rPr>
              <w:t>stryk tidigare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Identifiering av exemplar av </w:t>
            </w:r>
            <w:r>
              <w:rPr>
                <w:b/>
                <w:i/>
                <w:noProof/>
                <w:color w:val="000000" w:themeColor="text1"/>
                <w:sz w:val="20"/>
              </w:rPr>
              <w:t>störartade fiskar</w:t>
            </w:r>
            <w:r>
              <w:rPr>
                <w:noProof/>
                <w:color w:val="000000" w:themeColor="text1"/>
                <w:sz w:val="20"/>
              </w:rPr>
              <w:t xml:space="preserve"> i handel </w:t>
            </w:r>
            <w:r>
              <w:rPr>
                <w:rFonts w:eastAsia="Times New Roman"/>
                <w:noProof/>
                <w:color w:val="000000" w:themeColor="text1"/>
                <w:sz w:val="20"/>
                <w:szCs w:val="20"/>
              </w:rPr>
              <w:br/>
            </w:r>
            <w:r>
              <w:rPr>
                <w:noProof/>
                <w:color w:val="000000" w:themeColor="text1"/>
                <w:sz w:val="20"/>
                <w:u w:val="single"/>
              </w:rPr>
              <w:t>CoP18 Doc. 54.3</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förnyelse av beslut. Överväg om någon EU-medlemsstat kan åta sig att finansiera den sedan länge emotsedda studien.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genomförande för handel med arter av </w:t>
            </w:r>
            <w:r>
              <w:rPr>
                <w:b/>
                <w:noProof/>
                <w:color w:val="000000" w:themeColor="text1"/>
                <w:sz w:val="20"/>
              </w:rPr>
              <w:t>medicinalväxter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u w:val="single"/>
              </w:rPr>
              <w:t>Undantag och särskilda handelsbestämmelser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7F7137">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Förenklat förfarande</w:t>
            </w:r>
            <w:r>
              <w:rPr>
                <w:noProof/>
                <w:sz w:val="20"/>
                <w:szCs w:val="20"/>
              </w:rPr>
              <w:t xml:space="preserve"> för tillstånd och intyg</w:t>
            </w:r>
            <w:r>
              <w:rPr>
                <w:noProof/>
                <w:color w:val="000000" w:themeColor="text1"/>
                <w:sz w:val="20"/>
                <w:szCs w:val="20"/>
              </w:rPr>
              <w:t> </w:t>
            </w:r>
            <w:r>
              <w:rPr>
                <w:rFonts w:eastAsia="Times New Roman"/>
                <w:noProof/>
                <w:color w:val="000000" w:themeColor="text1"/>
                <w:sz w:val="20"/>
                <w:szCs w:val="20"/>
              </w:rPr>
              <w:br/>
            </w:r>
            <w:r>
              <w:rPr>
                <w:noProof/>
                <w:color w:val="000000" w:themeColor="text1"/>
                <w:sz w:val="20"/>
                <w:szCs w:val="20"/>
                <w:u w:val="single"/>
              </w:rPr>
              <w:t>CoP18 Doc. 56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generellt de föreslagna</w:t>
            </w:r>
            <w:r>
              <w:rPr>
                <w:noProof/>
                <w:color w:val="000000" w:themeColor="text1"/>
                <w:sz w:val="20"/>
              </w:rPr>
              <w:t xml:space="preserve"> ändringarna av konferensresolution 11.15 (Rev. CoP12), konferensresolution 12.3 (Rev. CoP17) och de utkast till beslut som riktats till sekretariatet; beakta sekretariatets observationer och överväg behov av ytterligare ändringar.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Genomförandet av konventionen när det gäller exemplar </w:t>
            </w:r>
            <w:r>
              <w:rPr>
                <w:b/>
                <w:noProof/>
                <w:color w:val="000000" w:themeColor="text1"/>
                <w:sz w:val="20"/>
              </w:rPr>
              <w:t>uppfödda i fångenskap</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57</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utkast till förslag som föreslagits av ständiga kommittén och som ändrats av sekretariatet.</w:t>
            </w:r>
          </w:p>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Genomförande av </w:t>
            </w:r>
            <w:r>
              <w:rPr>
                <w:b/>
                <w:noProof/>
                <w:color w:val="000000" w:themeColor="text1"/>
                <w:sz w:val="20"/>
              </w:rPr>
              <w:t>konferensresolution 17.7</w:t>
            </w:r>
            <w:r>
              <w:rPr>
                <w:noProof/>
                <w:color w:val="000000" w:themeColor="text1"/>
                <w:sz w:val="20"/>
              </w:rPr>
              <w:t xml:space="preserve"> om </w:t>
            </w:r>
            <w:r>
              <w:rPr>
                <w:i/>
                <w:noProof/>
                <w:color w:val="000000" w:themeColor="text1"/>
                <w:sz w:val="20"/>
              </w:rPr>
              <w:t xml:space="preserve">Review of trade in animal specimens reported as produced in captivity </w:t>
            </w:r>
            <w:r>
              <w:rPr>
                <w:rFonts w:eastAsia="Times New Roman"/>
                <w:i/>
                <w:iCs/>
                <w:noProof/>
                <w:color w:val="000000" w:themeColor="text1"/>
                <w:sz w:val="20"/>
                <w:szCs w:val="20"/>
              </w:rPr>
              <w:br/>
            </w:r>
            <w:r>
              <w:rPr>
                <w:noProof/>
                <w:color w:val="000000" w:themeColor="text1"/>
                <w:sz w:val="20"/>
                <w:u w:val="single"/>
              </w:rPr>
              <w:t>CoP18 Doc. 58</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utkast till förslag som föreslagits av ständiga kommittén och som fått stöd av sekretariatet.</w:t>
            </w:r>
          </w:p>
          <w:p w:rsidR="00122B26" w:rsidRDefault="007F7137">
            <w:pPr>
              <w:spacing w:before="0" w:after="0"/>
              <w:jc w:val="left"/>
              <w:rPr>
                <w:rFonts w:eastAsia="Times New Roman"/>
                <w:noProof/>
                <w:color w:val="000000" w:themeColor="text1"/>
                <w:sz w:val="20"/>
                <w:szCs w:val="20"/>
              </w:rPr>
            </w:pPr>
            <w:r>
              <w:rPr>
                <w:i/>
                <w:noProof/>
                <w:color w:val="000000" w:themeColor="text1"/>
                <w:sz w:val="20"/>
              </w:rPr>
              <w:t>Överväg tillsammans med budgetdokument.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59.</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Definition av termen ”</w:t>
            </w:r>
            <w:r>
              <w:rPr>
                <w:b/>
                <w:noProof/>
                <w:color w:val="000000" w:themeColor="text1"/>
                <w:sz w:val="20"/>
              </w:rPr>
              <w:t>artificiellt förökad</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Vägledning</w:t>
            </w:r>
            <w:r>
              <w:rPr>
                <w:noProof/>
                <w:sz w:val="20"/>
                <w:szCs w:val="20"/>
              </w:rPr>
              <w:t xml:space="preserve"> om termen ”artificiellt förökad”</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59.1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 till beslut. Öppna för ändringar föreslagna av sekretariatet. Föreslå att offentliggörande av vägledning bör ske först efter det att den har </w:t>
            </w:r>
            <w:r>
              <w:rPr>
                <w:noProof/>
                <w:color w:val="000000" w:themeColor="text1"/>
                <w:sz w:val="20"/>
              </w:rPr>
              <w:t>granskats av växtkommittén.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Ursprungskoder</w:t>
            </w:r>
            <w:r>
              <w:rPr>
                <w:noProof/>
                <w:sz w:val="20"/>
                <w:szCs w:val="20"/>
              </w:rPr>
              <w:t xml:space="preserve"> för växtexemplar i handel</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59.2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ett införande av ursprungskod Y genom ändringar av konferensresolution 11.11 (Rev. CoP17) och konferensresolution 12.3 (Rev. CoP17) samt utkast till </w:t>
            </w:r>
            <w:r>
              <w:rPr>
                <w:noProof/>
                <w:color w:val="000000" w:themeColor="text1"/>
                <w:sz w:val="20"/>
              </w:rPr>
              <w:t>beslut. Ytterligare ändringar som sekretariatet föreslagit kräver dock noggrannare granskning för att inte undergräva ständiga kommitténs ursprungliga förslag (särskilt när det gäller agarträ och behovet av icke-skadlighetsrekvisit).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9207" w:type="dxa"/>
            <w:gridSpan w:val="8"/>
            <w:tcMar>
              <w:top w:w="60" w:type="dxa"/>
              <w:left w:w="135" w:type="dxa"/>
              <w:bottom w:w="60" w:type="dxa"/>
              <w:right w:w="135" w:type="dxa"/>
            </w:tcMar>
            <w:hideMark/>
          </w:tcPr>
          <w:p w:rsidR="00122B26" w:rsidRDefault="007F7137">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 xml:space="preserve">Artspecifika </w:t>
            </w:r>
            <w:r>
              <w:rPr>
                <w:b/>
                <w:noProof/>
                <w:color w:val="000000" w:themeColor="text1"/>
                <w:sz w:val="20"/>
                <w:u w:val="single"/>
              </w:rPr>
              <w:t>ärenden</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Olaglig handel med </w:t>
            </w:r>
            <w:r>
              <w:rPr>
                <w:b/>
                <w:noProof/>
                <w:color w:val="000000" w:themeColor="text1"/>
                <w:sz w:val="20"/>
              </w:rPr>
              <w:t>geparder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60</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utkastet till beslut i vilket sekretariatet uppmanas att göra tillgänglig den slutliga versionen av Cites resurskit för handel med gepard, beroende på resurstillgång. </w:t>
            </w:r>
            <w:r>
              <w:rPr>
                <w:noProof/>
                <w:color w:val="000000" w:themeColor="text1"/>
                <w:sz w:val="20"/>
              </w:rPr>
              <w:t>Godkänn strykning av besluten 17.124 till 17.130.</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Stör</w:t>
            </w:r>
            <w:r>
              <w:rPr>
                <w:noProof/>
                <w:sz w:val="20"/>
                <w:szCs w:val="20"/>
              </w:rPr>
              <w:t>artade fiskar (Acipenseriformes spp.)</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förnyat mandat för ständiga kommittén att studera kaviarmärkning. Överväg om det finns behov av tydligare vägledning om inriktning och omfattning </w:t>
            </w:r>
            <w:r>
              <w:rPr>
                <w:noProof/>
                <w:color w:val="000000" w:themeColor="text1"/>
                <w:sz w:val="20"/>
              </w:rPr>
              <w:t>för att göra framsteg.</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Utkast till beslut om bevarande av </w:t>
            </w:r>
            <w:r>
              <w:rPr>
                <w:b/>
                <w:noProof/>
                <w:color w:val="000000" w:themeColor="text1"/>
                <w:sz w:val="20"/>
              </w:rPr>
              <w:t>groddjur</w:t>
            </w:r>
            <w:r>
              <w:rPr>
                <w:noProof/>
                <w:color w:val="000000" w:themeColor="text1"/>
                <w:sz w:val="20"/>
              </w:rPr>
              <w:t xml:space="preserve"> (Amphibia)</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Ett brett urval av utkast till beslut som riktar sig till parterna, kommittéerna och sekretariatet, föreslagna utan stöduttalande eller förhandsövervägande av AC, </w:t>
            </w:r>
            <w:r>
              <w:rPr>
                <w:noProof/>
                <w:color w:val="000000" w:themeColor="text1"/>
                <w:sz w:val="20"/>
              </w:rPr>
              <w:t>SC. Den information som krävs är inte specifik för groddjur utan skulle gälla för alla Cites-listade taxa. Ett mer fokuserat förslag med konkreta åtgärder skulle kunna övervägas positivt.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Ålar</w:t>
            </w:r>
            <w:r>
              <w:rPr>
                <w:noProof/>
                <w:color w:val="000000" w:themeColor="text1"/>
                <w:sz w:val="20"/>
              </w:rPr>
              <w:t xml:space="preserve"> (</w:t>
            </w:r>
            <w:r>
              <w:rPr>
                <w:i/>
                <w:noProof/>
                <w:color w:val="000000" w:themeColor="text1"/>
                <w:sz w:val="20"/>
              </w:rPr>
              <w:t xml:space="preserve">Anguilla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CoP18 Doc. 63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 SC, 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utkasten till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64.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Koraller</w:t>
            </w:r>
            <w:r>
              <w:rPr>
                <w:noProof/>
                <w:color w:val="000000" w:themeColor="text1"/>
                <w:sz w:val="20"/>
              </w:rPr>
              <w:t xml:space="preserve"> – taggkoraller och ädelkoraller (Ordningen Antipatharia och familjen Coralliidae)</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utkastet till beslut som ger djurkommittén och ständiga kommittén i uppdrag att analysera och dra slutsatser av undersökningen </w:t>
            </w:r>
            <w:r>
              <w:rPr>
                <w:noProof/>
                <w:color w:val="000000" w:themeColor="text1"/>
                <w:sz w:val="20"/>
              </w:rPr>
              <w:t>om dessa koraller och FAO:s studie.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Genomförande av konferensresolution 16.10 </w:t>
            </w:r>
            <w:r>
              <w:rPr>
                <w:i/>
                <w:noProof/>
                <w:color w:val="000000" w:themeColor="text1"/>
                <w:sz w:val="20"/>
              </w:rPr>
              <w:t xml:space="preserve">Implementation of the Convention for </w:t>
            </w:r>
            <w:r>
              <w:rPr>
                <w:b/>
                <w:i/>
                <w:noProof/>
                <w:color w:val="000000" w:themeColor="text1"/>
                <w:sz w:val="20"/>
              </w:rPr>
              <w:t>agarwood</w:t>
            </w:r>
            <w:r>
              <w:rPr>
                <w:i/>
                <w:noProof/>
                <w:color w:val="000000" w:themeColor="text1"/>
                <w:sz w:val="20"/>
              </w:rPr>
              <w:t>-producing taxa</w:t>
            </w:r>
            <w:r>
              <w:rPr>
                <w:noProof/>
                <w:color w:val="000000" w:themeColor="text1"/>
                <w:sz w:val="20"/>
              </w:rPr>
              <w:t xml:space="preserve"> [</w:t>
            </w:r>
            <w:r>
              <w:rPr>
                <w:i/>
                <w:noProof/>
                <w:color w:val="000000" w:themeColor="text1"/>
                <w:sz w:val="20"/>
              </w:rPr>
              <w:t xml:space="preserve">Aquilaria </w:t>
            </w:r>
            <w:r>
              <w:rPr>
                <w:noProof/>
                <w:color w:val="000000" w:themeColor="text1"/>
                <w:sz w:val="20"/>
              </w:rPr>
              <w:t xml:space="preserve">spp. och </w:t>
            </w:r>
            <w:r>
              <w:rPr>
                <w:i/>
                <w:noProof/>
                <w:color w:val="000000" w:themeColor="text1"/>
                <w:sz w:val="20"/>
              </w:rPr>
              <w:t xml:space="preserve">Gyrinops </w:t>
            </w:r>
            <w:r>
              <w:rPr>
                <w:noProof/>
                <w:color w:val="000000" w:themeColor="text1"/>
                <w:sz w:val="20"/>
              </w:rPr>
              <w:t xml:space="preserve">spp.] </w:t>
            </w:r>
            <w:r>
              <w:rPr>
                <w:noProof/>
                <w:color w:val="000000" w:themeColor="text1"/>
                <w:sz w:val="20"/>
                <w:u w:val="single"/>
              </w:rPr>
              <w:t>CoP18 Doc. 65</w:t>
            </w:r>
          </w:p>
        </w:tc>
        <w:tc>
          <w:tcPr>
            <w:tcW w:w="1423" w:type="dxa"/>
            <w:tcMar>
              <w:top w:w="60" w:type="dxa"/>
              <w:left w:w="135" w:type="dxa"/>
              <w:bottom w:w="60" w:type="dxa"/>
              <w:right w:w="135" w:type="dxa"/>
            </w:tcMar>
            <w:vAlign w:val="center"/>
            <w:hideMark/>
          </w:tcPr>
          <w:p w:rsidR="00122B26" w:rsidRDefault="007F7137">
            <w:pPr>
              <w:rPr>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antagande av utkast till beslut om taxa som </w:t>
            </w:r>
            <w:r>
              <w:rPr>
                <w:noProof/>
                <w:color w:val="000000" w:themeColor="text1"/>
                <w:sz w:val="20"/>
              </w:rPr>
              <w:t>producerar agarträ och strykning av tidigare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Handel med </w:t>
            </w:r>
            <w:r>
              <w:rPr>
                <w:b/>
                <w:i/>
                <w:noProof/>
                <w:color w:val="000000" w:themeColor="text1"/>
                <w:sz w:val="20"/>
              </w:rPr>
              <w:t>Boswellia</w:t>
            </w:r>
            <w:r>
              <w:rPr>
                <w:i/>
                <w:noProof/>
                <w:color w:val="000000" w:themeColor="text1"/>
                <w:sz w:val="20"/>
              </w:rPr>
              <w:t xml:space="preserve"> </w:t>
            </w:r>
            <w:r>
              <w:rPr>
                <w:noProof/>
                <w:color w:val="000000" w:themeColor="text1"/>
                <w:sz w:val="20"/>
              </w:rPr>
              <w:t xml:space="preserve">spp. (Burseraceae) </w:t>
            </w:r>
            <w:r>
              <w:rPr>
                <w:rFonts w:eastAsia="Times New Roman"/>
                <w:noProof/>
                <w:color w:val="000000" w:themeColor="text1"/>
                <w:sz w:val="20"/>
                <w:szCs w:val="20"/>
              </w:rPr>
              <w:br/>
            </w:r>
            <w:r>
              <w:rPr>
                <w:noProof/>
                <w:color w:val="000000" w:themeColor="text1"/>
                <w:sz w:val="20"/>
                <w:u w:val="single"/>
              </w:rPr>
              <w:t>CoP18 Doc. 66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LK, US</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uppsättningen av utkast till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67.</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Napoleonfisk</w:t>
            </w:r>
            <w:r>
              <w:rPr>
                <w:noProof/>
                <w:sz w:val="20"/>
                <w:szCs w:val="20"/>
              </w:rPr>
              <w:t xml:space="preserve"> (</w:t>
            </w:r>
            <w:r>
              <w:rPr>
                <w:i/>
                <w:noProof/>
                <w:color w:val="000000" w:themeColor="text1"/>
                <w:sz w:val="20"/>
                <w:szCs w:val="20"/>
              </w:rPr>
              <w:t>Cheilinus undulatus</w:t>
            </w:r>
            <w:r>
              <w:rPr>
                <w:noProof/>
                <w:sz w:val="20"/>
                <w:szCs w:val="20"/>
              </w:rPr>
              <w:t>)</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67</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noProof/>
                <w:color w:val="000000" w:themeColor="text1"/>
                <w:sz w:val="20"/>
              </w:rPr>
              <w:t xml:space="preserve">Godkänn utkastet till beslut </w:t>
            </w:r>
            <w:r>
              <w:rPr>
                <w:noProof/>
                <w:color w:val="000000" w:themeColor="text1"/>
                <w:sz w:val="20"/>
              </w:rPr>
              <w:t>som syftar till att ge stöd till de viktigaste export- och importländerna för att åtgärda återstående utmaningar i fråga om genomförandet.</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Hajar</w:t>
            </w:r>
            <w:r>
              <w:rPr>
                <w:noProof/>
                <w:sz w:val="20"/>
                <w:szCs w:val="20"/>
              </w:rPr>
              <w:t xml:space="preserve"> och rockor (Elasmobranchii spp.)</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122B26">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68.1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Djurkommitténs rapport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AC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Notera rapporten.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68.2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Sekretariatets rapport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Elefanter</w:t>
            </w:r>
            <w:r>
              <w:rPr>
                <w:noProof/>
                <w:sz w:val="20"/>
                <w:szCs w:val="20"/>
              </w:rPr>
              <w:t xml:space="preserve"> (Elephantidae spp.)</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69.1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sz w:val="20"/>
                <w:szCs w:val="20"/>
              </w:rPr>
              <w:t>Genomförande</w:t>
            </w:r>
            <w:r>
              <w:rPr>
                <w:noProof/>
                <w:sz w:val="20"/>
                <w:szCs w:val="20"/>
              </w:rPr>
              <w:t xml:space="preserve"> av konferensresolution 10.10 (Rev. CoP17) om </w:t>
            </w:r>
            <w:r>
              <w:rPr>
                <w:i/>
                <w:noProof/>
                <w:color w:val="000000" w:themeColor="text1"/>
                <w:sz w:val="20"/>
                <w:szCs w:val="20"/>
              </w:rPr>
              <w:t>handel med exemplar av elefanter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 SC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u w:val="single"/>
              </w:rPr>
              <w:t>Lager</w:t>
            </w:r>
            <w:r>
              <w:rPr>
                <w:noProof/>
              </w:rPr>
              <w:t>:</w:t>
            </w:r>
            <w:r>
              <w:rPr>
                <w:noProof/>
                <w:color w:val="000000" w:themeColor="text1"/>
                <w:sz w:val="20"/>
              </w:rPr>
              <w:t xml:space="preserve"> stöd beslut om att ständiga kommittén ska se över vägledning som utarbetats av sekretariatet.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u w:val="single"/>
              </w:rPr>
              <w:t>Asiatiska elefanter</w:t>
            </w:r>
            <w:r>
              <w:rPr>
                <w:noProof/>
              </w:rPr>
              <w:t>:</w:t>
            </w:r>
            <w:r>
              <w:rPr>
                <w:noProof/>
                <w:color w:val="000000" w:themeColor="text1"/>
                <w:sz w:val="20"/>
              </w:rPr>
              <w:t xml:space="preserve"> öppna för att stödja förnyelse av beslut men det krävs större stöd från utbredningsstater för att detta ska vara verksamt.</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rPr>
              <w:t>Nationella handlingsplaner för elfenben (NIAP):</w:t>
            </w:r>
            <w:r>
              <w:rPr>
                <w:noProof/>
                <w:color w:val="000000" w:themeColor="text1"/>
                <w:sz w:val="20"/>
              </w:rPr>
              <w:t xml:space="preserve"> stöd föreslagna revideringar av konferensresolution 10.10, punkt 26 g) och bilaga III (</w:t>
            </w:r>
            <w:r>
              <w:rPr>
                <w:i/>
                <w:noProof/>
                <w:color w:val="000000" w:themeColor="text1"/>
                <w:sz w:val="20"/>
              </w:rPr>
              <w:t>NIAP process guidelines</w:t>
            </w:r>
            <w:r>
              <w:rPr>
                <w:noProof/>
                <w:color w:val="000000" w:themeColor="text1"/>
                <w:sz w:val="20"/>
              </w:rPr>
              <w:t xml:space="preserve">) och av konferensresolution 14.3 om </w:t>
            </w:r>
            <w:r>
              <w:rPr>
                <w:i/>
                <w:noProof/>
                <w:color w:val="000000" w:themeColor="text1"/>
                <w:sz w:val="20"/>
              </w:rPr>
              <w:t>Compliance</w:t>
            </w:r>
            <w:r>
              <w:rPr>
                <w:noProof/>
                <w:color w:val="000000" w:themeColor="text1"/>
                <w:sz w:val="20"/>
              </w:rPr>
              <w:t xml:space="preserve"> (</w:t>
            </w:r>
            <w:r>
              <w:rPr>
                <w:rFonts w:eastAsia="Times New Roman"/>
                <w:noProof/>
                <w:color w:val="000000" w:themeColor="text1"/>
                <w:sz w:val="20"/>
                <w:szCs w:val="20"/>
              </w:rPr>
              <w:sym w:font="Wingdings" w:char="F0E0"/>
            </w:r>
            <w:r>
              <w:rPr>
                <w:noProof/>
                <w:color w:val="000000" w:themeColor="text1"/>
                <w:sz w:val="20"/>
              </w:rPr>
              <w:t xml:space="preserve"> dokument 24); </w:t>
            </w:r>
            <w:r>
              <w:rPr>
                <w:rFonts w:eastAsia="Times New Roman"/>
                <w:noProof/>
                <w:color w:val="000000" w:themeColor="text1"/>
                <w:sz w:val="20"/>
                <w:szCs w:val="20"/>
              </w:rPr>
              <w:br/>
            </w:r>
            <w:r>
              <w:rPr>
                <w:noProof/>
                <w:color w:val="000000" w:themeColor="text1"/>
                <w:sz w:val="20"/>
              </w:rPr>
              <w:t>överväg sekretariatets begäran o</w:t>
            </w:r>
            <w:r>
              <w:rPr>
                <w:noProof/>
                <w:color w:val="000000" w:themeColor="text1"/>
                <w:sz w:val="20"/>
              </w:rPr>
              <w:t>m inrättande av en ny post (</w:t>
            </w:r>
            <w:r>
              <w:rPr>
                <w:rFonts w:eastAsia="Times New Roman"/>
                <w:noProof/>
                <w:color w:val="000000" w:themeColor="text1"/>
                <w:sz w:val="20"/>
                <w:szCs w:val="20"/>
              </w:rPr>
              <w:sym w:font="Wingdings" w:char="F0E0"/>
            </w:r>
            <w:r>
              <w:rPr>
                <w:noProof/>
                <w:color w:val="000000" w:themeColor="text1"/>
                <w:sz w:val="20"/>
              </w:rPr>
              <w:t>budget).</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p w:rsidR="00122B26" w:rsidRDefault="00122B26">
            <w:pPr>
              <w:spacing w:before="0" w:after="0" w:line="240" w:lineRule="atLeast"/>
              <w:jc w:val="center"/>
              <w:rPr>
                <w:rFonts w:eastAsia="Times New Roman"/>
                <w:b/>
                <w:noProof/>
                <w:color w:val="000000" w:themeColor="text1"/>
                <w:sz w:val="20"/>
                <w:szCs w:val="20"/>
              </w:rPr>
            </w:pPr>
          </w:p>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rPr>
              <w:t>Översyn av informationssystemet för handel med elefanter (ETIS):</w:t>
            </w:r>
            <w:r>
              <w:rPr>
                <w:noProof/>
                <w:color w:val="000000" w:themeColor="text1"/>
                <w:sz w:val="20"/>
              </w:rPr>
              <w:t xml:space="preserve"> stöd mandat som överenskommits vid SC70.</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u w:val="single"/>
              </w:rPr>
              <w:t>MIKE, ETIS finansiell och operativ hållbarhet</w:t>
            </w:r>
            <w:r>
              <w:rPr>
                <w:noProof/>
                <w:color w:val="000000" w:themeColor="text1"/>
                <w:sz w:val="20"/>
              </w:rPr>
              <w:t xml:space="preserve">: stöd utkast till beslut om att sekretariatet tar </w:t>
            </w:r>
            <w:r>
              <w:rPr>
                <w:noProof/>
                <w:color w:val="000000" w:themeColor="text1"/>
                <w:sz w:val="20"/>
              </w:rPr>
              <w:t>fram förslag (kostnad: 30 000 US-dollar), ständiga kommittén granskar.</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u w:val="single"/>
              </w:rPr>
              <w:t>Inhemska marknader för elfenben</w:t>
            </w:r>
            <w:r>
              <w:rPr>
                <w:noProof/>
              </w:rPr>
              <w:t>:</w:t>
            </w:r>
            <w:r>
              <w:rPr>
                <w:noProof/>
                <w:color w:val="000000" w:themeColor="text1"/>
                <w:sz w:val="20"/>
              </w:rPr>
              <w:t xml:space="preserve"> Stöd föreslagen ändring av konferensresolution 10.10 som ingår i dokument 31.</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om övervakning av olagligt dödande av elefanter, </w:t>
            </w:r>
            <w:r>
              <w:rPr>
                <w:i/>
                <w:noProof/>
                <w:color w:val="000000" w:themeColor="text1"/>
                <w:sz w:val="20"/>
              </w:rPr>
              <w:t>Monitoring the Illegal Killing of Elephants</w:t>
            </w:r>
            <w:r>
              <w:rPr>
                <w:noProof/>
                <w:color w:val="000000" w:themeColor="text1"/>
                <w:sz w:val="20"/>
              </w:rPr>
              <w:t xml:space="preserve"> (</w:t>
            </w:r>
            <w:r>
              <w:rPr>
                <w:b/>
                <w:i/>
                <w:noProof/>
                <w:color w:val="000000" w:themeColor="text1"/>
                <w:sz w:val="20"/>
              </w:rPr>
              <w:t>MIKE</w:t>
            </w:r>
            <w:r>
              <w:rPr>
                <w:noProof/>
                <w:color w:val="000000" w:themeColor="text1"/>
                <w:sz w:val="20"/>
              </w:rPr>
              <w:t xml:space="preserve">) </w:t>
            </w:r>
            <w:r>
              <w:rPr>
                <w:noProof/>
                <w:color w:val="000000" w:themeColor="text1"/>
                <w:sz w:val="20"/>
                <w:u w:val="single"/>
              </w:rPr>
              <w:t>CoP18 Doc. 69.2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Notera rapporten.</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Rapport om informationssystemet för handel med elefanter, </w:t>
            </w:r>
            <w:r>
              <w:rPr>
                <w:i/>
                <w:noProof/>
                <w:color w:val="000000" w:themeColor="text1"/>
                <w:sz w:val="20"/>
              </w:rPr>
              <w:t>Elephant Trade Information System</w:t>
            </w:r>
            <w:r>
              <w:rPr>
                <w:noProof/>
                <w:color w:val="000000" w:themeColor="text1"/>
                <w:sz w:val="20"/>
              </w:rPr>
              <w:t xml:space="preserve"> (</w:t>
            </w:r>
            <w:r>
              <w:rPr>
                <w:b/>
                <w:i/>
                <w:noProof/>
                <w:color w:val="000000" w:themeColor="text1"/>
                <w:sz w:val="20"/>
              </w:rPr>
              <w:t>ETIS</w:t>
            </w:r>
            <w:r>
              <w:rPr>
                <w:noProof/>
                <w:color w:val="000000" w:themeColor="text1"/>
                <w:sz w:val="20"/>
              </w:rPr>
              <w:t xml:space="preserve">) </w:t>
            </w:r>
            <w:r>
              <w:rPr>
                <w:noProof/>
                <w:color w:val="000000" w:themeColor="text1"/>
                <w:sz w:val="20"/>
                <w:u w:val="single"/>
              </w:rPr>
              <w:t>CoP18 Doc. 69.3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Notera rapporten. överväg </w:t>
            </w:r>
            <w:r>
              <w:rPr>
                <w:noProof/>
                <w:color w:val="000000" w:themeColor="text1"/>
                <w:sz w:val="20"/>
              </w:rPr>
              <w:t>konsekvenser för NIAP-processen (särskilda länder identifierade av ETIS omfattas för närvarande inte av NIAP).</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i/>
                <w:noProof/>
                <w:color w:val="000000" w:themeColor="text1"/>
                <w:sz w:val="20"/>
              </w:rPr>
              <w:t>Lager</w:t>
            </w:r>
            <w:r>
              <w:rPr>
                <w:noProof/>
                <w:color w:val="000000" w:themeColor="text1"/>
                <w:sz w:val="20"/>
              </w:rPr>
              <w:t xml:space="preserve"> av elfenben: föreslagen ändring av konferensresolution 10.10 (Rev. CoP17) om </w:t>
            </w:r>
            <w:r>
              <w:rPr>
                <w:i/>
                <w:noProof/>
                <w:color w:val="000000" w:themeColor="text1"/>
                <w:sz w:val="20"/>
              </w:rPr>
              <w:t xml:space="preserve">handel med exemplar av elefanter </w:t>
            </w:r>
            <w:r>
              <w:rPr>
                <w:rFonts w:eastAsia="Times New Roman"/>
                <w:i/>
                <w:iCs/>
                <w:noProof/>
                <w:color w:val="000000" w:themeColor="text1"/>
                <w:sz w:val="20"/>
                <w:szCs w:val="20"/>
              </w:rPr>
              <w:br/>
            </w:r>
            <w:r>
              <w:rPr>
                <w:noProof/>
                <w:color w:val="000000" w:themeColor="text1"/>
                <w:sz w:val="20"/>
                <w:u w:val="single"/>
              </w:rPr>
              <w:t>CoP18 Doc. 69.4</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noProof/>
                <w:color w:val="000000" w:themeColor="text1"/>
                <w:sz w:val="20"/>
              </w:rPr>
              <w:t>Erkänn vikten av att färdigställa vägledningen men ifrågasätt om det är möjligt och lämpligt att ha en arbetsgrupp under mötet för detta ändamål. Överväg sekretariatets alternativa förslag.</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Genomförandeaspekter av konferensresolution 10.10 (Rev. CoP17) om stängning av </w:t>
            </w:r>
            <w:r>
              <w:rPr>
                <w:b/>
                <w:i/>
                <w:noProof/>
                <w:color w:val="000000" w:themeColor="text1"/>
                <w:sz w:val="20"/>
              </w:rPr>
              <w:t>inhemska marknader för elfenben</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lang w:val="nb-NO"/>
              </w:rPr>
            </w:pPr>
            <w:r>
              <w:rPr>
                <w:noProof/>
                <w:color w:val="000000" w:themeColor="text1"/>
                <w:sz w:val="20"/>
                <w:lang w:val="nb-NO"/>
              </w:rPr>
              <w:t>BF, CI, ET, GA, KE, LR, NE, NG, SY</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Ifrågasätt slutsatser om EU:s elfenbensmarknad (punkt 28); framhåll EU:s pågående insatser. </w:t>
            </w:r>
            <w:r>
              <w:rPr>
                <w:rFonts w:eastAsia="Times New Roman"/>
                <w:noProof/>
                <w:color w:val="000000" w:themeColor="text1"/>
                <w:sz w:val="20"/>
                <w:szCs w:val="20"/>
              </w:rPr>
              <w:br/>
            </w:r>
            <w:r>
              <w:rPr>
                <w:noProof/>
                <w:color w:val="000000" w:themeColor="text1"/>
                <w:sz w:val="20"/>
              </w:rPr>
              <w:t>Invänd mot föresl</w:t>
            </w:r>
            <w:r>
              <w:rPr>
                <w:noProof/>
                <w:color w:val="000000" w:themeColor="text1"/>
                <w:sz w:val="20"/>
              </w:rPr>
              <w:t>agna ändringar av konferensresolution 10.10 och de tillhörande utkasten till beslut eftersom de är oproportionella och delvis oklara.</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Karettsköldpadda (</w:t>
            </w:r>
            <w:r>
              <w:rPr>
                <w:i/>
                <w:noProof/>
                <w:color w:val="000000" w:themeColor="text1"/>
                <w:sz w:val="20"/>
              </w:rPr>
              <w:t>Eretmochelys imbricata</w:t>
            </w:r>
            <w:r>
              <w:rPr>
                <w:noProof/>
                <w:color w:val="000000" w:themeColor="text1"/>
                <w:sz w:val="20"/>
              </w:rPr>
              <w:t xml:space="preserve">) och andra </w:t>
            </w:r>
            <w:r>
              <w:rPr>
                <w:b/>
                <w:noProof/>
                <w:color w:val="000000" w:themeColor="text1"/>
                <w:sz w:val="20"/>
              </w:rPr>
              <w:t>havslevande sköldpaddor</w:t>
            </w:r>
            <w:r>
              <w:rPr>
                <w:noProof/>
                <w:color w:val="000000" w:themeColor="text1"/>
                <w:sz w:val="20"/>
              </w:rPr>
              <w:t xml:space="preserve"> (Cheloniidae och Dermochelyidae)</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fortsatt arbete genom utkast till beslut som föreslagits av sekretariatet och inrättande av en arbetsgrupp mellan mötena om havslevande sköldpaddor.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Asiatiska stora kattdjur</w:t>
            </w:r>
            <w:r>
              <w:rPr>
                <w:noProof/>
                <w:sz w:val="20"/>
                <w:szCs w:val="20"/>
              </w:rPr>
              <w:t xml:space="preserve"> (Felidae spp.)</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Rapport från ständiga kommittén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SC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Utkast till beslut om asiatiska stora kattdjur </w:t>
            </w:r>
            <w:r>
              <w:rPr>
                <w:noProof/>
                <w:color w:val="000000" w:themeColor="text1"/>
                <w:sz w:val="20"/>
                <w:u w:val="single"/>
              </w:rPr>
              <w:t>CoP18 Doc. 71.2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rsidR="00122B26" w:rsidRDefault="007F7137">
            <w:pPr>
              <w:spacing w:before="0" w:after="0"/>
              <w:jc w:val="left"/>
              <w:rPr>
                <w:noProof/>
                <w:color w:val="000000" w:themeColor="text1"/>
                <w:sz w:val="20"/>
                <w:szCs w:val="20"/>
              </w:rPr>
            </w:pPr>
            <w:r>
              <w:rPr>
                <w:noProof/>
                <w:color w:val="000000" w:themeColor="text1"/>
                <w:sz w:val="20"/>
              </w:rPr>
              <w:t>Stöd generellt insatser för att övervaka och bättre hantera handeln med asiatiska stora kattdjur. Dokumentet behöver dock övervägas när</w:t>
            </w:r>
            <w:r>
              <w:rPr>
                <w:noProof/>
                <w:color w:val="000000" w:themeColor="text1"/>
                <w:sz w:val="20"/>
              </w:rPr>
              <w:t xml:space="preserve"> ständiga kommitténs rapport blir tillgänglig, för att undvika överlappningar eller inkonsekvenser.</w:t>
            </w:r>
          </w:p>
          <w:p w:rsidR="00122B26" w:rsidRDefault="007F7137">
            <w:pPr>
              <w:spacing w:before="0" w:after="0"/>
              <w:jc w:val="left"/>
              <w:rPr>
                <w:noProof/>
                <w:color w:val="000000" w:themeColor="text1"/>
                <w:sz w:val="20"/>
                <w:szCs w:val="20"/>
              </w:rPr>
            </w:pPr>
            <w:r>
              <w:rPr>
                <w:noProof/>
                <w:color w:val="000000" w:themeColor="text1"/>
                <w:sz w:val="20"/>
              </w:rPr>
              <w:t xml:space="preserve">Det föreslagna utkastet till beslut behöver en fortsatt ingående analys och ändringar innan det antas. Kopplingen till konferensresolution 12.5 (Rev. 17) </w:t>
            </w:r>
            <w:r>
              <w:rPr>
                <w:noProof/>
                <w:color w:val="000000" w:themeColor="text1"/>
                <w:sz w:val="20"/>
              </w:rPr>
              <w:t>bör också övervägas.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Sjöhästar</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i Cites – en färdplan för framgång</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MV, MC, LK, US</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uppsättningen beslut för att i djurkommittén och ständiga kommittén inleda diskussioner om förvaltning och hållbart nyttjande av sjöhästar.</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73.</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Hominider</w:t>
            </w:r>
            <w:r>
              <w:rPr>
                <w:noProof/>
                <w:color w:val="000000" w:themeColor="text1"/>
                <w:sz w:val="20"/>
              </w:rPr>
              <w:t xml:space="preserve"> (Hominidae spp.) </w:t>
            </w:r>
            <w:r>
              <w:rPr>
                <w:rFonts w:eastAsia="Times New Roman"/>
                <w:noProof/>
                <w:color w:val="000000" w:themeColor="text1"/>
                <w:sz w:val="20"/>
                <w:szCs w:val="20"/>
              </w:rPr>
              <w:br/>
            </w:r>
            <w:r>
              <w:rPr>
                <w:noProof/>
                <w:color w:val="000000" w:themeColor="text1"/>
                <w:sz w:val="20"/>
                <w:u w:val="single"/>
              </w:rPr>
              <w:t>CoP18 Doc. 73</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 Sec.</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de ändringar av konferensresolution 13.4 (Rev. CoP16) om bevarande av och handel med människoapor som föreslagits av sekretariatet, samt strykning av besluten 17.232 och 17.233. Förslaget grundar </w:t>
            </w:r>
            <w:r>
              <w:rPr>
                <w:noProof/>
                <w:color w:val="000000" w:themeColor="text1"/>
                <w:sz w:val="20"/>
              </w:rPr>
              <w:t xml:space="preserve">sig på rapporten om människoapornas status och den relativa effekten av olaglig handel och andra typer av påverkan på deras status, vilken utarbetades i samarbete mellan sekretariatet, IUCN, GRASP och andra partner, och som har övervägts av AC30 och SC70. </w:t>
            </w:r>
            <w:r>
              <w:rPr>
                <w:noProof/>
                <w:color w:val="000000" w:themeColor="text1"/>
                <w:sz w:val="20"/>
              </w:rPr>
              <w:t>Vissa redaktionella ändringar kan vara önskvärda.</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rPr>
              <w:t xml:space="preserve">Arter av </w:t>
            </w:r>
            <w:r>
              <w:rPr>
                <w:b/>
                <w:noProof/>
                <w:color w:val="000000" w:themeColor="text1"/>
                <w:sz w:val="20"/>
              </w:rPr>
              <w:t>palisander/rosenträ</w:t>
            </w:r>
            <w:r>
              <w:rPr>
                <w:noProof/>
                <w:color w:val="000000" w:themeColor="text1"/>
                <w:sz w:val="20"/>
              </w:rPr>
              <w:t xml:space="preserve"> [</w:t>
            </w:r>
            <w:r>
              <w:rPr>
                <w:noProof/>
              </w:rPr>
              <w:t>Leguminosae (Fabaceae)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antagande av utkasten till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Myrkottar</w:t>
            </w:r>
            <w:r>
              <w:rPr>
                <w:noProof/>
                <w:sz w:val="20"/>
                <w:szCs w:val="20"/>
              </w:rPr>
              <w:t xml:space="preserve"> (</w:t>
            </w:r>
            <w:r>
              <w:rPr>
                <w:i/>
                <w:noProof/>
                <w:color w:val="000000" w:themeColor="text1"/>
                <w:sz w:val="20"/>
                <w:szCs w:val="20"/>
              </w:rPr>
              <w:t xml:space="preserve">Manis </w:t>
            </w:r>
            <w:r>
              <w:rPr>
                <w:noProof/>
                <w:sz w:val="20"/>
                <w:szCs w:val="20"/>
              </w:rPr>
              <w:t>spp.)</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75</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 inarbeta förslag från 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uppsättningen av utkast till beslut som rekommenderats av ständiga kommittén (SC69), med de ändringar som föreslagits av sekretariatet, och stöd strykning av besluten 17.239–17.240.</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Afrikanskt</w:t>
            </w:r>
            <w:r>
              <w:rPr>
                <w:b/>
                <w:noProof/>
                <w:color w:val="000000" w:themeColor="text1"/>
                <w:sz w:val="20"/>
              </w:rPr>
              <w:t xml:space="preserve"> lejon</w:t>
            </w:r>
            <w:r>
              <w:rPr>
                <w:noProof/>
                <w:color w:val="000000" w:themeColor="text1"/>
                <w:sz w:val="20"/>
              </w:rPr>
              <w:t xml:space="preserve">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Sekretariatets rapport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Bevarande av och handel med afrikanska lejon</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generellt ytterligare åtgärder för att kontrollera den internationella handeln med delar och produkter av lejon, även om vissa delar av </w:t>
            </w:r>
            <w:r>
              <w:rPr>
                <w:noProof/>
                <w:color w:val="000000" w:themeColor="text1"/>
                <w:sz w:val="20"/>
              </w:rPr>
              <w:t>förslaget till resolution kan behöva en betydande omformulering. Dokumentet behöver övervägas tillsammans med dokument 76.1 och dokument 96 (inget av dessa är ännu tillgängligt).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Jaguar</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122B26">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Handel med jaguar</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generellt uppsättningen av utkast till beslut som efterlyser en studie om olaglig handel med jaguarer; viss redigering kan vara lämpligt, och vissa element från dokument 77.2 kan läggas till.</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Olaglig handel med jaguar </w:t>
            </w:r>
            <w:r>
              <w:rPr>
                <w:noProof/>
                <w:color w:val="000000" w:themeColor="text1"/>
                <w:sz w:val="20"/>
                <w:u w:val="single"/>
              </w:rPr>
              <w:t>CoP18 Doc. 77.2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w:t>
            </w:r>
            <w:r>
              <w:rPr>
                <w:noProof/>
                <w:color w:val="000000" w:themeColor="text1"/>
                <w:sz w:val="20"/>
              </w:rPr>
              <w:t>generellt ökat skydd av jaguarer. Vissa av de föreslagna elementen skulle dock passa bättre som beslut, i stället för en resolution. Det bör övervägas om förslaget eller dess delar bör slås samman med Costa Ricas förslag (77.1) till en uppsättning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Olaglig handel med </w:t>
            </w:r>
            <w:r>
              <w:rPr>
                <w:b/>
                <w:noProof/>
                <w:color w:val="000000" w:themeColor="text1"/>
                <w:sz w:val="20"/>
              </w:rPr>
              <w:t>Chiru</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78</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utkastet till rekommendation och sekretariatets förslag om att ändra punkt 2b i konferensresolution 11.8 (Rev. CoP17).</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79.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sz w:val="20"/>
                <w:szCs w:val="20"/>
              </w:rPr>
              <w:t xml:space="preserve">Handel med och bevarandeförvaltning av </w:t>
            </w:r>
            <w:r>
              <w:rPr>
                <w:b/>
                <w:noProof/>
                <w:sz w:val="20"/>
                <w:szCs w:val="20"/>
              </w:rPr>
              <w:t>tättingar</w:t>
            </w:r>
            <w:r>
              <w:rPr>
                <w:noProof/>
                <w:sz w:val="20"/>
                <w:szCs w:val="20"/>
              </w:rPr>
              <w:t xml:space="preserve"> (Passeriformes)</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US, LK</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generellt förslaget att djurkommittén ska överväga bevarandekonsekvenserna av handeln med tättingar. Eventuellt förbättra inriktningen och förtydliga omfattningen.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Afrikansk lagerhägg (</w:t>
            </w:r>
            <w:r>
              <w:rPr>
                <w:b/>
                <w:i/>
                <w:noProof/>
                <w:color w:val="000000" w:themeColor="text1"/>
                <w:sz w:val="20"/>
              </w:rPr>
              <w:t>Prunus africana</w:t>
            </w:r>
            <w:r>
              <w:rPr>
                <w:noProof/>
                <w:color w:val="000000" w:themeColor="text1"/>
                <w:sz w:val="20"/>
              </w:rPr>
              <w:t xml:space="preserve">) </w:t>
            </w:r>
            <w:r>
              <w:rPr>
                <w:noProof/>
                <w:color w:val="000000" w:themeColor="text1"/>
                <w:sz w:val="20"/>
                <w:u w:val="single"/>
              </w:rPr>
              <w:t>CoP18 Doc. 80</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antagande av utkasten till beslut. Beroende på resultaten av det regionala möte för Afrika inom Cites-programmet för trädarter som ska äga rum i mars 2019 kan det behövas ytterligare revideringar av utkasten till beslut.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81.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Grå jako</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rPr>
              <w:t>(</w:t>
            </w:r>
            <w:r>
              <w:rPr>
                <w:i/>
                <w:noProof/>
                <w:color w:val="000000" w:themeColor="text1"/>
                <w:sz w:val="20"/>
                <w:szCs w:val="20"/>
              </w:rPr>
              <w:t>Psittacus</w:t>
            </w:r>
            <w:r>
              <w:rPr>
                <w:i/>
                <w:noProof/>
                <w:color w:val="000000" w:themeColor="text1"/>
                <w:sz w:val="20"/>
                <w:szCs w:val="20"/>
              </w:rPr>
              <w:t xml:space="preserve"> erithacus</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Öppna för en förlängning av tidsfristen för registrering av avelsanläggning. mer information behövs dock om möjlig återutsättning av </w:t>
            </w:r>
            <w:r>
              <w:rPr>
                <w:i/>
                <w:noProof/>
                <w:color w:val="000000" w:themeColor="text1"/>
                <w:sz w:val="20"/>
              </w:rPr>
              <w:t>Psittacus erithacus</w:t>
            </w:r>
            <w:r>
              <w:rPr>
                <w:noProof/>
                <w:color w:val="000000" w:themeColor="text1"/>
                <w:sz w:val="20"/>
              </w:rPr>
              <w:t xml:space="preserve"> innan man godkänner tillägg av en ny punkt f till beslut 17.256. Ändringar av texten för</w:t>
            </w:r>
            <w:r>
              <w:rPr>
                <w:noProof/>
                <w:color w:val="000000" w:themeColor="text1"/>
                <w:sz w:val="20"/>
              </w:rPr>
              <w:t>efaller nödvändiga före antagande.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Banggaikardinal</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uppsättningen av utkast till beslut; EU är berett att stödja Indonesien i genomförandet av beslut 18.AA.</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szCs w:val="20"/>
              </w:rPr>
              <w:t>83.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Noshörningar</w:t>
            </w:r>
            <w:r>
              <w:rPr>
                <w:noProof/>
                <w:sz w:val="20"/>
                <w:szCs w:val="20"/>
              </w:rPr>
              <w:t xml:space="preserve"> (Rhinocerotidae spp.)</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Rapport från ständiga kommittén och sekretariatet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i/>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Ändringar av konferensresolution 9.14 (Rev. CoP17) om </w:t>
            </w:r>
            <w:r>
              <w:rPr>
                <w:i/>
                <w:noProof/>
                <w:color w:val="000000" w:themeColor="text1"/>
                <w:sz w:val="20"/>
              </w:rPr>
              <w:t>Conservation of and trade in African and Asian rhinoceroses</w:t>
            </w:r>
            <w:r>
              <w:rPr>
                <w:noProof/>
                <w:color w:val="000000" w:themeColor="text1"/>
                <w:sz w:val="20"/>
              </w:rPr>
              <w:t>, och tillhörande beslut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Föreslagna ändringar av resolutionen om a) att stänga inhemska marknader, b) att inbegripa privatägda noshörningshorn i registreringen av lager och förstöring av lager, c) att parterna lämnar regelbundna rapporter till ständiga kommittén. Fortsatt granskni</w:t>
            </w:r>
            <w:r>
              <w:rPr>
                <w:noProof/>
                <w:color w:val="000000" w:themeColor="text1"/>
                <w:sz w:val="20"/>
              </w:rPr>
              <w:t>ng av vilken bevarandenytta som behövs, och föreslagna ändringar och utkast till beslut behöver analyseras i sin helhet när dokument 83.1 är tillgängligt.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Hjälmnäshornsfågel</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noProof/>
                <w:color w:val="000000" w:themeColor="text1"/>
                <w:sz w:val="20"/>
                <w:u w:val="single"/>
              </w:rPr>
              <w:t>CoP18 Doc. 84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utkasten till beslut i bilaga 1, </w:t>
            </w:r>
            <w:r>
              <w:rPr>
                <w:noProof/>
                <w:color w:val="000000" w:themeColor="text1"/>
                <w:sz w:val="20"/>
              </w:rPr>
              <w:t>inklusive sekretariatets föreslagna ändringar, och stryk besluten 17.264, 17.265 och 17.266.</w:t>
            </w:r>
          </w:p>
        </w:tc>
        <w:tc>
          <w:tcPr>
            <w:tcW w:w="992" w:type="dxa"/>
            <w:tcMar>
              <w:top w:w="60" w:type="dxa"/>
              <w:left w:w="135" w:type="dxa"/>
              <w:bottom w:w="60" w:type="dxa"/>
              <w:right w:w="135" w:type="dxa"/>
            </w:tcMar>
            <w:vAlign w:val="center"/>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Jättevingsnäcka</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86.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Saiga</w:t>
            </w:r>
            <w:r>
              <w:rPr>
                <w:noProof/>
                <w:sz w:val="20"/>
                <w:szCs w:val="20"/>
              </w:rPr>
              <w:t>antilop (</w:t>
            </w:r>
            <w:r>
              <w:rPr>
                <w:i/>
                <w:noProof/>
                <w:color w:val="000000" w:themeColor="text1"/>
                <w:sz w:val="20"/>
                <w:szCs w:val="20"/>
              </w:rPr>
              <w:t xml:space="preserve">Saiga </w:t>
            </w:r>
            <w:r>
              <w:rPr>
                <w:noProof/>
                <w:sz w:val="20"/>
                <w:szCs w:val="20"/>
              </w:rPr>
              <w:t>spp.)</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86</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noProof/>
                <w:color w:val="000000" w:themeColor="text1"/>
                <w:sz w:val="20"/>
                <w:szCs w:val="20"/>
              </w:rPr>
            </w:pPr>
            <w:r>
              <w:rPr>
                <w:noProof/>
                <w:color w:val="000000" w:themeColor="text1"/>
                <w:sz w:val="20"/>
              </w:rPr>
              <w:t>Stöd dokumentet som bygger på resultatet av diskussionerna i ständiga kommittén och som inriktas på utbredningsstaterna för saiga, i syfte att förbättra hanteringen av lagren av delar och produkter av arten, för att förbättra deras kapacitet att bekämpa ol</w:t>
            </w:r>
            <w:r>
              <w:rPr>
                <w:noProof/>
                <w:color w:val="000000" w:themeColor="text1"/>
                <w:sz w:val="20"/>
              </w:rPr>
              <w:t xml:space="preserve">aglig handel och öka insatserna för bevarande in situ och ex situ; stöd sekretariatets förslag om att låta djurkommittén delta i genomförandet av ett beslut. Besluten kan komma att behöva ändras beroende på om man beslutar att överföra hela släktet </w:t>
            </w:r>
            <w:r>
              <w:rPr>
                <w:i/>
                <w:noProof/>
                <w:color w:val="000000" w:themeColor="text1"/>
                <w:sz w:val="20"/>
              </w:rPr>
              <w:t>Saiga</w:t>
            </w:r>
            <w:r>
              <w:rPr>
                <w:noProof/>
                <w:color w:val="000000" w:themeColor="text1"/>
                <w:sz w:val="20"/>
              </w:rPr>
              <w:t xml:space="preserve"> s</w:t>
            </w:r>
            <w:r>
              <w:rPr>
                <w:noProof/>
                <w:color w:val="000000" w:themeColor="text1"/>
                <w:sz w:val="20"/>
              </w:rPr>
              <w:t>pp. till bilaga I.</w:t>
            </w:r>
          </w:p>
          <w:p w:rsidR="00122B26" w:rsidRDefault="007F7137">
            <w:pPr>
              <w:spacing w:before="0" w:after="0"/>
              <w:jc w:val="left"/>
              <w:rPr>
                <w:rFonts w:eastAsia="Times New Roman"/>
                <w:noProof/>
                <w:color w:val="000000" w:themeColor="text1"/>
                <w:sz w:val="20"/>
                <w:szCs w:val="20"/>
              </w:rPr>
            </w:pPr>
            <w:r>
              <w:rPr>
                <w:noProof/>
                <w:color w:val="000000" w:themeColor="text1"/>
                <w:sz w:val="20"/>
              </w:rPr>
              <w:t>Överväg om några element i besluten 17.268, 17.269 och 17.270 bör behållas.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Bevarande av </w:t>
            </w:r>
            <w:r>
              <w:rPr>
                <w:b/>
                <w:noProof/>
                <w:color w:val="000000" w:themeColor="text1"/>
                <w:sz w:val="20"/>
              </w:rPr>
              <w:t>titicacagroda</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Landsköldpaddor</w:t>
            </w:r>
            <w:r>
              <w:rPr>
                <w:noProof/>
                <w:sz w:val="20"/>
                <w:szCs w:val="20"/>
              </w:rPr>
              <w:t xml:space="preserve"> och sötvattensköldpaddor (Testudines spp.)</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88</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 Sec.</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generellt utkastet till reviderad version av konferensresolution 11.9 om </w:t>
            </w:r>
            <w:r>
              <w:rPr>
                <w:i/>
                <w:noProof/>
                <w:color w:val="000000" w:themeColor="text1"/>
                <w:sz w:val="20"/>
              </w:rPr>
              <w:t xml:space="preserve">Conservation of and trade in tortoises and freshwater turtles </w:t>
            </w:r>
            <w:r>
              <w:rPr>
                <w:noProof/>
                <w:color w:val="000000" w:themeColor="text1"/>
                <w:sz w:val="20"/>
              </w:rPr>
              <w:t>och de utkast till beslut som föreslagits av sek</w:t>
            </w:r>
            <w:r>
              <w:rPr>
                <w:noProof/>
                <w:color w:val="000000" w:themeColor="text1"/>
                <w:sz w:val="20"/>
              </w:rPr>
              <w:t>retariatet; överväg om arbetet bör inriktas på praktiska behov.</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89.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Kalifornisk vekfisk</w:t>
            </w:r>
            <w:r>
              <w:rPr>
                <w:noProof/>
                <w:color w:val="000000" w:themeColor="text1"/>
                <w:sz w:val="20"/>
              </w:rPr>
              <w:t xml:space="preserve"> (</w:t>
            </w:r>
            <w:r>
              <w:rPr>
                <w:i/>
                <w:noProof/>
                <w:color w:val="000000" w:themeColor="text1"/>
                <w:sz w:val="20"/>
              </w:rPr>
              <w:t>Totoaba macdonaldi</w:t>
            </w:r>
            <w:r>
              <w:rPr>
                <w:noProof/>
                <w:color w:val="000000" w:themeColor="text1"/>
                <w:sz w:val="20"/>
              </w:rPr>
              <w:t xml:space="preserve">) </w:t>
            </w:r>
            <w:r>
              <w:rPr>
                <w:noProof/>
                <w:color w:val="000000" w:themeColor="text1"/>
                <w:sz w:val="20"/>
                <w:u w:val="single"/>
              </w:rPr>
              <w:t>CoP18 Doc. 89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utkasten till beslut om ytterligare insamling av information från parterna; informations- och efterlevnadsåtgärder; </w:t>
            </w:r>
            <w:r>
              <w:rPr>
                <w:noProof/>
                <w:color w:val="000000" w:themeColor="text1"/>
                <w:sz w:val="20"/>
              </w:rPr>
              <w:t>studie av kaliforniatumlare och kalifornisk vekfisk (grunddragen överenskomna av ständiga kommittén) som ska utföras av sekretariatet.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90.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Öresvin/flasknosdelfin</w:t>
            </w:r>
            <w:r>
              <w:rPr>
                <w:noProof/>
                <w:color w:val="000000" w:themeColor="text1"/>
                <w:sz w:val="20"/>
              </w:rPr>
              <w:t>, underarten i Svarta havet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90</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utkastet </w:t>
            </w:r>
            <w:r>
              <w:rPr>
                <w:noProof/>
                <w:color w:val="000000" w:themeColor="text1"/>
                <w:sz w:val="20"/>
              </w:rPr>
              <w:t>till beslut om att sekretariatet ska samarbeta med ACCOBAMS.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Bevarande av </w:t>
            </w:r>
            <w:r>
              <w:rPr>
                <w:b/>
                <w:noProof/>
                <w:color w:val="000000" w:themeColor="text1"/>
                <w:sz w:val="20"/>
              </w:rPr>
              <w:t>vikunja</w:t>
            </w:r>
            <w:r>
              <w:rPr>
                <w:noProof/>
                <w:color w:val="000000" w:themeColor="text1"/>
                <w:sz w:val="20"/>
              </w:rPr>
              <w:t xml:space="preserve"> (</w:t>
            </w:r>
            <w:r>
              <w:rPr>
                <w:i/>
                <w:noProof/>
                <w:color w:val="000000" w:themeColor="text1"/>
                <w:sz w:val="20"/>
              </w:rPr>
              <w:t>Vicugna vicugna</w:t>
            </w:r>
            <w:r>
              <w:rPr>
                <w:noProof/>
                <w:color w:val="000000" w:themeColor="text1"/>
                <w:sz w:val="20"/>
              </w:rPr>
              <w:t>), och handel med fibrer och produkter av vikunja</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generellt utkastet till resolution om bevarande av vikunja och om handel med fibrer och produkter av vikunja. dokumentet har utarbetats inom konventionen för bevarande och förvaltning av vikunja. Ytterligare diskussion krävs om textens format och form</w:t>
            </w:r>
            <w:r>
              <w:rPr>
                <w:noProof/>
                <w:color w:val="000000" w:themeColor="text1"/>
                <w:sz w:val="20"/>
              </w:rPr>
              <w:t xml:space="preserve">ulering. </w:t>
            </w:r>
            <w:r>
              <w:rPr>
                <w:i/>
                <w:noProof/>
                <w:color w:val="000000" w:themeColor="text1"/>
                <w:sz w:val="20"/>
              </w:rPr>
              <w:t>Överväg tillsammans med nr 53.</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sz w:val="20"/>
                <w:szCs w:val="20"/>
              </w:rPr>
              <w:t xml:space="preserve">Arter listade i </w:t>
            </w:r>
            <w:r>
              <w:rPr>
                <w:b/>
                <w:noProof/>
                <w:sz w:val="20"/>
                <w:szCs w:val="20"/>
              </w:rPr>
              <w:t>bilaga I</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92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 AC, 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strykning av besluten 17.22 till 17.25. Stöd antagande.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Neotropiska trädarter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93</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antagande av utkasten till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Bevarandeförvaltning av och handel med </w:t>
            </w:r>
            <w:r>
              <w:rPr>
                <w:b/>
                <w:noProof/>
                <w:color w:val="000000" w:themeColor="text1"/>
                <w:sz w:val="20"/>
                <w:szCs w:val="20"/>
              </w:rPr>
              <w:t>marina akvariefiskar</w:t>
            </w:r>
            <w:r>
              <w:rPr>
                <w:noProof/>
                <w:color w:val="000000" w:themeColor="text1"/>
                <w:sz w:val="20"/>
                <w:szCs w:val="20"/>
              </w:rPr>
              <w:t xml:space="preserve"> </w:t>
            </w:r>
            <w:r>
              <w:rPr>
                <w:noProof/>
                <w:color w:val="000000" w:themeColor="text1"/>
                <w:sz w:val="20"/>
                <w:szCs w:val="20"/>
                <w:u w:val="single"/>
              </w:rPr>
              <w:t>CoP18 Doc. 94</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CH, US, EU</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utkasten till beslut (där EU är medförslagsställare).</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Vägledningmaterial, verksamheter och verktyg som syftar till att förbättra parternas kapacitet att reglera handeln med kött från vilda djur, s.k. </w:t>
            </w:r>
            <w:r>
              <w:rPr>
                <w:b/>
                <w:noProof/>
                <w:color w:val="000000" w:themeColor="text1"/>
                <w:sz w:val="20"/>
                <w:szCs w:val="20"/>
              </w:rPr>
              <w:t>bushmeat</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b/>
                <w:noProof/>
                <w:color w:val="000000" w:themeColor="text1"/>
                <w:sz w:val="20"/>
                <w:szCs w:val="20"/>
              </w:rPr>
            </w:pPr>
            <w:r>
              <w:rPr>
                <w:b/>
                <w:noProof/>
                <w:color w:val="000000" w:themeColor="text1"/>
                <w:sz w:val="20"/>
                <w:szCs w:val="20"/>
              </w:rPr>
              <w:t>Initiativet för afrikanska rovdjur (African Ca</w:t>
            </w:r>
            <w:r>
              <w:rPr>
                <w:b/>
                <w:noProof/>
                <w:color w:val="000000" w:themeColor="text1"/>
                <w:sz w:val="20"/>
                <w:szCs w:val="20"/>
              </w:rPr>
              <w:t>rnivore Initiative)</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Handel med och bevarandeförvaltning av </w:t>
            </w:r>
            <w:r>
              <w:rPr>
                <w:b/>
                <w:noProof/>
                <w:color w:val="000000" w:themeColor="text1"/>
                <w:sz w:val="20"/>
              </w:rPr>
              <w:t>gamar</w:t>
            </w:r>
            <w:r>
              <w:rPr>
                <w:noProof/>
                <w:color w:val="000000" w:themeColor="text1"/>
                <w:sz w:val="20"/>
              </w:rPr>
              <w:t xml:space="preserve"> i Västafrika </w:t>
            </w:r>
            <w:r>
              <w:rPr>
                <w:rFonts w:eastAsia="Times New Roman"/>
                <w:noProof/>
                <w:color w:val="000000" w:themeColor="text1"/>
                <w:sz w:val="20"/>
                <w:szCs w:val="20"/>
              </w:rPr>
              <w:br/>
            </w:r>
            <w:r>
              <w:rPr>
                <w:noProof/>
                <w:color w:val="000000" w:themeColor="text1"/>
                <w:sz w:val="20"/>
                <w:u w:val="single"/>
              </w:rPr>
              <w:t>CoP18 Doc. 97</w:t>
            </w:r>
          </w:p>
        </w:tc>
        <w:tc>
          <w:tcPr>
            <w:tcW w:w="1423" w:type="dxa"/>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rsidR="00122B26" w:rsidRDefault="007F7137">
            <w:pPr>
              <w:spacing w:before="0" w:after="0"/>
              <w:jc w:val="left"/>
              <w:rPr>
                <w:noProof/>
                <w:color w:val="000000" w:themeColor="text1"/>
                <w:sz w:val="20"/>
                <w:szCs w:val="20"/>
              </w:rPr>
            </w:pPr>
            <w:r>
              <w:rPr>
                <w:noProof/>
                <w:color w:val="000000" w:themeColor="text1"/>
                <w:sz w:val="20"/>
              </w:rPr>
              <w:t>Stöd uppsättningen av beslut som kommer att främja synergier med konventionen om skydd av flyttande vilda djur (CMS). Det är mycket viktigt att ta itu med olaglig förgiftning och handel baserad på trosföreställningar, och det finns starka kopplingar mellan</w:t>
            </w:r>
            <w:r>
              <w:rPr>
                <w:noProof/>
                <w:color w:val="000000" w:themeColor="text1"/>
                <w:sz w:val="20"/>
              </w:rPr>
              <w:t xml:space="preserve"> tjuvjakt på elefant/noshörning och fall av förgiftning av gamar. En av de arter som tas upp i dokumentet, smutsgam, häckar regelbundet i EU och övervintrar i Afrika. </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122B26">
        <w:trPr>
          <w:cantSplit/>
        </w:trPr>
        <w:tc>
          <w:tcPr>
            <w:tcW w:w="4382" w:type="dxa"/>
            <w:gridSpan w:val="5"/>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u w:val="single"/>
              </w:rPr>
              <w:t>Underhåll av bilagorna</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122B2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7F7137">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98.</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color w:val="000000" w:themeColor="text1"/>
                <w:sz w:val="20"/>
              </w:rPr>
              <w:t>Reservationer</w:t>
            </w:r>
            <w:r>
              <w:rPr>
                <w:noProof/>
                <w:color w:val="000000" w:themeColor="text1"/>
                <w:sz w:val="20"/>
              </w:rPr>
              <w:t xml:space="preserve"> avseende ändringar av bilagorna I och II </w:t>
            </w:r>
            <w:r>
              <w:rPr>
                <w:noProof/>
                <w:color w:val="000000" w:themeColor="text1"/>
                <w:sz w:val="20"/>
                <w:u w:val="single"/>
              </w:rPr>
              <w:t>CoP18 Doc. 98</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föreslagna ändringar av konferensresolution 4.25 om </w:t>
            </w:r>
            <w:r>
              <w:rPr>
                <w:i/>
                <w:noProof/>
                <w:color w:val="000000" w:themeColor="text1"/>
                <w:sz w:val="20"/>
              </w:rPr>
              <w:t>Reservations</w:t>
            </w:r>
            <w:r>
              <w:rPr>
                <w:noProof/>
                <w:color w:val="000000" w:themeColor="text1"/>
                <w:sz w:val="20"/>
              </w:rPr>
              <w:t>, för att bekräfta 90-dagarsfristen för reservationer till listningar i bilagorna I och II, och för att klargöra när återkalla</w:t>
            </w:r>
            <w:r>
              <w:rPr>
                <w:noProof/>
                <w:color w:val="000000" w:themeColor="text1"/>
                <w:sz w:val="20"/>
              </w:rPr>
              <w:t>ndet av en reservation får verkan.</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Standard</w:t>
            </w:r>
            <w:r>
              <w:rPr>
                <w:b/>
                <w:noProof/>
                <w:color w:val="000000" w:themeColor="text1"/>
                <w:sz w:val="20"/>
              </w:rPr>
              <w:t>nomenklatur</w:t>
            </w:r>
            <w:r>
              <w:rPr>
                <w:rFonts w:eastAsia="Times New Roman"/>
                <w:noProof/>
                <w:color w:val="000000" w:themeColor="text1"/>
                <w:sz w:val="20"/>
                <w:szCs w:val="20"/>
              </w:rPr>
              <w:br/>
            </w:r>
            <w:r>
              <w:rPr>
                <w:noProof/>
                <w:color w:val="000000" w:themeColor="text1"/>
                <w:sz w:val="20"/>
                <w:u w:val="single"/>
              </w:rPr>
              <w:t>CoP18 Doc. 99</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AC, PC, Sec.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föreslagna ändringar av bilagan till konferensresolution 12.11 och tillhörande utkast till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Bilaga 5: Föreslagna nya standardverk för Cites nomenklatur för fåglar (klass Aves) </w:t>
            </w:r>
            <w:r>
              <w:rPr>
                <w:rFonts w:eastAsia="Times New Roman"/>
                <w:noProof/>
                <w:color w:val="000000" w:themeColor="text1"/>
                <w:sz w:val="20"/>
                <w:szCs w:val="20"/>
              </w:rPr>
              <w:br/>
            </w:r>
            <w:r>
              <w:rPr>
                <w:noProof/>
                <w:color w:val="000000" w:themeColor="text1"/>
                <w:sz w:val="20"/>
                <w:u w:val="single"/>
              </w:rPr>
              <w:t>CoP18 Doc. 99 A5</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Notera konsultens rapport om standardverk för nomenklatur för fåglar.</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Bilaga 6: Föreslagna ändringar i den offentliggjorda litteraturen om nomenklatur för Cites-listade djurarter för vilka djurkommittén, vid tiden för inlämnande av dokument till CoP18, ännu inte hade kommit fram till en rekommendation om antagande eller avvi</w:t>
            </w:r>
            <w:r>
              <w:rPr>
                <w:noProof/>
                <w:color w:val="000000" w:themeColor="text1"/>
                <w:sz w:val="20"/>
              </w:rPr>
              <w:t xml:space="preserve">sande för Cites-ändamål. </w:t>
            </w:r>
            <w:r>
              <w:rPr>
                <w:rFonts w:eastAsia="Times New Roman"/>
                <w:noProof/>
                <w:color w:val="000000" w:themeColor="text1"/>
                <w:sz w:val="20"/>
                <w:szCs w:val="20"/>
              </w:rPr>
              <w:br/>
            </w:r>
            <w:r>
              <w:rPr>
                <w:noProof/>
                <w:color w:val="000000" w:themeColor="text1"/>
                <w:sz w:val="20"/>
                <w:u w:val="single"/>
              </w:rPr>
              <w:t>CoP18 Doc. 99 A6</w:t>
            </w:r>
          </w:p>
        </w:tc>
        <w:tc>
          <w:tcPr>
            <w:tcW w:w="1423" w:type="dxa"/>
            <w:tcMar>
              <w:top w:w="60" w:type="dxa"/>
              <w:left w:w="135" w:type="dxa"/>
              <w:bottom w:w="60" w:type="dxa"/>
              <w:right w:w="135" w:type="dxa"/>
            </w:tcMar>
            <w:vAlign w:val="center"/>
            <w:hideMark/>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122B26" w:rsidRDefault="00122B2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Upptagande av arter i </w:t>
            </w:r>
            <w:r>
              <w:rPr>
                <w:b/>
                <w:noProof/>
                <w:color w:val="000000" w:themeColor="text1"/>
                <w:sz w:val="20"/>
              </w:rPr>
              <w:t>bilaga III</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i/>
                <w:noProof/>
                <w:color w:val="000000" w:themeColor="text1"/>
                <w:sz w:val="20"/>
                <w:szCs w:val="20"/>
              </w:rPr>
            </w:pPr>
            <w:r>
              <w:rPr>
                <w:i/>
                <w:noProof/>
                <w:color w:val="000000" w:themeColor="text1"/>
                <w:sz w:val="20"/>
              </w:rPr>
              <w:t>Dokumentet ännu inte tillgängligt den 1 mars.</w:t>
            </w:r>
          </w:p>
        </w:tc>
        <w:tc>
          <w:tcPr>
            <w:tcW w:w="992" w:type="dxa"/>
            <w:tcMar>
              <w:top w:w="60" w:type="dxa"/>
              <w:left w:w="135" w:type="dxa"/>
              <w:bottom w:w="60" w:type="dxa"/>
              <w:right w:w="135" w:type="dxa"/>
            </w:tcMar>
            <w:vAlign w:val="center"/>
            <w:hideMark/>
          </w:tcPr>
          <w:p w:rsidR="00122B26" w:rsidRDefault="007F7137">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szCs w:val="20"/>
              </w:rPr>
              <w:t>101.</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b/>
                <w:noProof/>
                <w:sz w:val="20"/>
                <w:szCs w:val="20"/>
              </w:rPr>
              <w:t>Noter</w:t>
            </w:r>
            <w:r>
              <w:rPr>
                <w:noProof/>
                <w:color w:val="000000" w:themeColor="text1"/>
                <w:sz w:val="20"/>
                <w:szCs w:val="20"/>
              </w:rPr>
              <w:t xml:space="preserve"> </w:t>
            </w:r>
            <w:r>
              <w:rPr>
                <w:rFonts w:eastAsia="Times New Roman"/>
                <w:noProof/>
                <w:color w:val="000000" w:themeColor="text1"/>
                <w:sz w:val="20"/>
                <w:szCs w:val="20"/>
              </w:rPr>
              <w:br/>
            </w:r>
            <w:r>
              <w:rPr>
                <w:noProof/>
                <w:color w:val="000000" w:themeColor="text1"/>
                <w:sz w:val="20"/>
                <w:szCs w:val="20"/>
                <w:u w:val="single"/>
              </w:rPr>
              <w:t>CoP18 Doc. 101</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föreslagen ändring av konferensresolution 11.21 (Rev. CoP17), revidering av punkt 7 </w:t>
            </w:r>
            <w:r>
              <w:rPr>
                <w:noProof/>
                <w:color w:val="000000" w:themeColor="text1"/>
                <w:sz w:val="20"/>
              </w:rPr>
              <w:t>av tolkningsavsnittet i bilagorna till Cites, och utkasten till beslut som ingår i bilaga 4. Stöd föreslagna ändringar av beslut 16.162 (Rev. CoP17) men fortsätt vara öppen för potentiella ändringar beroende på resultatet angående not #15.</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Noter för </w:t>
            </w:r>
            <w:r>
              <w:rPr>
                <w:b/>
                <w:noProof/>
                <w:color w:val="000000" w:themeColor="text1"/>
                <w:sz w:val="20"/>
              </w:rPr>
              <w:t>orkidéer</w:t>
            </w:r>
            <w:r>
              <w:rPr>
                <w:noProof/>
                <w:color w:val="000000" w:themeColor="text1"/>
                <w:sz w:val="20"/>
              </w:rPr>
              <w:t xml:space="preserve"> i bilaga II </w:t>
            </w:r>
            <w:r>
              <w:rPr>
                <w:noProof/>
                <w:color w:val="000000" w:themeColor="text1"/>
                <w:sz w:val="20"/>
                <w:u w:val="single"/>
              </w:rPr>
              <w:t>CoP18 Doc. 102</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Stöd utkastet till definition av termen ”kosmetika” och antagandet av föreslagna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Pr>
        <w:tc>
          <w:tcPr>
            <w:tcW w:w="0" w:type="auto"/>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lastRenderedPageBreak/>
              <w:t>103.</w:t>
            </w:r>
          </w:p>
        </w:tc>
        <w:tc>
          <w:tcPr>
            <w:tcW w:w="3731" w:type="dxa"/>
            <w:gridSpan w:val="4"/>
            <w:shd w:val="clear" w:color="auto" w:fill="auto"/>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Vägledning för </w:t>
            </w:r>
            <w:r>
              <w:rPr>
                <w:b/>
                <w:noProof/>
                <w:color w:val="000000" w:themeColor="text1"/>
                <w:sz w:val="20"/>
              </w:rPr>
              <w:t>offentliggörande</w:t>
            </w:r>
            <w:r>
              <w:rPr>
                <w:noProof/>
                <w:color w:val="000000" w:themeColor="text1"/>
                <w:sz w:val="20"/>
              </w:rPr>
              <w:t xml:space="preserve"> av bilagorna </w:t>
            </w:r>
            <w:r>
              <w:rPr>
                <w:rFonts w:eastAsia="Times New Roman"/>
                <w:noProof/>
                <w:color w:val="000000" w:themeColor="text1"/>
                <w:sz w:val="20"/>
                <w:szCs w:val="20"/>
              </w:rPr>
              <w:br/>
            </w:r>
            <w:r>
              <w:rPr>
                <w:noProof/>
                <w:color w:val="000000" w:themeColor="text1"/>
                <w:sz w:val="20"/>
                <w:u w:val="single"/>
              </w:rPr>
              <w:t>CoP18 Doc. 103</w:t>
            </w:r>
          </w:p>
        </w:tc>
        <w:tc>
          <w:tcPr>
            <w:tcW w:w="1423" w:type="dxa"/>
            <w:shd w:val="clear" w:color="auto" w:fill="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Överväg behovet av den föreslagna vägledningen</w:t>
            </w:r>
            <w:r>
              <w:rPr>
                <w:noProof/>
                <w:color w:val="000000" w:themeColor="text1"/>
                <w:sz w:val="20"/>
              </w:rPr>
              <w:t xml:space="preserve"> om noter, även mot bakgrund av kommande kommentarer från sekretariatet.</w:t>
            </w:r>
          </w:p>
        </w:tc>
        <w:tc>
          <w:tcPr>
            <w:tcW w:w="992" w:type="dxa"/>
            <w:shd w:val="clear" w:color="auto" w:fill="auto"/>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122B26">
        <w:trPr>
          <w:cantSplit/>
        </w:trPr>
        <w:tc>
          <w:tcPr>
            <w:tcW w:w="0" w:type="auto"/>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 xml:space="preserve">Översyn av konferensresolution 10.9 om </w:t>
            </w:r>
            <w:r>
              <w:rPr>
                <w:i/>
                <w:noProof/>
                <w:color w:val="000000" w:themeColor="text1"/>
                <w:sz w:val="20"/>
              </w:rPr>
              <w:t xml:space="preserve">övervägande av förslag om </w:t>
            </w:r>
            <w:r>
              <w:rPr>
                <w:b/>
                <w:i/>
                <w:noProof/>
                <w:color w:val="000000" w:themeColor="text1"/>
                <w:sz w:val="20"/>
              </w:rPr>
              <w:t>överföring av populationer av afrikansk elefant från bilaga I till bilaga II</w:t>
            </w:r>
            <w:r>
              <w:rPr>
                <w:rFonts w:eastAsia="Times New Roman"/>
                <w:b/>
                <w:i/>
                <w:iCs/>
                <w:noProof/>
                <w:color w:val="000000" w:themeColor="text1"/>
                <w:sz w:val="20"/>
                <w:szCs w:val="20"/>
              </w:rPr>
              <w:br/>
            </w:r>
            <w:r>
              <w:rPr>
                <w:noProof/>
                <w:color w:val="000000" w:themeColor="text1"/>
                <w:sz w:val="20"/>
                <w:u w:val="single"/>
              </w:rPr>
              <w:t>CoP18 Doc. 104</w:t>
            </w:r>
          </w:p>
        </w:tc>
        <w:tc>
          <w:tcPr>
            <w:tcW w:w="1423"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122B26" w:rsidRDefault="007F7137">
            <w:pPr>
              <w:spacing w:before="0" w:after="0"/>
              <w:jc w:val="left"/>
              <w:rPr>
                <w:rFonts w:eastAsia="Times New Roman"/>
                <w:noProof/>
                <w:color w:val="000000" w:themeColor="text1"/>
                <w:sz w:val="20"/>
                <w:szCs w:val="20"/>
              </w:rPr>
            </w:pPr>
            <w:r>
              <w:rPr>
                <w:noProof/>
                <w:color w:val="000000" w:themeColor="text1"/>
                <w:sz w:val="20"/>
              </w:rPr>
              <w:t xml:space="preserve">Stöd det </w:t>
            </w:r>
            <w:r>
              <w:rPr>
                <w:noProof/>
                <w:color w:val="000000" w:themeColor="text1"/>
                <w:sz w:val="20"/>
              </w:rPr>
              <w:t>föreslagna upphävandet av resolutionen och strykningen av tillhörande beslut.</w:t>
            </w:r>
          </w:p>
        </w:tc>
        <w:tc>
          <w:tcPr>
            <w:tcW w:w="992" w:type="dxa"/>
            <w:tcMar>
              <w:top w:w="60" w:type="dxa"/>
              <w:left w:w="135" w:type="dxa"/>
              <w:bottom w:w="60" w:type="dxa"/>
              <w:right w:w="135" w:type="dxa"/>
            </w:tcMar>
            <w:vAlign w:val="center"/>
            <w:hideMark/>
          </w:tcPr>
          <w:p w:rsidR="00122B26" w:rsidRDefault="007F7137">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122B26">
        <w:trPr>
          <w:cantSplit/>
          <w:trHeight w:val="326"/>
        </w:trPr>
        <w:tc>
          <w:tcPr>
            <w:tcW w:w="9207" w:type="dxa"/>
            <w:gridSpan w:val="8"/>
            <w:tcMar>
              <w:top w:w="60" w:type="dxa"/>
              <w:left w:w="135" w:type="dxa"/>
              <w:bottom w:w="60" w:type="dxa"/>
              <w:right w:w="135" w:type="dxa"/>
            </w:tcMar>
            <w:hideMark/>
          </w:tcPr>
          <w:p w:rsidR="00122B26" w:rsidRDefault="007F7137">
            <w:pPr>
              <w:keepNext/>
              <w:spacing w:before="0" w:after="0"/>
              <w:jc w:val="left"/>
              <w:rPr>
                <w:rFonts w:eastAsia="Times New Roman"/>
                <w:b/>
                <w:bCs/>
                <w:noProof/>
                <w:color w:val="000000" w:themeColor="text1"/>
                <w:sz w:val="20"/>
                <w:szCs w:val="20"/>
              </w:rPr>
            </w:pPr>
            <w:r>
              <w:rPr>
                <w:b/>
                <w:noProof/>
                <w:color w:val="000000" w:themeColor="text1"/>
                <w:sz w:val="20"/>
              </w:rPr>
              <w:t>Förslag till ändring av bilagorna</w:t>
            </w:r>
          </w:p>
        </w:tc>
      </w:tr>
      <w:tr w:rsidR="00122B26">
        <w:trPr>
          <w:cantSplit/>
        </w:trPr>
        <w:tc>
          <w:tcPr>
            <w:tcW w:w="651"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rsidR="00122B26" w:rsidRDefault="007F7137">
            <w:pPr>
              <w:keepNext/>
              <w:spacing w:before="0" w:after="0" w:line="240" w:lineRule="atLeast"/>
              <w:jc w:val="left"/>
              <w:rPr>
                <w:rFonts w:eastAsia="Times New Roman"/>
                <w:noProof/>
                <w:color w:val="000000" w:themeColor="text1"/>
                <w:sz w:val="20"/>
                <w:szCs w:val="20"/>
              </w:rPr>
            </w:pPr>
            <w:r>
              <w:rPr>
                <w:noProof/>
                <w:color w:val="000000" w:themeColor="text1"/>
                <w:sz w:val="20"/>
              </w:rPr>
              <w:t>Förslag till ändringar av bilagorna I och II</w:t>
            </w:r>
          </w:p>
        </w:tc>
        <w:tc>
          <w:tcPr>
            <w:tcW w:w="1423" w:type="dxa"/>
            <w:tcMar>
              <w:top w:w="60" w:type="dxa"/>
              <w:left w:w="135" w:type="dxa"/>
              <w:bottom w:w="60" w:type="dxa"/>
              <w:right w:w="135" w:type="dxa"/>
            </w:tcMar>
            <w:vAlign w:val="center"/>
            <w:hideMark/>
          </w:tcPr>
          <w:p w:rsidR="00122B26" w:rsidRDefault="007F7137">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122B26" w:rsidRDefault="007F7137">
            <w:pPr>
              <w:keepNext/>
              <w:spacing w:before="0" w:after="0"/>
              <w:jc w:val="left"/>
              <w:rPr>
                <w:rFonts w:eastAsia="Times New Roman"/>
                <w:i/>
                <w:noProof/>
                <w:color w:val="000000" w:themeColor="text1"/>
                <w:sz w:val="20"/>
                <w:szCs w:val="20"/>
              </w:rPr>
            </w:pPr>
            <w:r>
              <w:rPr>
                <w:i/>
                <w:noProof/>
                <w:color w:val="000000" w:themeColor="text1"/>
                <w:sz w:val="20"/>
              </w:rPr>
              <w:t>Listningsförslag behandlas i del 2 av detta dokument, se nedan.</w:t>
            </w:r>
          </w:p>
        </w:tc>
        <w:tc>
          <w:tcPr>
            <w:tcW w:w="992" w:type="dxa"/>
            <w:tcMar>
              <w:top w:w="60" w:type="dxa"/>
              <w:left w:w="135" w:type="dxa"/>
              <w:bottom w:w="60" w:type="dxa"/>
              <w:right w:w="135" w:type="dxa"/>
            </w:tcMar>
            <w:vAlign w:val="center"/>
            <w:hideMark/>
          </w:tcPr>
          <w:p w:rsidR="00122B26" w:rsidRDefault="00122B26">
            <w:pPr>
              <w:keepNext/>
              <w:spacing w:before="0" w:after="0" w:line="240" w:lineRule="atLeast"/>
              <w:jc w:val="center"/>
              <w:rPr>
                <w:rFonts w:eastAsia="Times New Roman"/>
                <w:b/>
                <w:noProof/>
                <w:color w:val="000000" w:themeColor="text1"/>
                <w:sz w:val="20"/>
                <w:szCs w:val="20"/>
              </w:rPr>
            </w:pPr>
          </w:p>
        </w:tc>
      </w:tr>
      <w:tr w:rsidR="00122B26">
        <w:trPr>
          <w:cantSplit/>
        </w:trPr>
        <w:tc>
          <w:tcPr>
            <w:tcW w:w="9207" w:type="dxa"/>
            <w:gridSpan w:val="8"/>
            <w:tcMar>
              <w:top w:w="60" w:type="dxa"/>
              <w:left w:w="135" w:type="dxa"/>
              <w:bottom w:w="60" w:type="dxa"/>
              <w:right w:w="135" w:type="dxa"/>
            </w:tcMar>
            <w:hideMark/>
          </w:tcPr>
          <w:p w:rsidR="00122B26" w:rsidRDefault="007F7137">
            <w:pPr>
              <w:keepNext/>
              <w:spacing w:before="0" w:after="0"/>
              <w:jc w:val="left"/>
              <w:rPr>
                <w:rFonts w:eastAsia="Times New Roman"/>
                <w:b/>
                <w:bCs/>
                <w:noProof/>
                <w:color w:val="000000" w:themeColor="text1"/>
                <w:sz w:val="20"/>
                <w:szCs w:val="20"/>
              </w:rPr>
            </w:pPr>
            <w:r>
              <w:rPr>
                <w:b/>
                <w:noProof/>
                <w:color w:val="000000" w:themeColor="text1"/>
                <w:sz w:val="20"/>
              </w:rPr>
              <w:t>Avslutning av mötet</w:t>
            </w:r>
          </w:p>
        </w:tc>
      </w:tr>
      <w:tr w:rsidR="00122B26">
        <w:trPr>
          <w:cantSplit/>
        </w:trPr>
        <w:tc>
          <w:tcPr>
            <w:tcW w:w="651"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Fastställande av tid och plats för partskonferensens nästa ordinarie möte (inget dokument)</w:t>
            </w: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Inget dokument</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r w:rsidR="00122B26">
        <w:trPr>
          <w:cantSplit/>
        </w:trPr>
        <w:tc>
          <w:tcPr>
            <w:tcW w:w="651" w:type="dxa"/>
            <w:tcMar>
              <w:top w:w="60" w:type="dxa"/>
              <w:left w:w="135" w:type="dxa"/>
              <w:bottom w:w="60" w:type="dxa"/>
              <w:right w:w="135" w:type="dxa"/>
            </w:tcMar>
            <w:vAlign w:val="center"/>
            <w:hideMark/>
          </w:tcPr>
          <w:p w:rsidR="00122B26" w:rsidRDefault="007F7137">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rsidR="00122B26" w:rsidRDefault="007F7137">
            <w:pPr>
              <w:spacing w:before="0" w:after="0" w:line="240" w:lineRule="atLeast"/>
              <w:jc w:val="left"/>
              <w:rPr>
                <w:rFonts w:eastAsia="Times New Roman"/>
                <w:noProof/>
                <w:color w:val="000000" w:themeColor="text1"/>
                <w:sz w:val="20"/>
                <w:szCs w:val="20"/>
              </w:rPr>
            </w:pPr>
            <w:r>
              <w:rPr>
                <w:noProof/>
                <w:color w:val="000000" w:themeColor="text1"/>
                <w:sz w:val="20"/>
              </w:rPr>
              <w:t>Avslutningsanföranden (observatörer, parter, Cites generalsekreterare, värdregering) (inget dokument)</w:t>
            </w:r>
          </w:p>
        </w:tc>
        <w:tc>
          <w:tcPr>
            <w:tcW w:w="1423" w:type="dxa"/>
            <w:tcMar>
              <w:top w:w="60" w:type="dxa"/>
              <w:left w:w="135" w:type="dxa"/>
              <w:bottom w:w="60" w:type="dxa"/>
              <w:right w:w="135" w:type="dxa"/>
            </w:tcMar>
            <w:vAlign w:val="center"/>
          </w:tcPr>
          <w:p w:rsidR="00122B26" w:rsidRDefault="00122B2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122B26" w:rsidRDefault="007F7137">
            <w:pPr>
              <w:spacing w:before="0" w:after="0"/>
              <w:jc w:val="left"/>
              <w:rPr>
                <w:rFonts w:eastAsia="Times New Roman"/>
                <w:noProof/>
                <w:color w:val="000000" w:themeColor="text1"/>
                <w:sz w:val="20"/>
                <w:szCs w:val="20"/>
              </w:rPr>
            </w:pPr>
            <w:r>
              <w:rPr>
                <w:noProof/>
                <w:color w:val="000000" w:themeColor="text1"/>
                <w:sz w:val="20"/>
              </w:rPr>
              <w:t> Inget dokument</w:t>
            </w:r>
          </w:p>
        </w:tc>
        <w:tc>
          <w:tcPr>
            <w:tcW w:w="992" w:type="dxa"/>
            <w:tcMar>
              <w:top w:w="60" w:type="dxa"/>
              <w:left w:w="135" w:type="dxa"/>
              <w:bottom w:w="60" w:type="dxa"/>
              <w:right w:w="135" w:type="dxa"/>
            </w:tcMar>
            <w:vAlign w:val="center"/>
            <w:hideMark/>
          </w:tcPr>
          <w:p w:rsidR="00122B26" w:rsidRDefault="00122B26">
            <w:pPr>
              <w:spacing w:before="0" w:after="0" w:line="240" w:lineRule="atLeast"/>
              <w:jc w:val="center"/>
              <w:rPr>
                <w:rFonts w:eastAsia="Times New Roman"/>
                <w:b/>
                <w:noProof/>
                <w:color w:val="000000" w:themeColor="text1"/>
                <w:sz w:val="20"/>
                <w:szCs w:val="20"/>
              </w:rPr>
            </w:pPr>
          </w:p>
        </w:tc>
      </w:tr>
    </w:tbl>
    <w:p w:rsidR="00122B26" w:rsidRDefault="007F7137">
      <w:pPr>
        <w:rPr>
          <w:noProof/>
          <w:color w:val="000000" w:themeColor="text1"/>
          <w:szCs w:val="24"/>
          <w:highlight w:val="yellow"/>
        </w:rPr>
      </w:pPr>
      <w:r>
        <w:rPr>
          <w:noProof/>
        </w:rPr>
        <w:br w:type="page"/>
      </w:r>
    </w:p>
    <w:p w:rsidR="00122B26" w:rsidRDefault="007F7137">
      <w:pPr>
        <w:pStyle w:val="Heading1"/>
        <w:rPr>
          <w:noProof/>
        </w:rPr>
      </w:pPr>
      <w:r>
        <w:rPr>
          <w:noProof/>
        </w:rPr>
        <w:lastRenderedPageBreak/>
        <w:t>Listningsförslag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843"/>
        <w:gridCol w:w="1702"/>
        <w:gridCol w:w="2179"/>
        <w:gridCol w:w="905"/>
      </w:tblGrid>
      <w:tr w:rsidR="00122B26">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Nr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Taxon/Precisering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Förslag</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Förslagsställare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Anmärkningar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b/>
                <w:noProof/>
                <w:color w:val="000000" w:themeColor="text1"/>
                <w:sz w:val="20"/>
                <w:szCs w:val="20"/>
              </w:rPr>
            </w:pPr>
            <w:r>
              <w:rPr>
                <w:b/>
                <w:noProof/>
                <w:color w:val="000000" w:themeColor="text1"/>
                <w:sz w:val="20"/>
              </w:rPr>
              <w:t>Ståndpunkt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(skruvhornsget, ssp. </w:t>
            </w:r>
            <w:r>
              <w:rPr>
                <w:rStyle w:val="Bodytext2"/>
                <w:rFonts w:ascii="Times New Roman" w:hAnsi="Times New Roman"/>
                <w:i/>
                <w:noProof/>
                <w:color w:val="000000" w:themeColor="text1"/>
                <w:sz w:val="20"/>
              </w:rPr>
              <w:t>heptneri</w:t>
            </w:r>
            <w:r>
              <w:rPr>
                <w:rStyle w:val="Bodytext2"/>
                <w:rFonts w:ascii="Times New Roman" w:hAnsi="Times New Roman"/>
                <w:noProof/>
                <w:color w:val="000000" w:themeColor="text1"/>
                <w:sz w:val="20"/>
              </w:rPr>
              <w:t>)</w:t>
            </w:r>
            <w:r>
              <w:rPr>
                <w:rStyle w:val="Bodytext2"/>
                <w:rFonts w:ascii="Times New Roman" w:hAnsi="Times New Roman" w:cs="Times New Roman"/>
                <w:noProof/>
                <w:color w:val="000000" w:themeColor="text1"/>
                <w:sz w:val="20"/>
                <w:szCs w:val="20"/>
              </w:rPr>
              <w:br/>
            </w:r>
            <w:r>
              <w:rPr>
                <w:noProof/>
                <w:color w:val="000000" w:themeColor="text1"/>
                <w:sz w:val="20"/>
              </w:rPr>
              <w:t>(populationen i Tadzjikistan)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 populationen i Tadzjikistan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Tadzjikistan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Populationen förefaller växa och jaktförvaltning enligt bestämmelserna i Cites för arter i bilaga I har genererat inkomster som går tillbaka till samhällena och bevarandet. Förslaget innehåller dock inga starka belägg som visar att försiktighe</w:t>
            </w:r>
            <w:r>
              <w:rPr>
                <w:noProof/>
                <w:color w:val="000000" w:themeColor="text1"/>
                <w:sz w:val="20"/>
              </w:rPr>
              <w:t>tsåtgärderna i bilaga 4 till konferensresolution 9.24 är uppfyllda; en nedlistning skulle leda till ökad handelsvolym utan garantier för att intäkterna återförs till bevarande. IUCN har rekommenderat att den nuvarande förvaltningen ska fortsätta och förstä</w:t>
            </w:r>
            <w:r>
              <w:rPr>
                <w:noProof/>
                <w:color w:val="000000" w:themeColor="text1"/>
                <w:sz w:val="20"/>
              </w:rPr>
              <w:t>rkas.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(saigaantilop)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Mongoliet, </w:t>
            </w:r>
            <w:r>
              <w:rPr>
                <w:rFonts w:eastAsia="Times New Roman"/>
                <w:noProof/>
                <w:color w:val="000000" w:themeColor="text1"/>
                <w:sz w:val="20"/>
                <w:szCs w:val="20"/>
              </w:rPr>
              <w:br/>
            </w:r>
            <w:r>
              <w:rPr>
                <w:noProof/>
                <w:color w:val="000000" w:themeColor="text1"/>
                <w:sz w:val="20"/>
              </w:rPr>
              <w:t xml:space="preserve">Förenta staterna </w:t>
            </w:r>
          </w:p>
          <w:p w:rsidR="00122B26" w:rsidRDefault="00122B26">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Det behövs ytterligare analyser och klargöranden av de taxonomiska frågorna, bland annat om huruvida en annan nomenklatur än den standardnomenklatur som antagits av Cites partskonferens kan användas för listningsförslag (se resolution 9.24 bilaga 6 avsnitt</w:t>
            </w:r>
            <w:r>
              <w:rPr>
                <w:noProof/>
                <w:color w:val="000000" w:themeColor="text1"/>
                <w:sz w:val="20"/>
              </w:rPr>
              <w:t xml:space="preserve"> C-1.4). I förslaget anses alla recenta </w:t>
            </w:r>
            <w:r>
              <w:rPr>
                <w:i/>
                <w:noProof/>
                <w:color w:val="000000" w:themeColor="text1"/>
                <w:sz w:val="20"/>
              </w:rPr>
              <w:t>Saiga</w:t>
            </w:r>
            <w:r>
              <w:rPr>
                <w:noProof/>
                <w:color w:val="000000" w:themeColor="text1"/>
                <w:sz w:val="20"/>
              </w:rPr>
              <w:t xml:space="preserve"> utgöra en enda art, i enlighet med IUCN:s rödlista. I Cites nu gällande taxonomiska referens är dock den mongoliska populationen utskild som </w:t>
            </w:r>
            <w:r>
              <w:rPr>
                <w:i/>
                <w:noProof/>
                <w:color w:val="000000" w:themeColor="text1"/>
                <w:sz w:val="20"/>
              </w:rPr>
              <w:t>S. borealis</w:t>
            </w:r>
            <w:r>
              <w:rPr>
                <w:noProof/>
                <w:color w:val="000000" w:themeColor="text1"/>
                <w:sz w:val="20"/>
              </w:rPr>
              <w:t>. Det förefaller därför populationen i Mongoliet (</w:t>
            </w:r>
            <w:r>
              <w:rPr>
                <w:i/>
                <w:noProof/>
                <w:color w:val="000000" w:themeColor="text1"/>
                <w:sz w:val="20"/>
              </w:rPr>
              <w:t>S. borea</w:t>
            </w:r>
            <w:r>
              <w:rPr>
                <w:i/>
                <w:noProof/>
                <w:color w:val="000000" w:themeColor="text1"/>
                <w:sz w:val="20"/>
              </w:rPr>
              <w:t>lis</w:t>
            </w:r>
            <w:r>
              <w:rPr>
                <w:noProof/>
                <w:color w:val="000000" w:themeColor="text1"/>
                <w:sz w:val="20"/>
              </w:rPr>
              <w:t xml:space="preserve">) inte omfattas av förslaget. I en sådan situation bör man motsätta sig förslaget för att undvika att </w:t>
            </w:r>
            <w:r>
              <w:rPr>
                <w:noProof/>
                <w:color w:val="000000" w:themeColor="text1"/>
                <w:sz w:val="20"/>
              </w:rPr>
              <w:lastRenderedPageBreak/>
              <w:t xml:space="preserve">listning av </w:t>
            </w:r>
            <w:r>
              <w:rPr>
                <w:i/>
                <w:noProof/>
                <w:color w:val="000000" w:themeColor="text1"/>
                <w:sz w:val="20"/>
              </w:rPr>
              <w:t>S. tatarica</w:t>
            </w:r>
            <w:r>
              <w:rPr>
                <w:noProof/>
                <w:color w:val="000000" w:themeColor="text1"/>
                <w:sz w:val="20"/>
              </w:rPr>
              <w:t xml:space="preserve"> i bilaga I ger en negativ påverkan på populationen av </w:t>
            </w:r>
            <w:r>
              <w:rPr>
                <w:i/>
                <w:noProof/>
                <w:color w:val="000000" w:themeColor="text1"/>
                <w:sz w:val="20"/>
              </w:rPr>
              <w:t>S. borealis.</w:t>
            </w:r>
          </w:p>
          <w:p w:rsidR="00122B26" w:rsidRDefault="007F7137">
            <w:pPr>
              <w:spacing w:after="0"/>
              <w:jc w:val="left"/>
              <w:rPr>
                <w:noProof/>
                <w:color w:val="000000" w:themeColor="text1"/>
                <w:sz w:val="20"/>
                <w:szCs w:val="20"/>
              </w:rPr>
            </w:pPr>
            <w:r>
              <w:rPr>
                <w:noProof/>
                <w:color w:val="000000" w:themeColor="text1"/>
                <w:sz w:val="20"/>
              </w:rPr>
              <w:t xml:space="preserve">Om ett förtydligande av nomenklaturen gör det möjligt att </w:t>
            </w:r>
            <w:r>
              <w:rPr>
                <w:noProof/>
                <w:color w:val="000000" w:themeColor="text1"/>
                <w:sz w:val="20"/>
              </w:rPr>
              <w:t>lista hela släktet vid CoP18, bör EU överväga att stödja ett sådant förslag, eller ett ändrat förslag som leder till att populationen i Mongoliet (</w:t>
            </w:r>
            <w:r>
              <w:rPr>
                <w:i/>
                <w:noProof/>
                <w:color w:val="000000" w:themeColor="text1"/>
                <w:sz w:val="20"/>
              </w:rPr>
              <w:t>S. borealis</w:t>
            </w:r>
            <w:r>
              <w:rPr>
                <w:noProof/>
                <w:color w:val="000000" w:themeColor="text1"/>
                <w:sz w:val="20"/>
              </w:rPr>
              <w:t>) tas upp i bilaga 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(populationen i provinsen Salta)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w:t>
            </w:r>
            <w:r>
              <w:rPr>
                <w:noProof/>
                <w:color w:val="000000" w:themeColor="text1"/>
                <w:sz w:val="20"/>
              </w:rPr>
              <w:t>rföring av populationen i provinsen Salta (Argentina) från bilaga I till bilaga II med not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Argentina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Sedan 2006 ökar populationens storlek avsevärt, övervakningen av populationen förefaller god och 41 % (14 000 km²) av habitatet är skyddat. Den enda for</w:t>
            </w:r>
            <w:r>
              <w:rPr>
                <w:noProof/>
                <w:color w:val="000000" w:themeColor="text1"/>
                <w:sz w:val="20"/>
              </w:rPr>
              <w:t>men av planerad användning är klippning av vilda exemplar.</w:t>
            </w:r>
          </w:p>
          <w:p w:rsidR="00122B26" w:rsidRDefault="007F7137">
            <w:pPr>
              <w:spacing w:after="0"/>
              <w:jc w:val="left"/>
              <w:rPr>
                <w:i/>
                <w:noProof/>
                <w:color w:val="000000" w:themeColor="text1"/>
                <w:sz w:val="20"/>
                <w:szCs w:val="20"/>
                <w:highlight w:val="yellow"/>
              </w:rPr>
            </w:pPr>
            <w:r>
              <w:rPr>
                <w:i/>
                <w:noProof/>
                <w:color w:val="000000" w:themeColor="text1"/>
                <w:sz w:val="20"/>
              </w:rPr>
              <w:t>Överväg tillsammans med arbetsdokument nr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(populationen i 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Ändra namnet på populationen i Chile från ”populationen i Primeraregionen” till ”populationerna i</w:t>
            </w:r>
            <w:r>
              <w:rPr>
                <w:noProof/>
                <w:color w:val="000000" w:themeColor="text1"/>
                <w:sz w:val="20"/>
              </w:rPr>
              <w:t xml:space="preserve"> regionen Tarapacá och i regionen Arica och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Chile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Stöd – förslaget innehåller inte någon väsentlig ändring av listningen utan justerar bara ett geografiskt namn.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(giraff)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p w:rsidR="00122B26" w:rsidRDefault="00122B26">
            <w:pPr>
              <w:pStyle w:val="Default"/>
              <w:rPr>
                <w:rFonts w:eastAsia="Times New Roman"/>
                <w:noProof/>
                <w:color w:val="000000" w:themeColor="text1"/>
                <w:sz w:val="20"/>
                <w:szCs w:val="20"/>
                <w:lang w:val="sv-SE"/>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Centralafrikanska </w:t>
            </w:r>
            <w:r>
              <w:rPr>
                <w:noProof/>
                <w:color w:val="000000" w:themeColor="text1"/>
                <w:sz w:val="20"/>
              </w:rPr>
              <w:t>republiken, Tchad, Kenya, Mali, Niger och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Calibri"/>
                <w:noProof/>
                <w:color w:val="000000" w:themeColor="text1"/>
                <w:sz w:val="20"/>
                <w:szCs w:val="20"/>
              </w:rPr>
            </w:pPr>
            <w:r>
              <w:rPr>
                <w:noProof/>
                <w:color w:val="000000" w:themeColor="text1"/>
                <w:sz w:val="20"/>
              </w:rPr>
              <w:t>Ytterligare belägg behövs för att visa att den internationella handeln bidrar avsevärt till populationernas nedgång och att kriterierna för upptagande i bilaga II är uppfyllda. Den föredragna vägen framåt s</w:t>
            </w:r>
            <w:r>
              <w:rPr>
                <w:noProof/>
                <w:color w:val="000000" w:themeColor="text1"/>
                <w:sz w:val="20"/>
              </w:rPr>
              <w:t>kulle vara antagande av en uppsättning beslut som efterlyser en extern studie och övervägande av djurkommittén och ständiga kommittén.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0</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(asiatisk klolös utter)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Indien, Nepal och Filippinerna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Ytterligare bekräftelse behövs om huruvida kriterierna för listning i bilaga I är uppfyllda. Enligt IUCN bidrar näthandeln med sällskapsdjur till artens snabba minskning.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0</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Lutrogale 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(indisk fiskarutter)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 xml:space="preserve">Överföring från bilaga II </w:t>
            </w:r>
            <w:r>
              <w:rPr>
                <w:noProof/>
                <w:color w:val="000000" w:themeColor="text1"/>
                <w:sz w:val="20"/>
              </w:rPr>
              <w:t>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Bangladesh, Indien och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Det måste bekräftas om arten uppfyller de biologiska kriterierna för listning i bilaga I. Den lagliga internationella handeln är inte särskilt stor, men en upplistning kan bidra till att skydda arten eftersom den </w:t>
            </w:r>
            <w:r>
              <w:rPr>
                <w:noProof/>
                <w:color w:val="000000" w:themeColor="text1"/>
                <w:sz w:val="20"/>
              </w:rPr>
              <w:t>olagliga handeln är betydande.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(sydlig trubbnoshörning)</w:t>
            </w:r>
            <w:r>
              <w:rPr>
                <w:rFonts w:eastAsia="Times New Roman"/>
                <w:iCs/>
                <w:noProof/>
                <w:color w:val="000000" w:themeColor="text1"/>
                <w:sz w:val="20"/>
                <w:szCs w:val="20"/>
              </w:rPr>
              <w:br/>
            </w:r>
            <w:r>
              <w:rPr>
                <w:noProof/>
                <w:color w:val="000000" w:themeColor="text1"/>
                <w:sz w:val="20"/>
              </w:rPr>
              <w:t>(populationen i Eswatini)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Ta bort den befintliga noten för populationen i Eswatini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Invänd. Populationen uppfyller fortfarande kriterierna för listning i </w:t>
            </w:r>
            <w:r>
              <w:rPr>
                <w:noProof/>
                <w:color w:val="000000" w:themeColor="text1"/>
                <w:sz w:val="20"/>
              </w:rPr>
              <w:t xml:space="preserve">bilaga II, men ett borttagande av noten enligt förslaget skulle inte vara förenligt med de försiktighetsåtgärder som anges i punkt A.2 a i bilaga 4 till konferensresolution 9.24. Ett återupptagande av handeln med noshörningshorn skulle i nuläget sända fel </w:t>
            </w:r>
            <w:r>
              <w:rPr>
                <w:noProof/>
                <w:color w:val="000000" w:themeColor="text1"/>
                <w:sz w:val="20"/>
              </w:rPr>
              <w:t xml:space="preserve">signal, mot bakgrund av tjuvjaktens och den olagliga handelns stora omfattning. Det skulle också undergräva </w:t>
            </w:r>
            <w:r>
              <w:rPr>
                <w:noProof/>
                <w:color w:val="000000" w:themeColor="text1"/>
                <w:sz w:val="20"/>
              </w:rPr>
              <w:lastRenderedPageBreak/>
              <w:t>många parters åtgärder för att minska efterfrågan på denna art.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(sydlig trubbnoshörning)(populationen i Namibia)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I – </w:t>
            </w:r>
            <w:r>
              <w:rPr>
                <w:noProof/>
                <w:color w:val="000000" w:themeColor="text1"/>
                <w:sz w:val="20"/>
              </w:rPr>
              <w:t>II</w:t>
            </w:r>
          </w:p>
          <w:p w:rsidR="00122B26" w:rsidRDefault="007F7137">
            <w:pPr>
              <w:spacing w:after="0"/>
              <w:jc w:val="left"/>
              <w:rPr>
                <w:rFonts w:eastAsia="Times New Roman"/>
                <w:noProof/>
                <w:color w:val="000000" w:themeColor="text1"/>
                <w:sz w:val="20"/>
                <w:szCs w:val="20"/>
              </w:rPr>
            </w:pPr>
            <w:r>
              <w:rPr>
                <w:noProof/>
                <w:color w:val="000000" w:themeColor="text1"/>
                <w:sz w:val="20"/>
              </w:rPr>
              <w:t xml:space="preserve">Överföring av populationen av </w:t>
            </w:r>
            <w:r>
              <w:rPr>
                <w:i/>
                <w:noProof/>
                <w:color w:val="000000" w:themeColor="text1"/>
                <w:sz w:val="20"/>
              </w:rPr>
              <w:t>Ceratotherium simum simum</w:t>
            </w:r>
            <w:r>
              <w:rPr>
                <w:noProof/>
                <w:color w:val="000000" w:themeColor="text1"/>
                <w:sz w:val="20"/>
              </w:rPr>
              <w:t xml:space="preserve"> i Namibia från bilaga I till bilaga II med följande not:</w:t>
            </w:r>
          </w:p>
          <w:p w:rsidR="00122B26" w:rsidRDefault="007F7137">
            <w:pPr>
              <w:spacing w:after="0"/>
              <w:jc w:val="left"/>
              <w:rPr>
                <w:rFonts w:eastAsia="Times New Roman"/>
                <w:noProof/>
                <w:color w:val="000000" w:themeColor="text1"/>
                <w:sz w:val="20"/>
                <w:szCs w:val="20"/>
              </w:rPr>
            </w:pPr>
            <w:r>
              <w:rPr>
                <w:noProof/>
                <w:color w:val="000000" w:themeColor="text1"/>
                <w:sz w:val="20"/>
              </w:rPr>
              <w:t>”Uteslutande för att möjliggöra internationell handel med</w:t>
            </w:r>
          </w:p>
          <w:p w:rsidR="00122B26" w:rsidRDefault="007F7137">
            <w:pPr>
              <w:numPr>
                <w:ilvl w:val="0"/>
                <w:numId w:val="9"/>
              </w:numPr>
              <w:spacing w:before="0" w:after="0"/>
              <w:jc w:val="left"/>
              <w:rPr>
                <w:rFonts w:eastAsia="Times New Roman"/>
                <w:noProof/>
                <w:color w:val="000000" w:themeColor="text1"/>
                <w:sz w:val="20"/>
                <w:szCs w:val="20"/>
              </w:rPr>
            </w:pPr>
            <w:r>
              <w:rPr>
                <w:noProof/>
                <w:color w:val="000000" w:themeColor="text1"/>
                <w:sz w:val="20"/>
              </w:rPr>
              <w:t>levande djur till lämpliga och godtagbara destinationer, och</w:t>
            </w:r>
          </w:p>
          <w:p w:rsidR="00122B26" w:rsidRDefault="007F7137">
            <w:pPr>
              <w:numPr>
                <w:ilvl w:val="0"/>
                <w:numId w:val="9"/>
              </w:numPr>
              <w:spacing w:before="0" w:after="0"/>
              <w:jc w:val="left"/>
              <w:rPr>
                <w:rFonts w:eastAsia="Times New Roman"/>
                <w:noProof/>
                <w:color w:val="000000" w:themeColor="text1"/>
                <w:sz w:val="20"/>
                <w:szCs w:val="20"/>
              </w:rPr>
            </w:pPr>
            <w:r>
              <w:rPr>
                <w:noProof/>
                <w:color w:val="000000" w:themeColor="text1"/>
                <w:sz w:val="20"/>
              </w:rPr>
              <w:t>jakttroféer.</w:t>
            </w:r>
          </w:p>
          <w:p w:rsidR="00122B26" w:rsidRDefault="007F7137">
            <w:pPr>
              <w:spacing w:after="0"/>
              <w:jc w:val="left"/>
              <w:rPr>
                <w:rFonts w:eastAsia="Times New Roman"/>
                <w:noProof/>
                <w:color w:val="000000" w:themeColor="text1"/>
                <w:sz w:val="20"/>
                <w:szCs w:val="20"/>
              </w:rPr>
            </w:pPr>
            <w:r>
              <w:rPr>
                <w:noProof/>
                <w:color w:val="000000" w:themeColor="text1"/>
                <w:sz w:val="20"/>
              </w:rPr>
              <w:t>Alla and</w:t>
            </w:r>
            <w:r>
              <w:rPr>
                <w:noProof/>
                <w:color w:val="000000" w:themeColor="text1"/>
                <w:sz w:val="20"/>
              </w:rPr>
              <w:t>ra exemplar ska betraktas som exemplar av arter som är upptagna i bilaga I, och handeln med dessa ska regleras i enlighet därmed.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Namibia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 xml:space="preserve">Populationen i Namibia är i ett gott tillstånd; den förefaller inte längre uppfylla kriterierna för bilaga I, och den </w:t>
            </w:r>
            <w:r>
              <w:rPr>
                <w:noProof/>
                <w:color w:val="000000" w:themeColor="text1"/>
                <w:sz w:val="20"/>
              </w:rPr>
              <w:t>är förenlig med försiktighetsåtgärderna för en nedlistning till bilaga II; noten förefaller vara mycket begränsad och har samma lydelse som den som redan gäller för Sydafrika och Eswatini. Det framgångsrika bevarandet av arten i Namibia måste erkännas.</w:t>
            </w:r>
          </w:p>
          <w:p w:rsidR="00122B26" w:rsidRDefault="007F7137">
            <w:pPr>
              <w:spacing w:after="0"/>
              <w:jc w:val="left"/>
              <w:rPr>
                <w:noProof/>
                <w:color w:val="000000" w:themeColor="text1"/>
                <w:sz w:val="20"/>
                <w:szCs w:val="20"/>
              </w:rPr>
            </w:pPr>
            <w:r>
              <w:rPr>
                <w:noProof/>
                <w:color w:val="000000" w:themeColor="text1"/>
                <w:sz w:val="20"/>
              </w:rPr>
              <w:t>Pot</w:t>
            </w:r>
            <w:r>
              <w:rPr>
                <w:noProof/>
                <w:color w:val="000000" w:themeColor="text1"/>
                <w:sz w:val="20"/>
              </w:rPr>
              <w:t xml:space="preserve">entiella risker med förslaget bör undersökas ytterligare.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center"/>
              <w:rPr>
                <w:rFonts w:eastAsia="Times New Roman"/>
                <w:noProof/>
                <w:color w:val="000000" w:themeColor="text1"/>
                <w:sz w:val="20"/>
                <w:szCs w:val="20"/>
              </w:rPr>
            </w:pPr>
            <w:r>
              <w:rPr>
                <w:noProof/>
                <w:color w:val="000000" w:themeColor="text1"/>
                <w:sz w:val="20"/>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(afrikansk elefant)</w:t>
            </w:r>
          </w:p>
          <w:p w:rsidR="00122B26" w:rsidRDefault="00122B26">
            <w:pPr>
              <w:spacing w:after="0"/>
              <w:jc w:val="left"/>
              <w:rPr>
                <w:rFonts w:eastAsia="Times New Roman"/>
                <w:i/>
                <w:iCs/>
                <w:noProof/>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Överför populationen i Zambia från bilaga I till bilaga II på följande villkor:</w:t>
            </w:r>
          </w:p>
          <w:p w:rsidR="00122B26" w:rsidRDefault="007F7137">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Handel med registrerat obearbetat elfenben (betar och delar)</w:t>
            </w:r>
            <w:r>
              <w:rPr>
                <w:rStyle w:val="Bodytext2"/>
                <w:rFonts w:ascii="Times New Roman" w:hAnsi="Times New Roman"/>
                <w:noProof/>
                <w:color w:val="000000" w:themeColor="text1"/>
                <w:sz w:val="20"/>
              </w:rPr>
              <w:t xml:space="preserve"> i kommersiellt syfte endast till Cites godkända handelspartner som inte kommer att återexportera.</w:t>
            </w:r>
          </w:p>
          <w:p w:rsidR="00122B26" w:rsidRDefault="007F7137">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Handel med jakttroféer för icke-kommersiella ändamål.</w:t>
            </w:r>
          </w:p>
          <w:p w:rsidR="00122B26" w:rsidRDefault="007F7137">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Handel med hudar och läderprodukter.</w:t>
            </w:r>
          </w:p>
          <w:p w:rsidR="00122B26" w:rsidRDefault="007F7137">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 xml:space="preserve">Alla andra exemplar ska betraktas som exemplar av arter i bilaga </w:t>
            </w:r>
            <w:r>
              <w:rPr>
                <w:rStyle w:val="Bodytext2"/>
                <w:rFonts w:ascii="Times New Roman" w:hAnsi="Times New Roman"/>
                <w:noProof/>
                <w:color w:val="000000" w:themeColor="text1"/>
                <w:sz w:val="20"/>
              </w:rPr>
              <w:t>I, och handeln med dessa ska regleras i enlighet därmed.</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left"/>
              <w:rPr>
                <w:noProof/>
                <w:color w:val="000000" w:themeColor="text1"/>
                <w:sz w:val="20"/>
                <w:szCs w:val="20"/>
              </w:rPr>
            </w:pPr>
            <w:r>
              <w:rPr>
                <w:noProof/>
                <w:color w:val="000000" w:themeColor="text1"/>
                <w:sz w:val="20"/>
              </w:rPr>
              <w:t>Zambia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left"/>
              <w:rPr>
                <w:noProof/>
                <w:color w:val="000000" w:themeColor="text1"/>
                <w:sz w:val="20"/>
                <w:szCs w:val="20"/>
              </w:rPr>
            </w:pPr>
            <w:r>
              <w:rPr>
                <w:noProof/>
                <w:color w:val="000000" w:themeColor="text1"/>
                <w:sz w:val="20"/>
              </w:rPr>
              <w:t xml:space="preserve">Den not som föreslagits av Zambia skulle på nytt öppna den internationella elfenbenshandeln och kan inte stödjas i sin nuvarande form. </w:t>
            </w:r>
          </w:p>
          <w:p w:rsidR="00122B26" w:rsidRDefault="00122B26">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(afrikansk elefant)</w:t>
            </w:r>
          </w:p>
          <w:p w:rsidR="00122B26" w:rsidRDefault="007F7137">
            <w:pPr>
              <w:spacing w:after="0"/>
              <w:jc w:val="left"/>
              <w:rPr>
                <w:rFonts w:eastAsia="Times New Roman"/>
                <w:noProof/>
                <w:color w:val="000000" w:themeColor="text1"/>
                <w:sz w:val="20"/>
                <w:szCs w:val="20"/>
              </w:rPr>
            </w:pPr>
            <w:r>
              <w:rPr>
                <w:noProof/>
                <w:color w:val="000000" w:themeColor="text1"/>
                <w:sz w:val="20"/>
              </w:rPr>
              <w:t>(populationerna i Botswana, Namibia, Sydafrika och Zimbabwe)</w:t>
            </w:r>
          </w:p>
          <w:p w:rsidR="00122B26" w:rsidRDefault="007F7137">
            <w:pPr>
              <w:spacing w:after="0"/>
              <w:jc w:val="left"/>
              <w:rPr>
                <w:rFonts w:eastAsia="Times New Roman"/>
                <w:noProof/>
                <w:color w:val="000000" w:themeColor="text1"/>
                <w:sz w:val="20"/>
                <w:szCs w:val="20"/>
              </w:rPr>
            </w:pPr>
            <w:r>
              <w:rPr>
                <w:noProof/>
                <w:color w:val="000000" w:themeColor="text1"/>
                <w:sz w:val="20"/>
              </w:rPr>
              <w:t>Ändring av not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tabs>
                <w:tab w:val="left" w:pos="0"/>
              </w:tabs>
              <w:spacing w:after="0"/>
              <w:jc w:val="left"/>
              <w:rPr>
                <w:rFonts w:eastAsia="Times New Roman"/>
                <w:noProof/>
                <w:color w:val="000000" w:themeColor="text1"/>
                <w:sz w:val="20"/>
                <w:szCs w:val="20"/>
              </w:rPr>
            </w:pPr>
            <w:r>
              <w:rPr>
                <w:noProof/>
                <w:color w:val="000000" w:themeColor="text1"/>
                <w:sz w:val="20"/>
              </w:rPr>
              <w:t>Ändring av not 2:</w:t>
            </w:r>
          </w:p>
          <w:p w:rsidR="00122B26" w:rsidRDefault="007F7137">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”Uteslutande för att möjliggöra</w:t>
            </w:r>
          </w:p>
          <w:p w:rsidR="00122B26" w:rsidRDefault="007F7137">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rsidR="00122B26" w:rsidRDefault="007F7137">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handel med registrerat obearbetat elfenben (för Botswana, Namibia, Sydafrika och Zimbabwe hela betar och delar av betar) på följande villkor: </w:t>
            </w:r>
          </w:p>
          <w:p w:rsidR="00122B26" w:rsidRDefault="007F7137">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 xml:space="preserve">Det får endast komma från registrerade statligt ägda lager, med ursprung i staten </w:t>
            </w:r>
            <w:r>
              <w:rPr>
                <w:noProof/>
                <w:color w:val="000000" w:themeColor="text1"/>
                <w:sz w:val="20"/>
              </w:rPr>
              <w:lastRenderedPageBreak/>
              <w:t>(exklusive beslagtaget elfenben</w:t>
            </w:r>
            <w:r>
              <w:rPr>
                <w:noProof/>
                <w:color w:val="000000" w:themeColor="text1"/>
                <w:sz w:val="20"/>
              </w:rPr>
              <w:t xml:space="preserve"> och elfenben av okänt ursprung).</w:t>
            </w:r>
          </w:p>
          <w:p w:rsidR="00122B26" w:rsidRDefault="007F7137">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Handeln är begränsad till handelspartner som av sekretariatet, i samråd med ständiga kommittén, har bekräftats ha en adekvat nationell lagstiftning och inhemsk handelskontroll för att säkerställa att det importerade elfenb</w:t>
            </w:r>
            <w:r>
              <w:rPr>
                <w:noProof/>
                <w:color w:val="000000" w:themeColor="text1"/>
                <w:sz w:val="20"/>
              </w:rPr>
              <w:t>enet inte kommer att återexporteras och kommer att förvaltas enligt samtliga krav i konferensresolution 10.10 (Rev. CoP17) om inhemsk tillverkning och handel.</w:t>
            </w:r>
          </w:p>
          <w:p w:rsidR="00122B26" w:rsidRDefault="007F7137">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Ingen internationell handel ska tillåtas innan sekretariatet har kontrollerat de tilltänkta impor</w:t>
            </w:r>
            <w:r>
              <w:rPr>
                <w:noProof/>
                <w:color w:val="000000" w:themeColor="text1"/>
                <w:sz w:val="20"/>
              </w:rPr>
              <w:t>tländerna och de registrerade statligt ägda lagren.</w:t>
            </w:r>
          </w:p>
          <w:p w:rsidR="00122B26" w:rsidRDefault="007F7137">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 xml:space="preserve">Obearbetat elfenben enligt det villkor om försäljning av registrerade statligt ägda elfenbenslager som fastställdes vid CoP12, dvs. 20 000 kg (Botswana), 10 </w:t>
            </w:r>
            <w:r>
              <w:rPr>
                <w:strike/>
                <w:noProof/>
                <w:color w:val="000000" w:themeColor="text1"/>
                <w:sz w:val="20"/>
              </w:rPr>
              <w:lastRenderedPageBreak/>
              <w:t>000 kg (Namibia) och 30 000 kg (Sydafrika).</w:t>
            </w:r>
          </w:p>
          <w:p w:rsidR="00122B26" w:rsidRDefault="007F7137">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 xml:space="preserve">Utöver de kvantiteter som fastställdes vid CoP12 får statligt ägt elfenben från Botswana, Namibia, Sydafrika och Zimbabwe, registrerat senast den 31 januari 2007 och kontrollerat av CITES-sekretariatet, handlas och avsändas, med elfenben enligt punkt g iv </w:t>
            </w:r>
            <w:r>
              <w:rPr>
                <w:strike/>
                <w:noProof/>
                <w:color w:val="000000" w:themeColor="text1"/>
                <w:sz w:val="20"/>
              </w:rPr>
              <w:t>i en enda försäljning per destination under strikt överinseende av CITES-sekretariatet.</w:t>
            </w:r>
          </w:p>
          <w:p w:rsidR="00122B26" w:rsidRDefault="007F7137">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Intäkterna från handeln får användas endast för bevarande av elefanter och program för bevarande och utveckling av samhällen i eller i anslutning till elefanternas utbr</w:t>
            </w:r>
            <w:r>
              <w:rPr>
                <w:noProof/>
                <w:color w:val="000000" w:themeColor="text1"/>
                <w:sz w:val="20"/>
              </w:rPr>
              <w:t xml:space="preserve">edningsområde. </w:t>
            </w:r>
          </w:p>
          <w:p w:rsidR="00122B26" w:rsidRDefault="007F7137">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Handel med de extra kvantiteter som anges i punkt g v får ske först efter det att ständiga kommittén har beslutat att ovanstående villkor har uppfyllts. och</w:t>
            </w:r>
          </w:p>
          <w:p w:rsidR="00122B26" w:rsidRDefault="007F7137">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 xml:space="preserve">Inga ytterligare </w:t>
            </w:r>
            <w:r>
              <w:rPr>
                <w:strike/>
                <w:noProof/>
                <w:color w:val="000000" w:themeColor="text1"/>
                <w:sz w:val="20"/>
              </w:rPr>
              <w:lastRenderedPageBreak/>
              <w:t>förslag om att tillåta handel med elfenben från elefantpopulat</w:t>
            </w:r>
            <w:r>
              <w:rPr>
                <w:strike/>
                <w:noProof/>
                <w:color w:val="000000" w:themeColor="text1"/>
                <w:sz w:val="20"/>
              </w:rPr>
              <w:t>ioner som redan är upptagna i bilaga II får lämnas till partskonferensen under perioden från CoP14 fram till nio år från och med dagen för den enda försäljning av elfenben som ska ske enligt bestämmelserna i punkterna g i, g ii, g iii, g vi och g vii). Des</w:t>
            </w:r>
            <w:r>
              <w:rPr>
                <w:strike/>
                <w:noProof/>
                <w:color w:val="000000" w:themeColor="text1"/>
                <w:sz w:val="20"/>
              </w:rPr>
              <w:t>sutom ska sådana förslag i framtiden behandlas i enlighet med besluten 16.55 och 14.78 (rev. CoP16).</w:t>
            </w:r>
          </w:p>
          <w:p w:rsidR="00122B26" w:rsidRDefault="007F7137">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lastRenderedPageBreak/>
              <w:t>Botswana, Namibia och Zimbabwe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Den föreslagna ändringen skulle leda till en öppning av internationell handel med elfenben, alltså uppfyller den inte </w:t>
            </w:r>
            <w:r>
              <w:rPr>
                <w:noProof/>
                <w:color w:val="000000" w:themeColor="text1"/>
                <w:sz w:val="20"/>
              </w:rPr>
              <w:t>försiktighetsåtgärderna i bilaga 4 till konferensresolution 9.24, och förslaget är därför för tidigt väckt.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lastRenderedPageBreak/>
              <w:t>12</w:t>
            </w:r>
          </w:p>
        </w:tc>
        <w:tc>
          <w:tcPr>
            <w:tcW w:w="1843" w:type="dxa"/>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(afrikansk elefant)</w:t>
            </w:r>
          </w:p>
          <w:p w:rsidR="00122B26" w:rsidRDefault="007F7137">
            <w:pPr>
              <w:spacing w:after="0"/>
              <w:jc w:val="left"/>
              <w:rPr>
                <w:rFonts w:eastAsia="Times New Roman"/>
                <w:noProof/>
                <w:color w:val="000000" w:themeColor="text1"/>
                <w:sz w:val="20"/>
                <w:szCs w:val="20"/>
              </w:rPr>
            </w:pPr>
            <w:r>
              <w:rPr>
                <w:noProof/>
                <w:color w:val="000000" w:themeColor="text1"/>
                <w:sz w:val="20"/>
              </w:rPr>
              <w:t>(populationerna i Botswana, Namibia, Sydafrika och Zimbabwe)</w:t>
            </w:r>
          </w:p>
        </w:tc>
        <w:tc>
          <w:tcPr>
            <w:tcW w:w="1843" w:type="dxa"/>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 populationerna i Botswana,</w:t>
            </w:r>
            <w:r>
              <w:rPr>
                <w:noProof/>
                <w:color w:val="000000" w:themeColor="text1"/>
                <w:sz w:val="20"/>
              </w:rPr>
              <w:t xml:space="preserve"> Namibia, Sydafrika och Zimbabwe från bilaga II till bilaga I.</w:t>
            </w:r>
          </w:p>
        </w:tc>
        <w:tc>
          <w:tcPr>
            <w:tcW w:w="1702" w:type="dxa"/>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Burkina </w:t>
            </w:r>
            <w:r>
              <w:rPr>
                <w:noProof/>
                <w:color w:val="000000" w:themeColor="text1"/>
                <w:sz w:val="20"/>
                <w:szCs w:val="20"/>
              </w:rPr>
              <w:br/>
            </w:r>
            <w:r>
              <w:rPr>
                <w:noProof/>
                <w:color w:val="000000" w:themeColor="text1"/>
                <w:sz w:val="20"/>
              </w:rPr>
              <w:t xml:space="preserve">Faso, Elfenbenskusten, Gabon, Kenya, </w:t>
            </w:r>
            <w:r>
              <w:rPr>
                <w:noProof/>
                <w:color w:val="000000" w:themeColor="text1"/>
                <w:sz w:val="20"/>
                <w:szCs w:val="20"/>
              </w:rPr>
              <w:br/>
            </w:r>
            <w:r>
              <w:rPr>
                <w:noProof/>
                <w:color w:val="000000" w:themeColor="text1"/>
                <w:sz w:val="20"/>
              </w:rPr>
              <w:t>Liberia, Niger, Nigeria, Sudan, Syrien, Togo</w:t>
            </w:r>
          </w:p>
        </w:tc>
        <w:tc>
          <w:tcPr>
            <w:tcW w:w="2179" w:type="dxa"/>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Dessa fyra populationer uppfyller inte kriterierna för bilaga I och utbredningsstaterna i fråga stöde</w:t>
            </w:r>
            <w:r>
              <w:rPr>
                <w:noProof/>
                <w:color w:val="000000" w:themeColor="text1"/>
                <w:sz w:val="20"/>
              </w:rPr>
              <w:t xml:space="preserve">r inte upplistningen. </w:t>
            </w:r>
          </w:p>
        </w:tc>
        <w:tc>
          <w:tcPr>
            <w:tcW w:w="905" w:type="dxa"/>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(ullhårig mammut)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Israel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 xml:space="preserve">Cites syfte är att skydda arter mot överutnyttjande och utrotning. Förväxlingsrisker förefaller inte vara ett tillräckligt argument för att lista mammut. </w:t>
            </w:r>
            <w:r>
              <w:rPr>
                <w:noProof/>
                <w:color w:val="000000" w:themeColor="text1"/>
                <w:sz w:val="20"/>
              </w:rPr>
              <w:t>Belägg för felidentifiering och ”tvätt” i stor skala har inte inkommit, och elfenbensdentin från elefant och mammut uppvisar unika egenskaper som lätt kan särskiljas även av icke-experter. Listning i bilaga II skulle inte vara proportionellt mot riskens st</w:t>
            </w:r>
            <w:r>
              <w:rPr>
                <w:noProof/>
                <w:color w:val="000000" w:themeColor="text1"/>
                <w:sz w:val="20"/>
              </w:rPr>
              <w:t>orlek (skulle potentiellt leda till utfärdande av många tillstånd utan eller med begränsad bevarandenytta).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(större kvistboråtta)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Överföring till bilaga II rekommenderas av</w:t>
            </w:r>
            <w:r>
              <w:rPr>
                <w:noProof/>
                <w:color w:val="000000" w:themeColor="text1"/>
                <w:sz w:val="20"/>
              </w:rPr>
              <w:t xml:space="preserve"> Cites djurkommitté. Arten förekommer inte i internationell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Överföring till bilaga II rekommenderas av Cites djurkommitté. Arten förekommer inte i </w:t>
            </w:r>
            <w:r>
              <w:rPr>
                <w:noProof/>
                <w:color w:val="000000" w:themeColor="text1"/>
                <w:sz w:val="20"/>
              </w:rPr>
              <w:t>internationell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(falsk vattenråtta)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Överföring till bilaga II rekommenderas av Cites djurkommitté. Arten förekommer inte i internationell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Zyzomys </w:t>
            </w:r>
            <w:r>
              <w:rPr>
                <w:i/>
                <w:noProof/>
                <w:color w:val="000000" w:themeColor="text1"/>
                <w:sz w:val="20"/>
              </w:rPr>
              <w:t>pedunculatus</w:t>
            </w:r>
            <w:r>
              <w:rPr>
                <w:rFonts w:eastAsia="Times New Roman"/>
                <w:i/>
                <w:iCs/>
                <w:noProof/>
                <w:color w:val="000000" w:themeColor="text1"/>
                <w:sz w:val="20"/>
                <w:szCs w:val="20"/>
              </w:rPr>
              <w:br/>
            </w:r>
            <w:r>
              <w:rPr>
                <w:noProof/>
                <w:color w:val="000000" w:themeColor="text1"/>
                <w:sz w:val="20"/>
              </w:rPr>
              <w:t>(centralaustralisk stenråtta)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Överföring till bilaga II rekommenderas av Cites djurkommitté. Arten förekommer inte i internationell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Syrmaticus reevesii</w:t>
            </w:r>
          </w:p>
          <w:p w:rsidR="00122B26" w:rsidRDefault="007F7137">
            <w:pPr>
              <w:spacing w:before="0" w:after="0"/>
              <w:jc w:val="left"/>
              <w:rPr>
                <w:rFonts w:eastAsia="Times New Roman"/>
                <w:noProof/>
                <w:color w:val="000000" w:themeColor="text1"/>
                <w:sz w:val="20"/>
                <w:szCs w:val="20"/>
              </w:rPr>
            </w:pPr>
            <w:r>
              <w:rPr>
                <w:noProof/>
                <w:color w:val="000000" w:themeColor="text1"/>
                <w:sz w:val="20"/>
              </w:rPr>
              <w:t>(kungsfasan)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Endast populationen i Kina uppfyller listningskriterierna för upptagande i bilaga II. Öppna för att stödja ett snävare förslag som innebär att den administrativa bördan i samband med hantering </w:t>
            </w:r>
            <w:r>
              <w:rPr>
                <w:noProof/>
                <w:color w:val="000000" w:themeColor="text1"/>
                <w:sz w:val="20"/>
              </w:rPr>
              <w:lastRenderedPageBreak/>
              <w:t>av handel med exemplar från introducerad</w:t>
            </w:r>
            <w:r>
              <w:rPr>
                <w:noProof/>
                <w:color w:val="000000" w:themeColor="text1"/>
                <w:sz w:val="20"/>
              </w:rPr>
              <w:t>e populationer förblir proportionerlig. Detta kan uppnås genom att listningen i bilaga II begränsas till populationen i Kina, eller genom att arten listas av Kina i bilaga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(0)</w:t>
            </w:r>
          </w:p>
        </w:tc>
      </w:tr>
      <w:tr w:rsidR="00122B26">
        <w:tc>
          <w:tcPr>
            <w:tcW w:w="817" w:type="dxa"/>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19</w:t>
            </w:r>
          </w:p>
        </w:tc>
        <w:tc>
          <w:tcPr>
            <w:tcW w:w="1843" w:type="dxa"/>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(svart krontrana)</w:t>
            </w:r>
          </w:p>
        </w:tc>
        <w:tc>
          <w:tcPr>
            <w:tcW w:w="1843" w:type="dxa"/>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 xml:space="preserve">Överföring från bilaga II </w:t>
            </w:r>
            <w:r>
              <w:rPr>
                <w:noProof/>
                <w:color w:val="000000" w:themeColor="text1"/>
                <w:sz w:val="20"/>
              </w:rPr>
              <w:t>till bilaga I</w:t>
            </w:r>
          </w:p>
        </w:tc>
        <w:tc>
          <w:tcPr>
            <w:tcW w:w="1702" w:type="dxa"/>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Burkina Faso, Elfenbenskusten och Senegal</w:t>
            </w:r>
          </w:p>
        </w:tc>
        <w:tc>
          <w:tcPr>
            <w:tcW w:w="2179" w:type="dxa"/>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Oklart om listningskriterierna är uppfyllda och om upplistningen skulle bidra till att motverka olaglig handel. Det behövs också en analys av möjlig påverkan på handeln med grå krontrana </w:t>
            </w:r>
            <w:r>
              <w:rPr>
                <w:i/>
                <w:noProof/>
                <w:color w:val="000000" w:themeColor="text1"/>
                <w:sz w:val="20"/>
              </w:rPr>
              <w:t>Balearica reg</w:t>
            </w:r>
            <w:r>
              <w:rPr>
                <w:i/>
                <w:noProof/>
                <w:color w:val="000000" w:themeColor="text1"/>
                <w:sz w:val="20"/>
              </w:rPr>
              <w:t>ulorum</w:t>
            </w:r>
            <w:r>
              <w:rPr>
                <w:noProof/>
                <w:color w:val="000000" w:themeColor="text1"/>
                <w:sz w:val="20"/>
              </w:rPr>
              <w:t xml:space="preserve"> (bilaga II) som är mer hotad (IUCN:s rödlista). – Två utbredningsstater omfattas för närvarande av ett handelsstopp enligt processen för översyn av betydande handel (Review of Significant Trade, RST). Övriga utbredningsstater togs bort från processen efte</w:t>
            </w:r>
            <w:r>
              <w:rPr>
                <w:noProof/>
                <w:color w:val="000000" w:themeColor="text1"/>
                <w:sz w:val="20"/>
              </w:rPr>
              <w:t>rsom situationen där inte ger anledning till oro. Djurkommittén har inte hörts vilket enligt punkt 10 i bilaga 6 till konferensresolution 9.24 krävs i de fall förslag om att överföra arter från bilaga II till bilaga I omfattas av RST. Det kan vara bättre a</w:t>
            </w:r>
            <w:r>
              <w:rPr>
                <w:noProof/>
                <w:color w:val="000000" w:themeColor="text1"/>
                <w:sz w:val="20"/>
              </w:rPr>
              <w:t>tt invänta resultatet av RST före upplistning.</w:t>
            </w:r>
          </w:p>
        </w:tc>
        <w:tc>
          <w:tcPr>
            <w:tcW w:w="905" w:type="dxa"/>
            <w:shd w:val="clear" w:color="auto" w:fill="auto"/>
          </w:tcPr>
          <w:p w:rsidR="00122B26" w:rsidRDefault="007F7137">
            <w:pPr>
              <w:spacing w:after="0"/>
              <w:jc w:val="center"/>
              <w:rPr>
                <w:noProof/>
                <w:color w:val="000000" w:themeColor="text1"/>
                <w:sz w:val="20"/>
                <w:szCs w:val="20"/>
              </w:rPr>
            </w:pPr>
            <w:r>
              <w:rPr>
                <w:noProof/>
                <w:color w:val="000000" w:themeColor="text1"/>
                <w:sz w:val="20"/>
              </w:rPr>
              <w:t>0</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(rödbrun borstsmyg, ssp. </w:t>
            </w:r>
            <w:r>
              <w:rPr>
                <w:rStyle w:val="Bodytext2"/>
                <w:rFonts w:ascii="Times New Roman" w:hAnsi="Times New Roman"/>
                <w:i/>
                <w:noProof/>
                <w:color w:val="000000" w:themeColor="text1"/>
                <w:sz w:val="20"/>
              </w:rPr>
              <w:t>litoralis</w:t>
            </w:r>
            <w:r>
              <w:rPr>
                <w:rStyle w:val="Bodytext2"/>
                <w:rFonts w:ascii="Times New Roman" w:hAnsi="Times New Roman"/>
                <w:noProof/>
                <w:color w:val="000000" w:themeColor="text1"/>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Förslaget är ett resultat av den periodiska översynen av Cites och rör en art som </w:t>
            </w:r>
            <w:r>
              <w:rPr>
                <w:noProof/>
                <w:color w:val="000000" w:themeColor="text1"/>
                <w:sz w:val="20"/>
              </w:rPr>
              <w:t>inte förekommer i handel (anses vara utdöd, sista observation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Dasyornis </w:t>
            </w:r>
            <w:r>
              <w:rPr>
                <w:i/>
                <w:noProof/>
                <w:color w:val="000000" w:themeColor="text1"/>
                <w:sz w:val="20"/>
              </w:rPr>
              <w:lastRenderedPageBreak/>
              <w:t>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(västborstsmyg)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lastRenderedPageBreak/>
              <w:t>I – II</w:t>
            </w:r>
            <w:r>
              <w:rPr>
                <w:rFonts w:eastAsia="Times New Roman"/>
                <w:noProof/>
                <w:color w:val="000000" w:themeColor="text1"/>
                <w:sz w:val="20"/>
                <w:szCs w:val="20"/>
              </w:rPr>
              <w:br/>
            </w:r>
            <w:r>
              <w:rPr>
                <w:noProof/>
                <w:color w:val="000000" w:themeColor="text1"/>
                <w:sz w:val="20"/>
              </w:rPr>
              <w:lastRenderedPageBreak/>
              <w:t>Överföring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lastRenderedPageBreak/>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Förslaget är ett resultat </w:t>
            </w:r>
            <w:r>
              <w:rPr>
                <w:noProof/>
                <w:color w:val="000000" w:themeColor="text1"/>
                <w:sz w:val="20"/>
              </w:rPr>
              <w:lastRenderedPageBreak/>
              <w:t>av den periodiska översynen av Cites och rör en art som in</w:t>
            </w:r>
            <w:r>
              <w:rPr>
                <w:noProof/>
                <w:color w:val="000000" w:themeColor="text1"/>
                <w:sz w:val="20"/>
              </w:rPr>
              <w:t>te förekommer i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(spetskrokodil)</w:t>
            </w:r>
            <w:r>
              <w:rPr>
                <w:rFonts w:eastAsia="Times New Roman"/>
                <w:noProof/>
                <w:color w:val="000000" w:themeColor="text1"/>
                <w:sz w:val="20"/>
                <w:szCs w:val="20"/>
              </w:rPr>
              <w:br/>
            </w:r>
            <w:r>
              <w:rPr>
                <w:noProof/>
                <w:color w:val="000000" w:themeColor="text1"/>
                <w:sz w:val="20"/>
              </w:rPr>
              <w:t>(populationen i Mexiko)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 – II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 populationen i Mexiko från bilaga I till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Mexiko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Stöd överföring från bilaga I till bilaga II om Mexiko fastställer en nollkvot för exemplar som</w:t>
            </w:r>
            <w:r>
              <w:rPr>
                <w:noProof/>
                <w:color w:val="000000" w:themeColor="text1"/>
                <w:sz w:val="20"/>
              </w:rPr>
              <w:t xml:space="preserve"> tagits i naturen (ursprungskod W).</w:t>
            </w:r>
          </w:p>
          <w:p w:rsidR="00122B26" w:rsidRDefault="00122B26">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lastRenderedPageBreak/>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 xml:space="preserve">och </w:t>
            </w:r>
            <w:r>
              <w:rPr>
                <w:i/>
                <w:noProof/>
                <w:color w:val="000000" w:themeColor="text1"/>
                <w:sz w:val="20"/>
              </w:rPr>
              <w:t>Calotes pethiyagodai</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rPr>
            </w:pPr>
            <w:r>
              <w:rPr>
                <w:i/>
                <w:noProof/>
              </w:rPr>
              <w:t>Biologiska</w:t>
            </w:r>
            <w:r>
              <w:rPr>
                <w:noProof/>
              </w:rPr>
              <w:t xml:space="preserve"> kriterier för listning i Cites-bilagorna förefaller vara uppfyllda, men det saknas tillräckliga belägg för att visa nuvarande eller väntade nivåer av </w:t>
            </w:r>
            <w:r>
              <w:rPr>
                <w:i/>
                <w:noProof/>
              </w:rPr>
              <w:t>handel</w:t>
            </w:r>
            <w:r>
              <w:rPr>
                <w:noProof/>
              </w:rPr>
              <w:t xml:space="preserve"> är skadliga för deras överlevnad i naturen.</w:t>
            </w:r>
            <w:r>
              <w:rPr>
                <w:noProof/>
                <w:color w:val="000000" w:themeColor="text1"/>
                <w:sz w:val="20"/>
              </w:rPr>
              <w:t xml:space="preserve"> </w:t>
            </w:r>
          </w:p>
          <w:p w:rsidR="00122B26" w:rsidRDefault="007F7137">
            <w:pPr>
              <w:spacing w:after="0"/>
              <w:jc w:val="left"/>
              <w:rPr>
                <w:noProof/>
                <w:color w:val="000000" w:themeColor="text1"/>
                <w:sz w:val="20"/>
                <w:szCs w:val="20"/>
                <w:highlight w:val="yellow"/>
              </w:rPr>
            </w:pPr>
            <w:r>
              <w:rPr>
                <w:noProof/>
                <w:color w:val="000000" w:themeColor="text1"/>
                <w:sz w:val="20"/>
              </w:rPr>
              <w:t xml:space="preserve">Efter den taxonomiska uppdelningen av </w:t>
            </w:r>
            <w:r>
              <w:rPr>
                <w:i/>
                <w:noProof/>
                <w:color w:val="000000" w:themeColor="text1"/>
                <w:sz w:val="20"/>
              </w:rPr>
              <w:t>Calotes lioceph</w:t>
            </w:r>
            <w:r>
              <w:rPr>
                <w:i/>
                <w:noProof/>
                <w:color w:val="000000" w:themeColor="text1"/>
                <w:sz w:val="20"/>
              </w:rPr>
              <w:t xml:space="preserve">alus </w:t>
            </w:r>
            <w:r>
              <w:rPr>
                <w:noProof/>
                <w:color w:val="000000" w:themeColor="text1"/>
                <w:sz w:val="20"/>
              </w:rPr>
              <w:t xml:space="preserve">och </w:t>
            </w:r>
            <w:r>
              <w:rPr>
                <w:i/>
                <w:noProof/>
                <w:color w:val="000000" w:themeColor="text1"/>
                <w:sz w:val="20"/>
              </w:rPr>
              <w:t>C. pethiyagodai</w:t>
            </w:r>
            <w:r>
              <w:rPr>
                <w:noProof/>
                <w:color w:val="000000" w:themeColor="text1"/>
                <w:sz w:val="20"/>
              </w:rPr>
              <w:t xml:space="preserve"> blev den nationella statusen ”akut hotad” för </w:t>
            </w:r>
            <w:r>
              <w:rPr>
                <w:i/>
                <w:noProof/>
                <w:color w:val="000000" w:themeColor="text1"/>
                <w:sz w:val="20"/>
              </w:rPr>
              <w:t>C. liocephalus</w:t>
            </w:r>
            <w:r>
              <w:rPr>
                <w:noProof/>
                <w:color w:val="000000" w:themeColor="text1"/>
                <w:sz w:val="20"/>
              </w:rPr>
              <w:t xml:space="preserve"> som inte föreslås bli listad trots att den är ännu mer hotad än </w:t>
            </w:r>
            <w:r>
              <w:rPr>
                <w:i/>
                <w:noProof/>
                <w:color w:val="000000" w:themeColor="text1"/>
                <w:sz w:val="20"/>
              </w:rPr>
              <w:t xml:space="preserve">C. pethiyagodai. </w:t>
            </w:r>
            <w:r>
              <w:rPr>
                <w:noProof/>
                <w:color w:val="000000" w:themeColor="text1"/>
                <w:sz w:val="20"/>
              </w:rPr>
              <w:t>Eftersom de båda arterna tidigare har ansetts vara en art och det är svårt att skilja dem</w:t>
            </w:r>
            <w:r>
              <w:rPr>
                <w:noProof/>
                <w:color w:val="000000" w:themeColor="text1"/>
                <w:sz w:val="20"/>
              </w:rPr>
              <w:t xml:space="preserve"> åt, kan en listning av enbart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i bilaga I skapa bevarandeproblem för </w:t>
            </w:r>
            <w:r>
              <w:rPr>
                <w:i/>
                <w:noProof/>
                <w:color w:val="000000" w:themeColor="text1"/>
                <w:sz w:val="20"/>
              </w:rPr>
              <w:t>C. liocephalus</w:t>
            </w:r>
            <w:r>
              <w:rPr>
                <w:noProof/>
                <w:color w:val="000000" w:themeColor="text1"/>
                <w:sz w:val="20"/>
              </w:rPr>
              <w:t xml:space="preserve">, eller också kan handel med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fortsätta som </w:t>
            </w:r>
            <w:r>
              <w:rPr>
                <w:i/>
                <w:noProof/>
                <w:color w:val="000000" w:themeColor="text1"/>
                <w:sz w:val="20"/>
              </w:rPr>
              <w:t xml:space="preserve">C. liocephalus. </w:t>
            </w:r>
            <w:r>
              <w:rPr>
                <w:noProof/>
                <w:color w:val="000000" w:themeColor="text1"/>
                <w:sz w:val="20"/>
              </w:rPr>
              <w:t xml:space="preserve">Det finns också frågor om individmärkning av exemplar om de listas i bilaga I, </w:t>
            </w:r>
            <w:r>
              <w:rPr>
                <w:noProof/>
                <w:color w:val="000000" w:themeColor="text1"/>
                <w:sz w:val="20"/>
              </w:rPr>
              <w:t>beroende på deras ringa storlek och färgförändring.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0</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rPr>
            </w:pPr>
            <w:r>
              <w:rPr>
                <w:noProof/>
                <w:color w:val="000000" w:themeColor="text1"/>
                <w:sz w:val="20"/>
              </w:rPr>
              <w:t xml:space="preserve">Invänd mot att hela släktet listas i bilaga I, men godkänn upptagande av </w:t>
            </w:r>
            <w:r>
              <w:rPr>
                <w:i/>
                <w:noProof/>
                <w:color w:val="000000" w:themeColor="text1"/>
                <w:sz w:val="20"/>
              </w:rPr>
              <w:t>C. erdeleni, C. karu,</w:t>
            </w:r>
            <w:r>
              <w:rPr>
                <w:noProof/>
                <w:color w:val="000000" w:themeColor="text1"/>
                <w:sz w:val="20"/>
              </w:rPr>
              <w:t xml:space="preserve"> och </w:t>
            </w:r>
            <w:r>
              <w:rPr>
                <w:i/>
                <w:noProof/>
                <w:color w:val="000000" w:themeColor="text1"/>
                <w:sz w:val="20"/>
              </w:rPr>
              <w:t>C. tennentii</w:t>
            </w:r>
            <w:r>
              <w:rPr>
                <w:noProof/>
                <w:color w:val="000000" w:themeColor="text1"/>
                <w:sz w:val="20"/>
              </w:rPr>
              <w:t xml:space="preserve"> i bilaga I samt </w:t>
            </w:r>
            <w:r>
              <w:rPr>
                <w:i/>
                <w:noProof/>
                <w:color w:val="000000" w:themeColor="text1"/>
                <w:sz w:val="20"/>
              </w:rPr>
              <w:t>C. stoddartii</w:t>
            </w:r>
            <w:r>
              <w:rPr>
                <w:noProof/>
                <w:color w:val="000000" w:themeColor="text1"/>
                <w:sz w:val="20"/>
              </w:rPr>
              <w:t xml:space="preserve"> och </w:t>
            </w:r>
            <w:r>
              <w:rPr>
                <w:i/>
                <w:noProof/>
                <w:color w:val="000000" w:themeColor="text1"/>
                <w:sz w:val="20"/>
              </w:rPr>
              <w:t>C. asper</w:t>
            </w:r>
            <w:r>
              <w:rPr>
                <w:noProof/>
                <w:color w:val="000000" w:themeColor="text1"/>
                <w:sz w:val="20"/>
              </w:rPr>
              <w:t xml:space="preserve"> i bilaga II.</w:t>
            </w:r>
          </w:p>
          <w:p w:rsidR="00122B26" w:rsidRDefault="007F7137">
            <w:pPr>
              <w:keepLines/>
              <w:spacing w:after="0"/>
              <w:jc w:val="left"/>
              <w:rPr>
                <w:noProof/>
                <w:color w:val="000000" w:themeColor="text1"/>
                <w:sz w:val="20"/>
              </w:rPr>
            </w:pPr>
            <w:r>
              <w:rPr>
                <w:noProof/>
                <w:color w:val="000000" w:themeColor="text1"/>
                <w:sz w:val="20"/>
              </w:rPr>
              <w:t xml:space="preserve">Biologiska kriterier för bilaga I är uppfyllda för </w:t>
            </w:r>
            <w:r>
              <w:rPr>
                <w:noProof/>
                <w:color w:val="000000" w:themeColor="text1"/>
                <w:sz w:val="20"/>
              </w:rPr>
              <w:lastRenderedPageBreak/>
              <w:t xml:space="preserve">de tre arterna (av fem arter i släktet): </w:t>
            </w:r>
            <w:r>
              <w:rPr>
                <w:i/>
                <w:noProof/>
                <w:color w:val="000000" w:themeColor="text1"/>
                <w:sz w:val="20"/>
              </w:rPr>
              <w:t>C. karu, C. erdeleni</w:t>
            </w:r>
            <w:r>
              <w:rPr>
                <w:noProof/>
              </w:rPr>
              <w:t xml:space="preserve"> och </w:t>
            </w:r>
            <w:r>
              <w:rPr>
                <w:i/>
                <w:noProof/>
                <w:color w:val="000000" w:themeColor="text1"/>
                <w:sz w:val="20"/>
              </w:rPr>
              <w:t>C. tennentii</w:t>
            </w:r>
            <w:r>
              <w:rPr>
                <w:noProof/>
              </w:rPr>
              <w:t xml:space="preserve">. Bilaga II förefaller vara mer motiverat för de två andra arterna </w:t>
            </w:r>
            <w:r>
              <w:rPr>
                <w:i/>
                <w:noProof/>
                <w:color w:val="000000" w:themeColor="text1"/>
                <w:sz w:val="20"/>
              </w:rPr>
              <w:t>C. aspera &amp; C. stoddartii</w:t>
            </w:r>
            <w:r>
              <w:rPr>
                <w:noProof/>
              </w:rPr>
              <w:t xml:space="preserve"> som är vanli</w:t>
            </w:r>
            <w:r>
              <w:rPr>
                <w:noProof/>
              </w:rPr>
              <w:t>gare men också förekommer mer i handeln; det bör också noteras att det inte finns något ”förväxlings”-kriterium för listning i bilaga I (bilaga 1 till konferensresolution 9.24 (Rev.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 xml:space="preserve">och </w:t>
            </w:r>
            <w:r>
              <w:rPr>
                <w:i/>
                <w:noProof/>
                <w:color w:val="000000" w:themeColor="text1"/>
                <w:sz w:val="20"/>
              </w:rPr>
              <w:t>Cophotis dumbara</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w:t>
            </w:r>
            <w:r>
              <w:rPr>
                <w:noProof/>
                <w:color w:val="000000" w:themeColor="text1"/>
                <w:sz w:val="20"/>
              </w:rPr>
              <w:t>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Förslaget förefaller uppfylla biologiska kriterier; uttag även i litet antal kan ha en betydande påverkan på kvarvarande populationer. Släktet omfattar bara dessa två arter, och båda är endemiska i Sri Lanka och förtecknas som starkt </w:t>
            </w:r>
            <w:r>
              <w:rPr>
                <w:noProof/>
                <w:color w:val="000000" w:themeColor="text1"/>
                <w:sz w:val="20"/>
              </w:rPr>
              <w:t>resp. akut hotad på Sri Lankas nationella rödlista (2012). Ytterligare bevis för internationell handel med vildfångade exemplar på senare tid skulle stödja en listning i bilaga I, i annat fall kan en listning i bilaga II vara lämpligare.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Lyriocephalu</w:t>
            </w:r>
            <w:r>
              <w:rPr>
                <w:i/>
                <w:noProof/>
                <w:color w:val="000000" w:themeColor="text1"/>
                <w:sz w:val="20"/>
              </w:rPr>
              <w:t>s scutatus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Stöd listning i bilaga II, eftersom kriterierna för listning i bilaga I inte är uppfyllda, men däremot kriterierna för listning i bilaga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Goniurosaurus </w:t>
            </w:r>
            <w:r>
              <w:rPr>
                <w:iCs/>
                <w:noProof/>
                <w:color w:val="000000" w:themeColor="text1"/>
                <w:sz w:val="20"/>
              </w:rPr>
              <w:t>spp</w:t>
            </w:r>
            <w:r>
              <w:rPr>
                <w:i/>
                <w:noProof/>
                <w:color w:val="000000" w:themeColor="text1"/>
                <w:sz w:val="20"/>
              </w:rPr>
              <w:t>.</w:t>
            </w:r>
            <w:r>
              <w:rPr>
                <w:rFonts w:eastAsia="Times New Roman"/>
                <w:i/>
                <w:iCs/>
                <w:noProof/>
                <w:color w:val="000000" w:themeColor="text1"/>
                <w:sz w:val="20"/>
                <w:szCs w:val="20"/>
              </w:rPr>
              <w:br/>
            </w:r>
            <w:r>
              <w:rPr>
                <w:rFonts w:eastAsia="Times New Roman"/>
                <w:iCs/>
                <w:noProof/>
                <w:color w:val="000000" w:themeColor="text1"/>
                <w:sz w:val="20"/>
                <w:szCs w:val="20"/>
              </w:rPr>
              <w:br/>
            </w:r>
            <w:r>
              <w:rPr>
                <w:noProof/>
                <w:color w:val="000000" w:themeColor="text1"/>
                <w:sz w:val="20"/>
              </w:rPr>
              <w:t>(populationerna i Kina och Vietnam)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0 – </w:t>
            </w:r>
            <w:r>
              <w:rPr>
                <w:noProof/>
                <w:color w:val="000000" w:themeColor="text1"/>
                <w:sz w:val="20"/>
              </w:rPr>
              <w:t>II</w:t>
            </w:r>
          </w:p>
          <w:p w:rsidR="00122B26" w:rsidRDefault="007F7137">
            <w:pPr>
              <w:spacing w:after="0"/>
              <w:jc w:val="left"/>
              <w:rPr>
                <w:rFonts w:eastAsia="Times New Roman"/>
                <w:noProof/>
                <w:color w:val="000000" w:themeColor="text1"/>
                <w:sz w:val="20"/>
                <w:szCs w:val="20"/>
              </w:rPr>
            </w:pPr>
            <w:r>
              <w:rPr>
                <w:noProof/>
                <w:color w:val="000000" w:themeColor="text1"/>
                <w:sz w:val="20"/>
              </w:rPr>
              <w:t>Ta upp arterna i Kina och Vietnam i bilaga II</w:t>
            </w:r>
          </w:p>
          <w:p w:rsidR="00122B26" w:rsidRDefault="00122B26">
            <w:pPr>
              <w:spacing w:after="0"/>
              <w:jc w:val="lef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lastRenderedPageBreak/>
              <w:t>Kina, Europeiska unionen, 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p w:rsidR="00122B26" w:rsidRDefault="007F7137">
            <w:pPr>
              <w:spacing w:after="0"/>
              <w:jc w:val="left"/>
              <w:rPr>
                <w:noProof/>
                <w:color w:val="000000" w:themeColor="text1"/>
                <w:sz w:val="20"/>
                <w:szCs w:val="20"/>
              </w:rPr>
            </w:pPr>
            <w:r>
              <w:rPr>
                <w:noProof/>
                <w:color w:val="000000" w:themeColor="text1"/>
                <w:sz w:val="20"/>
              </w:rPr>
              <w:t xml:space="preserve">Begär rättelse av listningsförslagets </w:t>
            </w:r>
            <w:r>
              <w:rPr>
                <w:noProof/>
                <w:color w:val="000000" w:themeColor="text1"/>
                <w:sz w:val="20"/>
              </w:rPr>
              <w:lastRenderedPageBreak/>
              <w:t xml:space="preserve">presentation på webbplatsen för Cites CoP18 från ”populationerna i Kina och Vietnam” till ”arterna i Kina </w:t>
            </w:r>
            <w:r>
              <w:rPr>
                <w:noProof/>
                <w:color w:val="000000" w:themeColor="text1"/>
                <w:sz w:val="20"/>
              </w:rPr>
              <w:t>och Vietnam”, i enlighet med det ursprungliga inlämnade förslaget till listning.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(tokaygecko)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Europeiska unionen, Indien, Filippinerna, Förenta staterna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Saint Vincent och Grenadinerna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Arten uppfyller de biologiska kriterierna för listning i bilaga I. Internationell handel rapporterades kort efter artens upptäckt och pågår fortfarande, även om insamling i den naturliga livsmiljön inte är tillåten.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Paroedura androyensis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 xml:space="preserve">Ta </w:t>
            </w:r>
            <w:r>
              <w:rPr>
                <w:noProof/>
                <w:color w:val="000000" w:themeColor="text1"/>
                <w:sz w:val="20"/>
              </w:rPr>
              <w:t>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Europeiska unionen, Madagaskar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Calibri"/>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Ctenosaura </w:t>
            </w:r>
            <w:r>
              <w:rPr>
                <w:noProof/>
                <w:color w:val="000000" w:themeColor="text1"/>
                <w:sz w:val="20"/>
              </w:rPr>
              <w:t>spp.</w:t>
            </w:r>
            <w:r>
              <w:rPr>
                <w:rFonts w:eastAsia="Times New Roman"/>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El Salvador och Mexiko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Förslaget uppfyller kriterierna för listning; flera arter i släktet kan komma i fråga för upptagande i bilaga I</w:t>
            </w:r>
            <w:r>
              <w:rPr>
                <w:noProof/>
                <w:color w:val="000000" w:themeColor="text1"/>
                <w:sz w:val="20"/>
              </w:rPr>
              <w:t xml:space="preserve"> i framtiden om handeln inte regleras, eftersom arterna har små populationer, begränsade utbredningsområden och minskande populationsstorlekar, eller en kombination av dessa tre kriterier, och är mycket sårbara för antingen inre eller yttre faktorer.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Mer information behövs för att visa att kriteriet för </w:t>
            </w:r>
            <w:r>
              <w:rPr>
                <w:i/>
                <w:noProof/>
                <w:color w:val="000000" w:themeColor="text1"/>
                <w:sz w:val="20"/>
              </w:rPr>
              <w:t>handel</w:t>
            </w:r>
            <w:r>
              <w:rPr>
                <w:noProof/>
                <w:color w:val="000000" w:themeColor="text1"/>
                <w:sz w:val="20"/>
              </w:rPr>
              <w:t xml:space="preserve"> är uppfyllt. Förslaget innehåller begränsad information om omfattningen av insamling i naturen och internationell handel med arten (b</w:t>
            </w:r>
            <w:r>
              <w:rPr>
                <w:noProof/>
                <w:color w:val="000000" w:themeColor="text1"/>
                <w:sz w:val="20"/>
              </w:rPr>
              <w:t xml:space="preserve">elägg finns endast för ett litet antal </w:t>
            </w:r>
            <w:r>
              <w:rPr>
                <w:noProof/>
                <w:color w:val="000000" w:themeColor="text1"/>
                <w:sz w:val="20"/>
              </w:rPr>
              <w:lastRenderedPageBreak/>
              <w:t>individer i handel utanför utbredningsstaten), och även om arten klassificeras som ”nationellt starkt hotad” saknas det data om populationsstorlek, utbredning och om eventuell populationsminskning.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0</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Cuora </w:t>
            </w:r>
            <w:r>
              <w:rPr>
                <w:i/>
                <w:noProof/>
                <w:color w:val="000000" w:themeColor="text1"/>
                <w:sz w:val="20"/>
              </w:rPr>
              <w:t>bourreti</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Stöd överföring till bilaga I; en ”akut hotad” art som uppfyller åtminstone kriterium C.i i bilaga 1 till konferensresolution 9.24 och som omfattas av betydande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överföring till bilaga I, en ”akut hotad” art som uppfyller alla kriterierna i konferensresolution 9.24 för listning i bilaga I och som omfattas av betydande handel. Förslaget följer av en </w:t>
            </w:r>
            <w:r>
              <w:rPr>
                <w:noProof/>
                <w:color w:val="000000" w:themeColor="text1"/>
                <w:sz w:val="20"/>
              </w:rPr>
              <w:t>rekommendation från den periodiska översynen.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(vietnamesisk kärrsköldpadda)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Stöd överföring till bilaga I, en ”akut hotad” art som uppfyller åtminstone kriterium C.i i bilaga</w:t>
            </w:r>
            <w:r>
              <w:rPr>
                <w:noProof/>
                <w:color w:val="000000" w:themeColor="text1"/>
                <w:sz w:val="20"/>
              </w:rPr>
              <w:t xml:space="preserve"> 1 till konferensresolution 9.24 och som omfattas av betydande handel. Förslaget följer av en rekommendation från den periodiska översynen.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(indisk stjärnsköldpadda)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 xml:space="preserve">Bangladesh, </w:t>
            </w:r>
            <w:r>
              <w:rPr>
                <w:rStyle w:val="Bodytext2"/>
                <w:rFonts w:ascii="Times New Roman" w:hAnsi="Times New Roman"/>
                <w:noProof/>
                <w:color w:val="000000" w:themeColor="text1"/>
                <w:sz w:val="20"/>
              </w:rPr>
              <w:t>Indien, Senegal och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Listningen föreslås gemensamt av de flesta utbredningsstaterna. Det behövs dock mer information för att kunna bekräfta att de biologiska kriterierna i bilaga 1 till konferensresolution 9.24 är uppfyllda. Den olagliga handeln ä</w:t>
            </w:r>
            <w:r>
              <w:rPr>
                <w:noProof/>
                <w:color w:val="000000" w:themeColor="text1"/>
                <w:sz w:val="20"/>
              </w:rPr>
              <w:t xml:space="preserve">r mycket oroande, trots att fångst av och handel </w:t>
            </w:r>
            <w:r>
              <w:rPr>
                <w:noProof/>
                <w:color w:val="000000" w:themeColor="text1"/>
                <w:sz w:val="20"/>
              </w:rPr>
              <w:lastRenderedPageBreak/>
              <w:t>med vilda exemplar redan är förbjudet i utbredningsstaterna. Oron över felanvändning av ursprungskod C och potentiell tvätt av vilda exemplar i verksamheter för uppfödning i fångenskap behandlas redan i Cite</w:t>
            </w:r>
            <w:r>
              <w:rPr>
                <w:noProof/>
                <w:color w:val="000000" w:themeColor="text1"/>
                <w:sz w:val="20"/>
              </w:rPr>
              <w:t xml:space="preserve">s konferensresolution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(torniersköldpadda/pannkakssköldpadda)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w:t>
            </w:r>
          </w:p>
          <w:p w:rsidR="00122B26" w:rsidRDefault="007F7137">
            <w:pPr>
              <w:spacing w:after="0"/>
              <w:jc w:val="left"/>
              <w:rPr>
                <w:rFonts w:eastAsia="Times New Roman"/>
                <w:noProof/>
                <w:color w:val="000000" w:themeColor="text1"/>
                <w:sz w:val="20"/>
                <w:szCs w:val="20"/>
              </w:rPr>
            </w:pPr>
            <w:r>
              <w:rPr>
                <w:noProof/>
                <w:color w:val="000000" w:themeColor="text1"/>
                <w:sz w:val="20"/>
              </w:rPr>
              <w:t>Överföring från bilaga II till bilaga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Kenya,</w:t>
            </w:r>
            <w:r>
              <w:rPr>
                <w:rFonts w:eastAsia="Times New Roman"/>
                <w:noProof/>
                <w:color w:val="000000" w:themeColor="text1"/>
                <w:sz w:val="20"/>
                <w:szCs w:val="20"/>
              </w:rPr>
              <w:br/>
            </w:r>
            <w:r>
              <w:rPr>
                <w:noProof/>
                <w:color w:val="000000" w:themeColor="text1"/>
                <w:sz w:val="20"/>
              </w:rPr>
              <w:t>Förenta staterna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förslaget. I den senaste rödlistebedömningen (2018) är arten klassificerad som </w:t>
            </w:r>
            <w:r>
              <w:rPr>
                <w:noProof/>
                <w:color w:val="000000" w:themeColor="text1"/>
                <w:sz w:val="20"/>
              </w:rPr>
              <w:t>”akut hotad”. Förslaget förefaller stå i proportion till de förväntade riskerna för arten, som är föremål för betydande efterfrågan från handelssektorn och påverkas av olaglig handel. Överutnyttjande rapporteras som en huvudfaktor som för närvarande påverk</w:t>
            </w:r>
            <w:r>
              <w:rPr>
                <w:noProof/>
                <w:color w:val="000000" w:themeColor="text1"/>
                <w:sz w:val="20"/>
              </w:rPr>
              <w:t>ar artens populationer. Arten förefaller uppfylla kriterierna för listning i bilaga 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Hyalinobatrachium </w:t>
            </w:r>
            <w:r>
              <w:rPr>
                <w:noProof/>
                <w:color w:val="000000" w:themeColor="text1"/>
                <w:sz w:val="20"/>
              </w:rPr>
              <w:t xml:space="preserve">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och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(glasgrodor)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Costa Rica,</w:t>
            </w:r>
            <w:r>
              <w:rPr>
                <w:rFonts w:eastAsia="Times New Roman"/>
                <w:noProof/>
                <w:color w:val="000000" w:themeColor="text1"/>
                <w:sz w:val="20"/>
                <w:szCs w:val="20"/>
              </w:rPr>
              <w:br/>
            </w:r>
            <w:r>
              <w:rPr>
                <w:noProof/>
                <w:color w:val="000000" w:themeColor="text1"/>
                <w:sz w:val="20"/>
              </w:rP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EU skulle kunna stödja ett snävare förslag om förslagsställarna beslutar att begränsa det till de arter för vilka det kan visas att de uppfyller kriterierna för listning. På grund av bristande populationsdata, och eftersom rapporterad handel mest sker med </w:t>
            </w:r>
            <w:r>
              <w:rPr>
                <w:noProof/>
                <w:color w:val="000000" w:themeColor="text1"/>
                <w:sz w:val="20"/>
              </w:rPr>
              <w:t xml:space="preserve">arter i kategorin ”livskraftig”, förefaller dock ett upptagande i bilaga II av alla 104 arter i de fyra släktena inte vara proportionellt. Det behövs mer information om de arter för vilka handeln är </w:t>
            </w:r>
            <w:r>
              <w:rPr>
                <w:noProof/>
                <w:color w:val="000000" w:themeColor="text1"/>
                <w:sz w:val="20"/>
              </w:rPr>
              <w:lastRenderedPageBreak/>
              <w:t xml:space="preserve">mest omfattande.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 xml:space="preserve">och </w:t>
            </w:r>
            <w:r>
              <w:rPr>
                <w:i/>
                <w:noProof/>
                <w:color w:val="000000" w:themeColor="text1"/>
                <w:sz w:val="20"/>
              </w:rPr>
              <w:t>Echinotriton maxiquadratus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r>
              <w:rPr>
                <w:rFonts w:eastAsia="Times New Roman"/>
                <w:noProof/>
                <w:color w:val="000000" w:themeColor="text1"/>
                <w:sz w:val="20"/>
                <w:szCs w:val="20"/>
              </w:rPr>
              <w:br/>
            </w: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Kina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Calibri"/>
                <w:noProof/>
                <w:color w:val="000000" w:themeColor="text1"/>
                <w:sz w:val="20"/>
                <w:szCs w:val="20"/>
              </w:rPr>
            </w:pPr>
            <w:r>
              <w:rPr>
                <w:noProof/>
              </w:rPr>
              <w:t>Arten uppfyller de biologiska kriterierna för listning i bilaga I. Bevarandet av arterna skulle gynnas av ett internationellt skydd.</w:t>
            </w:r>
            <w:r>
              <w:rPr>
                <w:noProof/>
                <w:color w:val="000000" w:themeColor="text1"/>
                <w:sz w:val="20"/>
              </w:rPr>
              <w:t xml:space="preserve"> Även om nivåerna av internationell handel förefaller låga, kan </w:t>
            </w:r>
            <w:r>
              <w:rPr>
                <w:i/>
                <w:noProof/>
                <w:color w:val="000000" w:themeColor="text1"/>
                <w:sz w:val="20"/>
              </w:rPr>
              <w:t>all</w:t>
            </w:r>
            <w:r>
              <w:rPr>
                <w:noProof/>
                <w:color w:val="000000" w:themeColor="text1"/>
                <w:sz w:val="20"/>
              </w:rPr>
              <w:t xml:space="preserve"> handel med vilda exemplar skada populationers överlevnad, eftersom populationerna är extremt små och minskande.</w:t>
            </w:r>
          </w:p>
          <w:p w:rsidR="00122B26" w:rsidRDefault="007F7137">
            <w:pPr>
              <w:spacing w:after="0"/>
              <w:jc w:val="left"/>
              <w:rPr>
                <w:noProof/>
                <w:color w:val="000000" w:themeColor="text1"/>
                <w:sz w:val="20"/>
                <w:szCs w:val="20"/>
                <w:highlight w:val="yellow"/>
              </w:rPr>
            </w:pPr>
            <w:r>
              <w:rPr>
                <w:i/>
                <w:noProof/>
                <w:color w:val="000000" w:themeColor="text1"/>
                <w:sz w:val="20"/>
              </w:rPr>
              <w:t>Echinotriton</w:t>
            </w:r>
            <w:r>
              <w:rPr>
                <w:noProof/>
                <w:color w:val="000000" w:themeColor="text1"/>
                <w:sz w:val="20"/>
              </w:rPr>
              <w:t xml:space="preserve"> skildes ut från </w:t>
            </w:r>
            <w:r>
              <w:rPr>
                <w:i/>
                <w:noProof/>
                <w:color w:val="000000" w:themeColor="text1"/>
                <w:sz w:val="20"/>
              </w:rPr>
              <w:t>Tylototriton</w:t>
            </w:r>
            <w:r>
              <w:rPr>
                <w:noProof/>
                <w:color w:val="000000" w:themeColor="text1"/>
                <w:sz w:val="20"/>
              </w:rPr>
              <w:t xml:space="preserve"> (listningsförslag nr 41) så sent som 1982. Det är därför lämpligt att lista båda släktena på grund</w:t>
            </w:r>
            <w:r>
              <w:rPr>
                <w:noProof/>
                <w:color w:val="000000" w:themeColor="text1"/>
                <w:sz w:val="20"/>
              </w:rPr>
              <w:t>val av förväxlingskriteriet.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Paramesotriton </w:t>
            </w:r>
            <w:r>
              <w:rPr>
                <w:iCs/>
                <w:noProof/>
                <w:color w:val="000000" w:themeColor="text1"/>
                <w:sz w:val="20"/>
              </w:rPr>
              <w:t>spp.</w:t>
            </w:r>
            <w:r>
              <w:rPr>
                <w:rFonts w:eastAsia="Times New Roman"/>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Kina, Europeiska unionen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Tylototriton </w:t>
            </w:r>
            <w:r>
              <w:rPr>
                <w:iCs/>
                <w:noProof/>
                <w:color w:val="000000" w:themeColor="text1"/>
                <w:sz w:val="20"/>
              </w:rPr>
              <w:t>spp</w:t>
            </w:r>
            <w:r>
              <w:rPr>
                <w:i/>
                <w:noProof/>
                <w:color w:val="000000" w:themeColor="text1"/>
                <w:sz w:val="20"/>
              </w:rPr>
              <w:t>.</w:t>
            </w:r>
            <w:r>
              <w:rPr>
                <w:rFonts w:eastAsia="Times New Roman"/>
                <w:i/>
                <w:iCs/>
                <w:noProof/>
                <w:color w:val="000000" w:themeColor="text1"/>
                <w:sz w:val="20"/>
                <w:szCs w:val="20"/>
              </w:rPr>
              <w:br/>
            </w:r>
            <w:r>
              <w:rPr>
                <w:noProof/>
                <w:color w:val="000000" w:themeColor="text1"/>
                <w:sz w:val="20"/>
              </w:rPr>
              <w:t>(krokodilvattensalamandrar)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Kina, Europeiska unionen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 xml:space="preserve">EU är </w:t>
            </w:r>
            <w:r>
              <w:rPr>
                <w:noProof/>
                <w:color w:val="000000" w:themeColor="text1"/>
                <w:sz w:val="20"/>
              </w:rPr>
              <w:t>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Isurus oxyrinchus</w:t>
            </w:r>
            <w:r>
              <w:rPr>
                <w:noProof/>
                <w:color w:val="000000" w:themeColor="text1"/>
                <w:sz w:val="20"/>
              </w:rPr>
              <w:t xml:space="preserve"> och</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(mako och långfenad mako)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Bangladesh, Benin, Bhutan, Brasilien, Burkina Faso, Kap Verde, Tchad, Elfenbenskusten, Dominikanska republiken, Egypten, Europeiska unionen, G</w:t>
            </w:r>
            <w:r>
              <w:rPr>
                <w:noProof/>
                <w:color w:val="000000" w:themeColor="text1"/>
                <w:sz w:val="20"/>
              </w:rPr>
              <w:t xml:space="preserve">abon, Gambia, Jordanien, Libanon, Liberia, Maldiverna, Mali, Mexiko, Nepal, Niger, Nigeria, Palau, Samoa, Senegal, Sri Lanka, Sudan, </w:t>
            </w:r>
            <w:r>
              <w:rPr>
                <w:noProof/>
                <w:color w:val="000000" w:themeColor="text1"/>
                <w:sz w:val="20"/>
              </w:rPr>
              <w:lastRenderedPageBreak/>
              <w:t>Togo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lastRenderedPageBreak/>
              <w:t>EU är medförslagsställare En slutlig ståndpunkt ska intas med beaktande av resultaten av bedömningar som gjorts av FAO</w:t>
            </w:r>
            <w:r>
              <w:rPr>
                <w:noProof/>
                <w:color w:val="000000" w:themeColor="text1"/>
                <w:sz w:val="20"/>
              </w:rPr>
              <w:t>:s rådgivande expertpanel, Cites-sekretariatet och IUCN.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Glaucostegus </w:t>
            </w:r>
            <w:r>
              <w:rPr>
                <w:iCs/>
                <w:noProof/>
                <w:color w:val="000000" w:themeColor="text1"/>
                <w:sz w:val="20"/>
              </w:rPr>
              <w:t>spp.</w:t>
            </w:r>
            <w:r>
              <w:rPr>
                <w:rFonts w:eastAsia="Times New Roman"/>
                <w:iCs/>
                <w:noProof/>
                <w:color w:val="000000" w:themeColor="text1"/>
                <w:sz w:val="20"/>
                <w:szCs w:val="20"/>
              </w:rPr>
              <w:br/>
            </w:r>
            <w:r>
              <w:rPr>
                <w:noProof/>
                <w:color w:val="000000" w:themeColor="text1"/>
                <w:sz w:val="20"/>
              </w:rPr>
              <w:t>(hajrockor/gitarrfiskar)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Bangladesh, Benin, Bhutan, Brasilien, Burkina Faso, Kap Verde, Tchad, Elfenbenskusten, Egypten, Europeiska unionen, Gabon,</w:t>
            </w:r>
            <w:r>
              <w:rPr>
                <w:noProof/>
                <w:color w:val="000000" w:themeColor="text1"/>
                <w:sz w:val="20"/>
              </w:rPr>
              <w:t xml:space="preserve"> Gambia, Maldiverna, Mali, Mauretanien, Monaco, Nepal, Niger, Nigeria, Palau, Senegal, Sierra Leone, Sri Lanka, Syrien, Togo, Ukraina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Rhinidae </w:t>
            </w:r>
            <w:r>
              <w:rPr>
                <w:iCs/>
                <w:noProof/>
                <w:color w:val="000000" w:themeColor="text1"/>
                <w:sz w:val="20"/>
              </w:rPr>
              <w:t>spp.</w:t>
            </w:r>
            <w:r>
              <w:rPr>
                <w:rFonts w:eastAsia="Times New Roman"/>
                <w:iCs/>
                <w:noProof/>
                <w:color w:val="000000" w:themeColor="text1"/>
                <w:sz w:val="20"/>
                <w:szCs w:val="20"/>
              </w:rPr>
              <w:br/>
            </w:r>
            <w:r>
              <w:rPr>
                <w:noProof/>
                <w:color w:val="000000" w:themeColor="text1"/>
                <w:sz w:val="20"/>
              </w:rPr>
              <w:t>(hajrockor/gitarrfiskar)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Bangladesh, Benin, </w:t>
            </w:r>
            <w:r>
              <w:rPr>
                <w:noProof/>
                <w:color w:val="000000" w:themeColor="text1"/>
                <w:sz w:val="20"/>
              </w:rPr>
              <w:t>Bhutan, Brasilien, Burkina Faso, Kap Verde, Tchad, Elfenbenskusten, Egypten, Etiopien, Europeiska unionen, Fiji, Gabon, Gambia, Indien, Jordanien, Kenya, Libanon, Maldiverna, Mali, Mexiko, Monaco, Nepal, Niger, Nigeria, Palau, Filippinerna, Saudiarabien, S</w:t>
            </w:r>
            <w:r>
              <w:rPr>
                <w:noProof/>
                <w:color w:val="000000" w:themeColor="text1"/>
                <w:sz w:val="20"/>
              </w:rPr>
              <w:t>enegal, Seychellerna, Sri Lanka, Sudan, Syrien, Togo, Ukraina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Holothuria (Microthele) fuscogilva, Holothuria (Microthele) nobilis, Holothuria (Microthele) whitmaei</w:t>
            </w:r>
            <w:r>
              <w:rPr>
                <w:rFonts w:eastAsia="Times New Roman"/>
                <w:i/>
                <w:iCs/>
                <w:noProof/>
                <w:color w:val="000000" w:themeColor="text1"/>
                <w:sz w:val="20"/>
                <w:szCs w:val="20"/>
              </w:rPr>
              <w:br/>
            </w:r>
            <w:r>
              <w:rPr>
                <w:noProof/>
                <w:color w:val="000000" w:themeColor="text1"/>
                <w:sz w:val="20"/>
              </w:rPr>
              <w:t>(sjögurkor)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Europeiska unionen,</w:t>
            </w:r>
            <w:r>
              <w:rPr>
                <w:rFonts w:eastAsia="Times New Roman"/>
                <w:noProof/>
                <w:color w:val="000000" w:themeColor="text1"/>
                <w:sz w:val="20"/>
                <w:szCs w:val="20"/>
              </w:rPr>
              <w:br/>
            </w:r>
            <w:r>
              <w:rPr>
                <w:noProof/>
                <w:color w:val="000000" w:themeColor="text1"/>
                <w:sz w:val="20"/>
              </w:rPr>
              <w:t>Ke</w:t>
            </w:r>
            <w:r>
              <w:rPr>
                <w:noProof/>
                <w:color w:val="000000" w:themeColor="text1"/>
                <w:sz w:val="20"/>
              </w:rPr>
              <w:t>nya, Senegal, Seychellerna, Förenta staterna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Sri Lanka,</w:t>
            </w:r>
            <w:r>
              <w:rPr>
                <w:rFonts w:eastAsia="Times New Roman"/>
                <w:noProof/>
                <w:color w:val="000000" w:themeColor="text1"/>
                <w:sz w:val="20"/>
                <w:szCs w:val="20"/>
              </w:rPr>
              <w:br/>
            </w:r>
            <w:r>
              <w:rPr>
                <w:noProof/>
                <w:color w:val="000000" w:themeColor="text1"/>
                <w:sz w:val="20"/>
              </w:rPr>
              <w:t>Förenta staterna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 xml:space="preserve">Stöd preliminärt. Alla arter förefaller uppfylla åtminstone några kriterierna för listning i </w:t>
            </w:r>
            <w:r>
              <w:rPr>
                <w:noProof/>
                <w:color w:val="000000" w:themeColor="text1"/>
                <w:sz w:val="20"/>
              </w:rPr>
              <w:lastRenderedPageBreak/>
              <w:t xml:space="preserve">bilaga II. </w:t>
            </w:r>
            <w:r>
              <w:rPr>
                <w:noProof/>
                <w:color w:val="000000" w:themeColor="text1"/>
                <w:sz w:val="20"/>
              </w:rPr>
              <w:t>Det kan uppstå svårigheter i genomförandet när det gäller identifiering av exemplar uppfödda i fångenskap.</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22B26" w:rsidRDefault="007F7137">
            <w:pPr>
              <w:spacing w:after="0"/>
              <w:jc w:val="center"/>
              <w:rPr>
                <w:rFonts w:eastAsia="Times New Roman"/>
                <w:noProof/>
                <w:color w:val="000000" w:themeColor="text1"/>
                <w:sz w:val="20"/>
                <w:szCs w:val="20"/>
              </w:rPr>
            </w:pPr>
            <w:r>
              <w:rPr>
                <w:noProof/>
                <w:color w:val="000000" w:themeColor="text1"/>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B26" w:rsidRDefault="007F7137">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Europeiska unionen,</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Filippinerna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w:t>
            </w:r>
            <w:r>
              <w:rPr>
                <w:noProof/>
                <w:color w:val="000000" w:themeColor="text1"/>
                <w:sz w:val="20"/>
              </w:rPr>
              <w:t xml:space="preserv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Brasilien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förslaget. </w:t>
            </w:r>
            <w:r>
              <w:rPr>
                <w:i/>
                <w:noProof/>
                <w:color w:val="000000" w:themeColor="text1"/>
                <w:sz w:val="20"/>
              </w:rPr>
              <w:t xml:space="preserve">Arten uppfyller kriterierna för listning i bilaga I. </w:t>
            </w:r>
            <w:r>
              <w:rPr>
                <w:noProof/>
                <w:color w:val="000000" w:themeColor="text1"/>
                <w:sz w:val="20"/>
              </w:rPr>
              <w:t xml:space="preserve">Exemplar av arten förekommer i handel, och beroende på ringa populationsstorlek kan all handel vara skadlig.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och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r>
              <w:rPr>
                <w:noProof/>
                <w:color w:val="000000" w:themeColor="text1"/>
                <w:sz w:val="20"/>
              </w:rPr>
              <w:t>(handroantus-, tabebuja-, roseodendron-släktena)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 med not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Brasilien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Kriterierna i resolutionerna 9.24 och 11.21 är uppfyllda. Det är känt att arter i släktet </w:t>
            </w:r>
            <w:r>
              <w:rPr>
                <w:i/>
                <w:noProof/>
                <w:color w:val="000000" w:themeColor="text1"/>
                <w:sz w:val="20"/>
              </w:rPr>
              <w:t>Handroanthus</w:t>
            </w:r>
            <w:r>
              <w:rPr>
                <w:noProof/>
                <w:color w:val="000000" w:themeColor="text1"/>
                <w:sz w:val="20"/>
              </w:rPr>
              <w:t xml:space="preserve"> förekommer i handel för byggändamål och användning </w:t>
            </w:r>
            <w:r>
              <w:rPr>
                <w:noProof/>
                <w:color w:val="000000" w:themeColor="text1"/>
                <w:sz w:val="20"/>
              </w:rPr>
              <w:t xml:space="preserve">utomhus. Vetenskapliga granskningar tyder på att denna handel är orsaken till populationsminskningen och har en negativ påverkan på artens status. </w:t>
            </w:r>
            <w:r>
              <w:rPr>
                <w:i/>
                <w:noProof/>
                <w:color w:val="000000" w:themeColor="text1"/>
                <w:sz w:val="20"/>
              </w:rPr>
              <w:t>Tabebuia</w:t>
            </w:r>
            <w:r>
              <w:rPr>
                <w:noProof/>
                <w:color w:val="000000" w:themeColor="text1"/>
                <w:sz w:val="20"/>
              </w:rPr>
              <w:t xml:space="preserve"> och </w:t>
            </w:r>
            <w:r>
              <w:rPr>
                <w:i/>
                <w:noProof/>
                <w:color w:val="000000" w:themeColor="text1"/>
                <w:sz w:val="20"/>
              </w:rPr>
              <w:t>Roseodendron</w:t>
            </w:r>
            <w:r>
              <w:rPr>
                <w:noProof/>
                <w:color w:val="000000" w:themeColor="text1"/>
                <w:sz w:val="20"/>
              </w:rPr>
              <w:t xml:space="preserve"> förekommer i handel under samma handelsnamn och vetenskapligt namn och det är svårt</w:t>
            </w:r>
            <w:r>
              <w:rPr>
                <w:noProof/>
                <w:color w:val="000000" w:themeColor="text1"/>
                <w:sz w:val="20"/>
              </w:rPr>
              <w:t xml:space="preserve"> att skilja träslaget från </w:t>
            </w:r>
            <w:r>
              <w:rPr>
                <w:i/>
                <w:noProof/>
                <w:color w:val="000000" w:themeColor="text1"/>
                <w:sz w:val="20"/>
              </w:rPr>
              <w:t>Handroanthus</w:t>
            </w:r>
            <w:r>
              <w:rPr>
                <w:noProof/>
                <w:color w:val="000000" w:themeColor="text1"/>
                <w:sz w:val="20"/>
              </w:rPr>
              <w:t>. Förslagets omfattning är väl motiverad av förväxlingsskäl. EU är en betydande importör i världen.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(mulanjecypress)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Invänd om inte Malawi lägger fram bevis </w:t>
            </w:r>
            <w:r>
              <w:rPr>
                <w:noProof/>
                <w:color w:val="000000" w:themeColor="text1"/>
                <w:sz w:val="20"/>
              </w:rPr>
              <w:t>för att internationell handel är skadlig för artens bevarande. Arten kan i stället listas i bilaga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tabs>
                <w:tab w:val="left" w:pos="263"/>
              </w:tabs>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sissoopalisander)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0</w:t>
            </w:r>
          </w:p>
          <w:p w:rsidR="00122B26" w:rsidRDefault="007F7137">
            <w:pPr>
              <w:spacing w:after="0"/>
              <w:jc w:val="left"/>
              <w:rPr>
                <w:rFonts w:eastAsia="Times New Roman"/>
                <w:noProof/>
                <w:color w:val="000000" w:themeColor="text1"/>
                <w:sz w:val="20"/>
                <w:szCs w:val="20"/>
              </w:rPr>
            </w:pPr>
            <w:r>
              <w:rPr>
                <w:noProof/>
                <w:color w:val="000000" w:themeColor="text1"/>
                <w:sz w:val="20"/>
              </w:rPr>
              <w:t>Stryk från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Bangladesh, Bhutan, Indien och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Arten är allmän och uppfyller inte de </w:t>
            </w:r>
            <w:r>
              <w:rPr>
                <w:noProof/>
                <w:color w:val="000000" w:themeColor="text1"/>
                <w:sz w:val="20"/>
              </w:rPr>
              <w:t xml:space="preserve">biologiska kriterierna </w:t>
            </w:r>
            <w:r>
              <w:rPr>
                <w:noProof/>
                <w:color w:val="000000" w:themeColor="text1"/>
                <w:sz w:val="20"/>
              </w:rPr>
              <w:lastRenderedPageBreak/>
              <w:t>för bilaga II, men uppfyller högst sannolikt förväxlingskriteriet i resolution 9.24 (kriterium A i bilaga 2 b). Detta förslag bör också ses i samband med föreslagna ändringar av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Cs/>
                <w:noProof/>
                <w:color w:val="000000" w:themeColor="text1"/>
                <w:sz w:val="20"/>
                <w:szCs w:val="20"/>
              </w:rPr>
            </w:pPr>
            <w:r>
              <w:rPr>
                <w:i/>
                <w:noProof/>
                <w:color w:val="000000" w:themeColor="text1"/>
                <w:sz w:val="20"/>
              </w:rPr>
              <w:t xml:space="preserve">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w:t>
            </w:r>
            <w:r>
              <w:rPr>
                <w:i/>
                <w:noProof/>
                <w:color w:val="000000" w:themeColor="text1"/>
                <w:sz w:val="20"/>
              </w:rPr>
              <w:t>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(palisander-släktet samt bubinga, pellegrinbubinga och jättebubinga)</w:t>
            </w:r>
          </w:p>
          <w:p w:rsidR="00122B26" w:rsidRDefault="007F7137">
            <w:pPr>
              <w:spacing w:after="0"/>
              <w:jc w:val="left"/>
              <w:rPr>
                <w:rFonts w:eastAsia="Times New Roman"/>
                <w:i/>
                <w:iCs/>
                <w:noProof/>
                <w:color w:val="000000" w:themeColor="text1"/>
                <w:sz w:val="20"/>
                <w:szCs w:val="20"/>
              </w:rPr>
            </w:pPr>
            <w:r>
              <w:rPr>
                <w:noProof/>
                <w:color w:val="000000" w:themeColor="text1"/>
                <w:sz w:val="20"/>
              </w:rPr>
              <w:t xml:space="preserve">Ändring av </w:t>
            </w:r>
            <w:r>
              <w:rPr>
                <w:rFonts w:eastAsia="Times New Roman"/>
                <w:iCs/>
                <w:noProof/>
                <w:color w:val="000000" w:themeColor="text1"/>
                <w:sz w:val="20"/>
                <w:szCs w:val="20"/>
              </w:rPr>
              <w:br/>
            </w:r>
            <w:r>
              <w:rPr>
                <w:noProof/>
                <w:color w:val="000000" w:themeColor="text1"/>
                <w:sz w:val="20"/>
              </w:rPr>
              <w:t>not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II – II</w:t>
            </w:r>
          </w:p>
          <w:p w:rsidR="00122B26" w:rsidRDefault="007F7137">
            <w:pPr>
              <w:spacing w:after="0"/>
              <w:jc w:val="left"/>
              <w:rPr>
                <w:rFonts w:eastAsia="Times New Roman"/>
                <w:noProof/>
                <w:color w:val="000000" w:themeColor="text1"/>
                <w:sz w:val="20"/>
                <w:szCs w:val="20"/>
              </w:rPr>
            </w:pPr>
            <w:r>
              <w:rPr>
                <w:noProof/>
                <w:color w:val="000000" w:themeColor="text1"/>
                <w:sz w:val="20"/>
              </w:rPr>
              <w:t>Ändra not #15 på följande sätt:</w:t>
            </w:r>
          </w:p>
          <w:p w:rsidR="00122B26" w:rsidRDefault="007F7137">
            <w:pPr>
              <w:spacing w:after="0"/>
              <w:jc w:val="left"/>
              <w:rPr>
                <w:rFonts w:eastAsia="Times New Roman"/>
                <w:noProof/>
                <w:color w:val="000000" w:themeColor="text1"/>
                <w:sz w:val="20"/>
                <w:szCs w:val="20"/>
              </w:rPr>
            </w:pPr>
            <w:r>
              <w:rPr>
                <w:noProof/>
                <w:color w:val="000000" w:themeColor="text1"/>
                <w:sz w:val="20"/>
              </w:rPr>
              <w:t>”Alla delar och produkter, utom</w:t>
            </w:r>
          </w:p>
          <w:p w:rsidR="00122B26" w:rsidRDefault="007F7137">
            <w:pPr>
              <w:numPr>
                <w:ilvl w:val="0"/>
                <w:numId w:val="10"/>
              </w:numPr>
              <w:spacing w:before="0" w:after="0"/>
              <w:jc w:val="left"/>
              <w:rPr>
                <w:rFonts w:eastAsia="Times New Roman"/>
                <w:noProof/>
                <w:color w:val="000000" w:themeColor="text1"/>
                <w:sz w:val="20"/>
                <w:szCs w:val="20"/>
              </w:rPr>
            </w:pPr>
            <w:r>
              <w:rPr>
                <w:noProof/>
                <w:color w:val="000000" w:themeColor="text1"/>
                <w:sz w:val="20"/>
              </w:rPr>
              <w:t>blad, blommor, pollen, frukter och frön;</w:t>
            </w:r>
          </w:p>
          <w:p w:rsidR="00122B26" w:rsidRDefault="007F7137">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färdiga </w:t>
            </w:r>
            <w:r>
              <w:rPr>
                <w:noProof/>
                <w:color w:val="000000" w:themeColor="text1"/>
                <w:sz w:val="20"/>
              </w:rPr>
              <w:t>produkter med en högsta vikt av trä av de listade arterna på 500 g per styck;</w:t>
            </w:r>
          </w:p>
          <w:p w:rsidR="00122B26" w:rsidRDefault="007F7137">
            <w:pPr>
              <w:numPr>
                <w:ilvl w:val="0"/>
                <w:numId w:val="10"/>
              </w:numPr>
              <w:spacing w:before="0" w:after="0"/>
              <w:jc w:val="left"/>
              <w:rPr>
                <w:rFonts w:eastAsia="Times New Roman"/>
                <w:noProof/>
                <w:color w:val="000000" w:themeColor="text1"/>
                <w:sz w:val="20"/>
                <w:szCs w:val="20"/>
              </w:rPr>
            </w:pPr>
            <w:r>
              <w:rPr>
                <w:noProof/>
                <w:color w:val="000000" w:themeColor="text1"/>
                <w:sz w:val="20"/>
              </w:rPr>
              <w:t>färdiga musikinstrument, färdiga delar till musikinstrument och färdiga tillbehör tillmusikinstrument;</w:t>
            </w:r>
          </w:p>
          <w:p w:rsidR="00122B26" w:rsidRDefault="007F7137">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delar och produkter av </w:t>
            </w:r>
            <w:r>
              <w:rPr>
                <w:i/>
                <w:noProof/>
                <w:color w:val="000000" w:themeColor="text1"/>
                <w:sz w:val="20"/>
              </w:rPr>
              <w:t>Dalbergia cochinchinensis</w:t>
            </w:r>
            <w:r>
              <w:rPr>
                <w:noProof/>
                <w:color w:val="000000" w:themeColor="text1"/>
                <w:sz w:val="20"/>
              </w:rPr>
              <w:t xml:space="preserve"> som omfattas av not #4,</w:t>
            </w:r>
          </w:p>
          <w:p w:rsidR="00122B26" w:rsidRDefault="007F7137">
            <w:pPr>
              <w:spacing w:after="0"/>
              <w:jc w:val="left"/>
              <w:rPr>
                <w:rFonts w:eastAsia="Times New Roman"/>
                <w:noProof/>
                <w:color w:val="000000" w:themeColor="text1"/>
                <w:sz w:val="20"/>
                <w:szCs w:val="20"/>
              </w:rPr>
            </w:pPr>
            <w:r>
              <w:rPr>
                <w:noProof/>
                <w:color w:val="000000" w:themeColor="text1"/>
                <w:sz w:val="20"/>
              </w:rPr>
              <w:t>de</w:t>
            </w:r>
            <w:r>
              <w:rPr>
                <w:noProof/>
                <w:color w:val="000000" w:themeColor="text1"/>
                <w:sz w:val="20"/>
              </w:rPr>
              <w:t xml:space="preserve">lar och produkter av </w:t>
            </w:r>
            <w:r>
              <w:rPr>
                <w:i/>
                <w:noProof/>
                <w:color w:val="000000" w:themeColor="text1"/>
                <w:sz w:val="20"/>
              </w:rPr>
              <w:t>Dalbergia</w:t>
            </w:r>
            <w:r>
              <w:rPr>
                <w:noProof/>
                <w:color w:val="000000" w:themeColor="text1"/>
                <w:sz w:val="20"/>
              </w:rPr>
              <w:t xml:space="preserve"> spp. som har sitt ursprung i och exporteras från Mexiko och som omfattas av not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Kanada,</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Europeiska unionen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w:t>
            </w:r>
          </w:p>
        </w:tc>
      </w:tr>
      <w:tr w:rsidR="00122B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lastRenderedPageBreak/>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(afrormosia)</w:t>
            </w:r>
          </w:p>
          <w:p w:rsidR="00122B26" w:rsidRDefault="007F7137">
            <w:pPr>
              <w:spacing w:after="0"/>
              <w:jc w:val="left"/>
              <w:rPr>
                <w:rFonts w:eastAsia="Times New Roman"/>
                <w:i/>
                <w:iCs/>
                <w:noProof/>
                <w:color w:val="000000" w:themeColor="text1"/>
                <w:sz w:val="20"/>
                <w:szCs w:val="20"/>
              </w:rPr>
            </w:pPr>
            <w:r>
              <w:rPr>
                <w:noProof/>
                <w:color w:val="000000" w:themeColor="text1"/>
                <w:sz w:val="20"/>
              </w:rPr>
              <w:t xml:space="preserve">Ändring av </w:t>
            </w:r>
            <w:r>
              <w:rPr>
                <w:rFonts w:eastAsia="Times New Roman"/>
                <w:iCs/>
                <w:noProof/>
                <w:color w:val="000000" w:themeColor="text1"/>
                <w:sz w:val="20"/>
                <w:szCs w:val="20"/>
              </w:rPr>
              <w:br/>
            </w:r>
            <w:r>
              <w:rPr>
                <w:noProof/>
                <w:color w:val="000000" w:themeColor="text1"/>
                <w:sz w:val="20"/>
              </w:rPr>
              <w:t>not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Utvidga omfattningen av noten för </w:t>
            </w:r>
            <w:r>
              <w:rPr>
                <w:i/>
                <w:noProof/>
                <w:color w:val="000000" w:themeColor="text1"/>
                <w:sz w:val="20"/>
              </w:rPr>
              <w:t>Pericopsis elata</w:t>
            </w:r>
            <w:r>
              <w:rPr>
                <w:noProof/>
                <w:color w:val="000000" w:themeColor="text1"/>
                <w:sz w:val="20"/>
              </w:rPr>
              <w:t xml:space="preserve"> (för närvarande #5) till att omfatta plywood och transformerat trä på följande sätt:</w:t>
            </w:r>
          </w:p>
          <w:p w:rsidR="00122B26" w:rsidRDefault="007F7137">
            <w:pPr>
              <w:spacing w:after="0"/>
              <w:jc w:val="left"/>
              <w:rPr>
                <w:rFonts w:eastAsia="Times New Roman"/>
                <w:noProof/>
                <w:color w:val="000000" w:themeColor="text1"/>
                <w:sz w:val="20"/>
                <w:szCs w:val="20"/>
              </w:rPr>
            </w:pPr>
            <w:r>
              <w:rPr>
                <w:noProof/>
                <w:color w:val="000000" w:themeColor="text1"/>
                <w:sz w:val="20"/>
              </w:rPr>
              <w:t>”Stockar, sågade trävaror, fanér, plywood och transformerat trä</w:t>
            </w:r>
            <w:r>
              <w:rPr>
                <w:noProof/>
                <w:color w:val="000000" w:themeColor="text1"/>
                <w:sz w:val="20"/>
                <w:vertAlign w:val="superscript"/>
              </w:rPr>
              <w:t>1</w:t>
            </w:r>
            <w:r>
              <w:rPr>
                <w:noProof/>
                <w:color w:val="000000" w:themeColor="text1"/>
                <w:sz w:val="20"/>
              </w:rPr>
              <w:t>.”</w:t>
            </w:r>
          </w:p>
          <w:p w:rsidR="00122B26" w:rsidRDefault="007F7137">
            <w:pPr>
              <w:spacing w:after="0"/>
              <w:jc w:val="left"/>
              <w:rPr>
                <w:rFonts w:eastAsia="Times New Roman"/>
                <w:noProof/>
                <w:color w:val="000000" w:themeColor="text1"/>
                <w:sz w:val="20"/>
                <w:szCs w:val="20"/>
              </w:rPr>
            </w:pPr>
            <w:r>
              <w:rPr>
                <w:noProof/>
                <w:color w:val="000000" w:themeColor="text1"/>
                <w:sz w:val="20"/>
                <w:vertAlign w:val="superscript"/>
              </w:rPr>
              <w:t>1</w:t>
            </w:r>
            <w:r>
              <w:rPr>
                <w:noProof/>
              </w:rPr>
              <w:t xml:space="preserve"> Transformerat trä definieras enligt HS-nummer </w:t>
            </w:r>
            <w:r>
              <w:rPr>
                <w:noProof/>
              </w:rPr>
              <w:t>44.09:</w:t>
            </w:r>
            <w:r>
              <w:rPr>
                <w:noProof/>
                <w:color w:val="000000" w:themeColor="text1"/>
                <w:sz w:val="20"/>
              </w:rPr>
              <w:t xml:space="preserve"> Virke (inbegripet icke sammansatt parkettstav), likformigt bearbetat utefter hela längden (spontat, falsat, fasat, försett med pärlstav, profilerat, bearbetat till rund form e.d.) på kanter, ändar eller sidor, även hyvlat, slipat eller längdskarvat.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 xml:space="preserve">Elfenbenskusten, </w:t>
            </w:r>
            <w:r>
              <w:rPr>
                <w:rFonts w:eastAsia="Times New Roman"/>
                <w:noProof/>
                <w:color w:val="000000" w:themeColor="text1"/>
                <w:sz w:val="20"/>
                <w:szCs w:val="20"/>
              </w:rPr>
              <w:br/>
            </w:r>
            <w:r>
              <w:rPr>
                <w:noProof/>
                <w:color w:val="000000" w:themeColor="text1"/>
                <w:sz w:val="20"/>
              </w:rPr>
              <w:t>Europeiska unionen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rPr>
            </w:pPr>
            <w:r>
              <w:rPr>
                <w:noProof/>
                <w:color w:val="000000" w:themeColor="text1"/>
                <w:sz w:val="20"/>
              </w:rPr>
              <w:t>EU är medförslagsställare.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men föreslå införande av en not (eventuellt den ändrade not #5). Arten uppfyller de biologiska kriterierna för listning i </w:t>
            </w:r>
            <w:r>
              <w:rPr>
                <w:noProof/>
                <w:color w:val="000000" w:themeColor="text1"/>
                <w:sz w:val="20"/>
              </w:rPr>
              <w:t>bilaga II samt handelskriteriet (utnyttjande är ett betydande hot mot artens bevarande, och den olagliga avverkningen har ökat kraftigt under de senaste åren för att tillgodose den asiatiska efterfrågan). Ett upptagande i bilaga II skulle kunna göra det lä</w:t>
            </w:r>
            <w:r>
              <w:rPr>
                <w:noProof/>
                <w:color w:val="000000" w:themeColor="text1"/>
                <w:sz w:val="20"/>
              </w:rPr>
              <w:t>ttare att motverka olaglig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(kapaloe)</w:t>
            </w:r>
          </w:p>
          <w:p w:rsidR="00122B26" w:rsidRDefault="007F7137">
            <w:pPr>
              <w:jc w:val="left"/>
              <w:rPr>
                <w:rFonts w:eastAsia="Times New Roman"/>
                <w:noProof/>
                <w:color w:val="000000" w:themeColor="text1"/>
                <w:sz w:val="20"/>
                <w:szCs w:val="20"/>
              </w:rPr>
            </w:pPr>
            <w:r>
              <w:rPr>
                <w:noProof/>
                <w:color w:val="000000" w:themeColor="text1"/>
                <w:sz w:val="20"/>
              </w:rPr>
              <w:t>Ändring av not #4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szCs w:val="20"/>
              </w:rPr>
              <w:t>II – II</w:t>
            </w:r>
          </w:p>
          <w:p w:rsidR="00122B26" w:rsidRDefault="007F7137">
            <w:pPr>
              <w:spacing w:after="0"/>
              <w:jc w:val="left"/>
              <w:rPr>
                <w:rFonts w:eastAsia="Times New Roman"/>
                <w:noProof/>
                <w:color w:val="000000" w:themeColor="text1"/>
                <w:sz w:val="20"/>
                <w:szCs w:val="20"/>
              </w:rPr>
            </w:pPr>
            <w:r>
              <w:rPr>
                <w:noProof/>
                <w:color w:val="000000" w:themeColor="text1"/>
                <w:sz w:val="20"/>
                <w:szCs w:val="20"/>
              </w:rPr>
              <w:t xml:space="preserve">Ändra not #4 för </w:t>
            </w:r>
            <w:r>
              <w:rPr>
                <w:i/>
                <w:noProof/>
                <w:color w:val="000000" w:themeColor="text1"/>
                <w:sz w:val="20"/>
                <w:szCs w:val="20"/>
              </w:rPr>
              <w:t>Aloe ferox</w:t>
            </w:r>
            <w:r>
              <w:rPr>
                <w:noProof/>
                <w:color w:val="000000" w:themeColor="text1"/>
                <w:sz w:val="20"/>
                <w:szCs w:val="20"/>
              </w:rPr>
              <w:t xml:space="preserve"> på följande sätt: ”Alla </w:t>
            </w:r>
            <w:r>
              <w:rPr>
                <w:noProof/>
                <w:color w:val="000000" w:themeColor="text1"/>
                <w:sz w:val="20"/>
                <w:szCs w:val="20"/>
              </w:rPr>
              <w:lastRenderedPageBreak/>
              <w:t>delar och produkter, utom</w:t>
            </w:r>
            <w:r>
              <w:rPr>
                <w:rFonts w:eastAsia="Times New Roman"/>
                <w:noProof/>
                <w:color w:val="000000" w:themeColor="text1"/>
                <w:sz w:val="20"/>
                <w:szCs w:val="20"/>
              </w:rPr>
              <w:br/>
            </w:r>
            <w:r>
              <w:rPr>
                <w:noProof/>
                <w:color w:val="000000" w:themeColor="text1"/>
                <w:sz w:val="20"/>
                <w:szCs w:val="20"/>
              </w:rPr>
              <w:t>[…]</w:t>
            </w:r>
          </w:p>
          <w:p w:rsidR="00122B26" w:rsidRDefault="007F7137">
            <w:pPr>
              <w:spacing w:before="0" w:after="0"/>
              <w:ind w:left="720" w:hanging="720"/>
              <w:jc w:val="left"/>
              <w:rPr>
                <w:rFonts w:eastAsia="Times New Roman"/>
                <w:noProof/>
                <w:color w:val="000000" w:themeColor="text1"/>
                <w:sz w:val="20"/>
                <w:szCs w:val="20"/>
              </w:rPr>
            </w:pPr>
            <w:r>
              <w:rPr>
                <w:noProof/>
                <w:color w:val="000000" w:themeColor="text1"/>
                <w:sz w:val="20"/>
                <w:szCs w:val="20"/>
              </w:rPr>
              <w:t>f.</w:t>
            </w:r>
            <w:r>
              <w:rPr>
                <w:noProof/>
                <w:sz w:val="20"/>
                <w:szCs w:val="20"/>
              </w:rPr>
              <w:tab/>
            </w:r>
            <w:r>
              <w:rPr>
                <w:noProof/>
                <w:color w:val="000000" w:themeColor="text1"/>
                <w:sz w:val="20"/>
                <w:szCs w:val="20"/>
              </w:rPr>
              <w:t>färdiga produkter</w:t>
            </w:r>
            <w:r>
              <w:rPr>
                <w:noProof/>
                <w:color w:val="000000" w:themeColor="text1"/>
                <w:sz w:val="20"/>
                <w:szCs w:val="20"/>
                <w:vertAlign w:val="superscript"/>
              </w:rPr>
              <w:t>1</w:t>
            </w:r>
            <w:r>
              <w:rPr>
                <w:noProof/>
                <w:color w:val="000000" w:themeColor="text1"/>
                <w:sz w:val="20"/>
                <w:szCs w:val="20"/>
              </w:rPr>
              <w:t xml:space="preserve"> av </w:t>
            </w:r>
            <w:r>
              <w:rPr>
                <w:i/>
                <w:noProof/>
                <w:color w:val="000000" w:themeColor="text1"/>
                <w:sz w:val="20"/>
                <w:szCs w:val="20"/>
                <w:u w:val="single"/>
              </w:rPr>
              <w:t>Aloe ferox</w:t>
            </w:r>
            <w:r>
              <w:rPr>
                <w:noProof/>
                <w:color w:val="000000" w:themeColor="text1"/>
                <w:sz w:val="20"/>
                <w:szCs w:val="20"/>
                <w:u w:val="single"/>
              </w:rPr>
              <w:t xml:space="preserve"> och</w:t>
            </w:r>
            <w:r>
              <w:rPr>
                <w:noProof/>
                <w:color w:val="000000" w:themeColor="text1"/>
                <w:sz w:val="20"/>
                <w:szCs w:val="20"/>
              </w:rPr>
              <w:t xml:space="preserve"> </w:t>
            </w:r>
            <w:r>
              <w:rPr>
                <w:i/>
                <w:noProof/>
                <w:color w:val="000000" w:themeColor="text1"/>
                <w:sz w:val="20"/>
                <w:szCs w:val="20"/>
              </w:rPr>
              <w:t>Euphorbia antisyphilitica</w:t>
            </w:r>
            <w:r>
              <w:rPr>
                <w:noProof/>
                <w:color w:val="000000" w:themeColor="text1"/>
                <w:sz w:val="20"/>
                <w:szCs w:val="20"/>
              </w:rPr>
              <w:t xml:space="preserve"> som är paketerade och klara för detaljhandel.</w:t>
            </w:r>
          </w:p>
          <w:p w:rsidR="00122B26" w:rsidRDefault="007F7137">
            <w:pPr>
              <w:spacing w:after="0"/>
              <w:jc w:val="left"/>
              <w:rPr>
                <w:rFonts w:eastAsia="Times New Roman"/>
                <w:noProof/>
                <w:color w:val="000000" w:themeColor="text1"/>
                <w:sz w:val="20"/>
                <w:szCs w:val="20"/>
              </w:rPr>
            </w:pPr>
            <w:r>
              <w:rPr>
                <w:noProof/>
                <w:color w:val="000000" w:themeColor="text1"/>
                <w:sz w:val="20"/>
                <w:szCs w:val="20"/>
                <w:vertAlign w:val="superscript"/>
              </w:rPr>
              <w:t>1 </w:t>
            </w:r>
            <w:r>
              <w:rPr>
                <w:noProof/>
                <w:sz w:val="20"/>
                <w:szCs w:val="20"/>
              </w:rPr>
              <w:t>När denna term används i Cites-bilagorna avser den produkter, transporterade var för sig eller i bulk, som inte kräver någon ytterligare bearbetning, och som är förpackade och märkta för slutanvändning eller</w:t>
            </w:r>
            <w:r>
              <w:rPr>
                <w:noProof/>
                <w:sz w:val="20"/>
                <w:szCs w:val="20"/>
              </w:rPr>
              <w:t xml:space="preserve"> detaljhandel i ett skick som lämpar sig för försäljning till eller användning av allmänheten.”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lastRenderedPageBreak/>
              <w:t>Sydafrika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men föreslå utkast till beslut som ger växtkommittén i uppgift att övervaka effekterna av den föreslagna </w:t>
            </w:r>
            <w:r>
              <w:rPr>
                <w:noProof/>
                <w:color w:val="000000" w:themeColor="text1"/>
                <w:sz w:val="20"/>
              </w:rPr>
              <w:lastRenderedPageBreak/>
              <w:t>ändringen och genomförandet av förvaltni</w:t>
            </w:r>
            <w:r>
              <w:rPr>
                <w:noProof/>
                <w:color w:val="000000" w:themeColor="text1"/>
                <w:sz w:val="20"/>
              </w:rPr>
              <w:t>ngsåtgärder. Kriterierna i resolution 11.21 är uppfyllda.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keepNext/>
              <w:spacing w:after="0"/>
              <w:jc w:val="center"/>
              <w:rPr>
                <w:rFonts w:eastAsia="Times New Roman"/>
                <w:noProof/>
                <w:color w:val="000000" w:themeColor="text1"/>
                <w:sz w:val="20"/>
                <w:szCs w:val="20"/>
              </w:rPr>
            </w:pPr>
            <w:r>
              <w:rPr>
                <w:noProof/>
                <w:color w:val="000000" w:themeColor="text1"/>
                <w:sz w:val="20"/>
              </w:rPr>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keepNext/>
              <w:spacing w:after="0"/>
              <w:jc w:val="left"/>
              <w:rPr>
                <w:rFonts w:eastAsia="Times New Roman"/>
                <w:noProof/>
                <w:color w:val="000000" w:themeColor="text1"/>
                <w:sz w:val="20"/>
                <w:szCs w:val="20"/>
              </w:rPr>
            </w:pPr>
            <w:r>
              <w:rPr>
                <w:i/>
                <w:noProof/>
                <w:color w:val="000000" w:themeColor="text1"/>
                <w:sz w:val="20"/>
              </w:rPr>
              <w:t>Adansonia grandidieri</w:t>
            </w:r>
            <w:r>
              <w:rPr>
                <w:noProof/>
                <w:color w:val="000000" w:themeColor="text1"/>
                <w:sz w:val="20"/>
              </w:rPr>
              <w:t xml:space="preserve"> </w:t>
            </w:r>
            <w:r>
              <w:rPr>
                <w:rFonts w:eastAsia="Times New Roman"/>
                <w:noProof/>
                <w:color w:val="000000" w:themeColor="text1"/>
                <w:sz w:val="20"/>
                <w:szCs w:val="20"/>
              </w:rPr>
              <w:br/>
            </w:r>
          </w:p>
          <w:p w:rsidR="00122B26" w:rsidRDefault="007F7137">
            <w:pPr>
              <w:keepNext/>
              <w:spacing w:after="0"/>
              <w:jc w:val="left"/>
              <w:rPr>
                <w:rFonts w:eastAsia="Times New Roman"/>
                <w:noProof/>
                <w:color w:val="000000" w:themeColor="text1"/>
                <w:sz w:val="20"/>
                <w:szCs w:val="20"/>
              </w:rPr>
            </w:pPr>
            <w:r>
              <w:rPr>
                <w:noProof/>
                <w:color w:val="000000" w:themeColor="text1"/>
                <w:sz w:val="20"/>
              </w:rPr>
              <w:t>Ändring av not #16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keepNext/>
              <w:spacing w:after="0"/>
              <w:jc w:val="left"/>
              <w:rPr>
                <w:rFonts w:eastAsia="Times New Roman"/>
                <w:noProof/>
                <w:color w:val="000000" w:themeColor="text1"/>
                <w:sz w:val="20"/>
                <w:szCs w:val="20"/>
              </w:rPr>
            </w:pPr>
            <w:r>
              <w:rPr>
                <w:noProof/>
                <w:color w:val="000000" w:themeColor="text1"/>
                <w:sz w:val="20"/>
              </w:rPr>
              <w:t>II – II</w:t>
            </w:r>
          </w:p>
          <w:p w:rsidR="00122B26" w:rsidRDefault="007F7137">
            <w:pPr>
              <w:keepNext/>
              <w:spacing w:after="0"/>
              <w:jc w:val="left"/>
              <w:rPr>
                <w:rFonts w:eastAsia="Times New Roman"/>
                <w:noProof/>
                <w:color w:val="000000" w:themeColor="text1"/>
                <w:sz w:val="20"/>
                <w:szCs w:val="20"/>
              </w:rPr>
            </w:pPr>
            <w:r>
              <w:rPr>
                <w:noProof/>
                <w:color w:val="000000" w:themeColor="text1"/>
                <w:sz w:val="20"/>
              </w:rPr>
              <w:t xml:space="preserve">”Frön, frukter, olja och levande växter” i listningen av </w:t>
            </w:r>
            <w:r>
              <w:rPr>
                <w:i/>
                <w:noProof/>
                <w:color w:val="000000" w:themeColor="text1"/>
                <w:sz w:val="20"/>
              </w:rPr>
              <w:t>Adansonia grandidieri</w:t>
            </w:r>
            <w:r>
              <w:rPr>
                <w:noProof/>
                <w:color w:val="000000" w:themeColor="text1"/>
                <w:sz w:val="20"/>
              </w:rPr>
              <w:t xml:space="preserve"> i bilaga II ändras genom att hänvisningen till levande växter stryks: ”Frön, frukter och olja”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keepNext/>
              <w:spacing w:after="0"/>
              <w:jc w:val="left"/>
              <w:rPr>
                <w:rFonts w:eastAsia="Times New Roman"/>
                <w:noProof/>
                <w:color w:val="000000" w:themeColor="text1"/>
                <w:sz w:val="20"/>
                <w:szCs w:val="20"/>
              </w:rPr>
            </w:pPr>
            <w:r>
              <w:rPr>
                <w:noProof/>
                <w:color w:val="000000" w:themeColor="text1"/>
                <w:sz w:val="20"/>
              </w:rPr>
              <w:t>Schweiz</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Stöd. Kriterierna i resolution 11.21 är uppfyllda.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keepNext/>
              <w:spacing w:after="0"/>
              <w:jc w:val="center"/>
              <w:rPr>
                <w:noProof/>
                <w:color w:val="000000" w:themeColor="text1"/>
                <w:sz w:val="20"/>
                <w:szCs w:val="20"/>
              </w:rPr>
            </w:pPr>
            <w:r>
              <w:rPr>
                <w:noProof/>
                <w:color w:val="000000" w:themeColor="text1"/>
                <w:sz w:val="20"/>
              </w:rPr>
              <w:t>+</w:t>
            </w:r>
          </w:p>
        </w:tc>
      </w:tr>
      <w:tr w:rsidR="00122B26">
        <w:tc>
          <w:tcPr>
            <w:tcW w:w="817"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rFonts w:eastAsia="Times New Roman"/>
                <w:noProof/>
                <w:color w:val="000000" w:themeColor="text1"/>
                <w:sz w:val="20"/>
                <w:szCs w:val="20"/>
              </w:rPr>
            </w:pPr>
            <w:r>
              <w:rPr>
                <w:noProof/>
                <w:color w:val="000000" w:themeColor="text1"/>
                <w:sz w:val="20"/>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i/>
                <w:noProof/>
                <w:color w:val="000000" w:themeColor="text1"/>
                <w:sz w:val="20"/>
              </w:rPr>
              <w:t>Cedrela</w:t>
            </w:r>
            <w:r>
              <w:rPr>
                <w:noProof/>
              </w:rPr>
              <w:t xml:space="preserve"> </w:t>
            </w:r>
            <w:r>
              <w:rPr>
                <w:noProof/>
                <w:color w:val="000000" w:themeColor="text1"/>
                <w:sz w:val="20"/>
              </w:rPr>
              <w:t>spp.</w:t>
            </w:r>
            <w:r>
              <w:rPr>
                <w:rFonts w:eastAsia="Times New Roman"/>
                <w:noProof/>
                <w:color w:val="000000" w:themeColor="text1"/>
                <w:sz w:val="20"/>
                <w:szCs w:val="20"/>
              </w:rPr>
              <w:br/>
            </w:r>
            <w:r>
              <w:rPr>
                <w:noProof/>
                <w:color w:val="000000" w:themeColor="text1"/>
                <w:sz w:val="20"/>
              </w:rPr>
              <w:t>(cedrelasläktet)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0 – II</w:t>
            </w:r>
          </w:p>
          <w:p w:rsidR="00122B26" w:rsidRDefault="007F7137">
            <w:pPr>
              <w:spacing w:after="0"/>
              <w:jc w:val="left"/>
              <w:rPr>
                <w:rFonts w:eastAsia="Times New Roman"/>
                <w:noProof/>
                <w:color w:val="000000" w:themeColor="text1"/>
                <w:sz w:val="20"/>
                <w:szCs w:val="20"/>
              </w:rPr>
            </w:pPr>
            <w:r>
              <w:rPr>
                <w:noProof/>
                <w:color w:val="000000" w:themeColor="text1"/>
                <w:sz w:val="20"/>
              </w:rPr>
              <w:t>Ta upp i bilaga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rFonts w:eastAsia="Times New Roman"/>
                <w:noProof/>
                <w:color w:val="000000" w:themeColor="text1"/>
                <w:sz w:val="20"/>
                <w:szCs w:val="20"/>
              </w:rPr>
            </w:pPr>
            <w:r>
              <w:rPr>
                <w:noProof/>
                <w:color w:val="000000" w:themeColor="text1"/>
                <w:sz w:val="20"/>
              </w:rPr>
              <w:t>Ecuador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left"/>
              <w:rPr>
                <w:noProof/>
                <w:color w:val="000000" w:themeColor="text1"/>
                <w:sz w:val="20"/>
                <w:szCs w:val="20"/>
                <w:highlight w:val="yellow"/>
              </w:rPr>
            </w:pPr>
            <w:r>
              <w:rPr>
                <w:noProof/>
                <w:color w:val="000000" w:themeColor="text1"/>
                <w:sz w:val="20"/>
              </w:rPr>
              <w:t xml:space="preserve">Stöd om en not inkluderas i </w:t>
            </w:r>
            <w:r>
              <w:rPr>
                <w:noProof/>
                <w:color w:val="000000" w:themeColor="text1"/>
                <w:sz w:val="20"/>
              </w:rPr>
              <w:t xml:space="preserve">förslaget i syfte att begränsa Cites-kontroller till de varor som först förekommer i internationell handel som export från utbredningsstater (det ska bedömas och diskuteras med förslagsställarna om t.ex. den föreslagna </w:t>
            </w:r>
            <w:r>
              <w:rPr>
                <w:noProof/>
                <w:color w:val="000000" w:themeColor="text1"/>
                <w:sz w:val="20"/>
              </w:rPr>
              <w:lastRenderedPageBreak/>
              <w:t xml:space="preserve">ändrade not #5 skulle vara lämplig), </w:t>
            </w:r>
            <w:r>
              <w:rPr>
                <w:noProof/>
                <w:color w:val="000000" w:themeColor="text1"/>
                <w:sz w:val="20"/>
              </w:rPr>
              <w:t xml:space="preserve">och om förslaget begränsas till populationerna i den neotropiska regionen. Taxonet uppfyller de biologiska kriterierna för listning i bilaga II (det finns klara belägg för att populationens storlek har minskat) samt handelskriteriet (vissa arter i släktet </w:t>
            </w:r>
            <w:r>
              <w:rPr>
                <w:noProof/>
                <w:color w:val="000000" w:themeColor="text1"/>
                <w:sz w:val="20"/>
              </w:rPr>
              <w:t>är föremål för betydande handel på internationell nivå, och utnyttjandet anses vara ett hot mot arternas bevarande). EU är en mindre importör i världen.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22B26" w:rsidRDefault="007F7137">
            <w:pPr>
              <w:spacing w:after="0"/>
              <w:jc w:val="center"/>
              <w:rPr>
                <w:noProof/>
                <w:color w:val="000000" w:themeColor="text1"/>
                <w:sz w:val="20"/>
                <w:szCs w:val="20"/>
              </w:rPr>
            </w:pPr>
            <w:r>
              <w:rPr>
                <w:noProof/>
                <w:color w:val="000000" w:themeColor="text1"/>
                <w:sz w:val="20"/>
              </w:rPr>
              <w:lastRenderedPageBreak/>
              <w:t>(+)</w:t>
            </w:r>
          </w:p>
        </w:tc>
      </w:tr>
    </w:tbl>
    <w:p w:rsidR="00122B26" w:rsidRDefault="00122B26">
      <w:pPr>
        <w:rPr>
          <w:noProof/>
          <w:color w:val="000000" w:themeColor="text1"/>
        </w:rPr>
      </w:pPr>
    </w:p>
    <w:p w:rsidR="00122B26" w:rsidRDefault="00122B26">
      <w:pPr>
        <w:rPr>
          <w:noProof/>
        </w:rPr>
        <w:sectPr w:rsidR="00122B26">
          <w:footerReference w:type="default" r:id="rId14"/>
          <w:footerReference w:type="first" r:id="rId15"/>
          <w:pgSz w:w="11907" w:h="16839"/>
          <w:pgMar w:top="1134" w:right="1417" w:bottom="1134" w:left="1417" w:header="709" w:footer="709" w:gutter="0"/>
          <w:pgNumType w:start="1"/>
          <w:cols w:space="720"/>
          <w:docGrid w:linePitch="360"/>
        </w:sectPr>
      </w:pPr>
    </w:p>
    <w:p w:rsidR="00122B26" w:rsidRDefault="007F7137">
      <w:pPr>
        <w:pStyle w:val="Annexetitre"/>
        <w:rPr>
          <w:rStyle w:val="Marker"/>
          <w:noProof/>
        </w:rPr>
      </w:pPr>
      <w:r>
        <w:rPr>
          <w:noProof/>
        </w:rPr>
        <w:lastRenderedPageBreak/>
        <w:t xml:space="preserve">BILAGA </w:t>
      </w:r>
      <w:r>
        <w:rPr>
          <w:rStyle w:val="Marker"/>
          <w:noProof/>
        </w:rPr>
        <w:t>[…]</w:t>
      </w:r>
    </w:p>
    <w:p w:rsidR="00122B26" w:rsidRDefault="00122B26">
      <w:pPr>
        <w:rPr>
          <w:noProof/>
        </w:rPr>
      </w:pPr>
    </w:p>
    <w:sectPr w:rsidR="00122B2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26" w:rsidRDefault="007F7137">
      <w:pPr>
        <w:spacing w:before="0" w:after="0"/>
      </w:pPr>
      <w:r>
        <w:separator/>
      </w:r>
    </w:p>
  </w:endnote>
  <w:endnote w:type="continuationSeparator" w:id="0">
    <w:p w:rsidR="00122B26" w:rsidRDefault="007F7137">
      <w:pPr>
        <w:spacing w:before="0" w:after="0"/>
      </w:pPr>
      <w:r>
        <w:continuationSeparator/>
      </w:r>
    </w:p>
  </w:endnote>
  <w:endnote w:type="continuationNotice" w:id="1">
    <w:p w:rsidR="00122B26" w:rsidRDefault="00122B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26" w:rsidRDefault="007F7137">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26" w:rsidRDefault="007F7137">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26" w:rsidRDefault="0012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26" w:rsidRDefault="007F7137">
      <w:pPr>
        <w:spacing w:before="0" w:after="0"/>
      </w:pPr>
      <w:r>
        <w:separator/>
      </w:r>
    </w:p>
  </w:footnote>
  <w:footnote w:type="continuationSeparator" w:id="0">
    <w:p w:rsidR="00122B26" w:rsidRDefault="007F7137">
      <w:pPr>
        <w:spacing w:before="0" w:after="0"/>
      </w:pPr>
      <w:r>
        <w:continuationSeparator/>
      </w:r>
    </w:p>
  </w:footnote>
  <w:footnote w:type="continuationNotice" w:id="1">
    <w:p w:rsidR="00122B26" w:rsidRDefault="00122B26">
      <w:pPr>
        <w:spacing w:before="0" w:after="0"/>
      </w:pPr>
    </w:p>
  </w:footnote>
  <w:footnote w:id="2">
    <w:p w:rsidR="00122B26" w:rsidRDefault="007F7137">
      <w:pPr>
        <w:pStyle w:val="FootnoteText"/>
        <w:jc w:val="left"/>
      </w:pPr>
      <w:r>
        <w:rPr>
          <w:rStyle w:val="FootnoteReference"/>
        </w:rPr>
        <w:footnoteRef/>
      </w:r>
      <w:r>
        <w:tab/>
        <w:t xml:space="preserve">Sec. = </w:t>
      </w:r>
      <w:r>
        <w:t>Cites-sekretariatet, SC = ständiga kommittén, AC = djurkommittén, PC = växtkommittén. För landskoder, se ISO 3166.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7: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till"/>
    <w:docVar w:name="LW_ACCOMPAGNANT.CP" w:val="till"/>
    <w:docVar w:name="LW_ANNEX_NBR_FIRST" w:val="2"/>
    <w:docVar w:name="LW_ANNEX_NBR_LAST" w:val="2"/>
    <w:docVar w:name="LW_ANNEX_UNIQUE" w:val="0"/>
    <w:docVar w:name="LW_CORRIGENDUM" w:val="&lt;UNUSED&gt;"/>
    <w:docVar w:name="LW_COVERPAGE_EXISTS" w:val="True"/>
    <w:docVar w:name="LW_COVERPAGE_GUID" w:val="9F69A12B-C1B1-4E7A-9B7B-66D8073B7EB5"/>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vid det 18:e mötet i partskonferensen för konventionen om internationell handel med utrotningshotade arter av vilda djur och växter (Cites CoP18)"/>
    <w:docVar w:name="LW_OBJETACTEPRINCIPAL.CP" w:val="om den ståndpunkt som ska intas på Europeiska unionens vägnar vid det 18:e mötet i partskonferensen för konventionen om internationell handel med utrotningshotade arter av vilda djur och växter (Cites CoP18)"/>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w:rsids>
    <w:rsidRoot w:val="00122B26"/>
    <w:rsid w:val="00122B26"/>
    <w:rsid w:val="007F713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8FC5018-2D50-4ED8-B361-FCAA999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sv-SE" w:eastAsia="sv-SE"/>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sv-SE" w:eastAsia="sv-SE"/>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sv-SE"/>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sv-SE"/>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sv-SE" w:eastAsia="sv-SE" w:bidi="sv-SE"/>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sv-SE" w:eastAsia="sv-SE" w:bidi="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es.org/sites/default/files/eng/cop/18/doc/E-CoP18-050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282F-8F85-4365-834C-34152E3D2F2A}">
  <ds:schemaRefs>
    <ds:schemaRef ds:uri="http://schemas.microsoft.com/sharepoint/v3/contenttype/forms"/>
  </ds:schemaRefs>
</ds:datastoreItem>
</file>

<file path=customXml/itemProps2.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2FF704-0E74-41F2-97EC-B16BC790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54</Pages>
  <Words>9930</Words>
  <Characters>58588</Characters>
  <Application>Microsoft Office Word</Application>
  <DocSecurity>0</DocSecurity>
  <Lines>4506</Lines>
  <Paragraphs>1398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2019-04-03T15:19:00Z</dcterms:created>
  <dcterms:modified xsi:type="dcterms:W3CDTF">2019-04-05T13:19:00Z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