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8F" w:rsidRDefault="00AC24A2">
      <w:pPr>
        <w:pStyle w:val="Pagedecouverture"/>
        <w:rPr>
          <w:noProof/>
          <w:highlight w:val="yellow"/>
        </w:rPr>
      </w:pPr>
      <w:r w:rsidRPr="00AC24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160FDC5-D4DE-4636-8A49-02DDB72048FB" style="width:450.6pt;height:397.8pt">
            <v:imagedata r:id="rId10" o:title=""/>
          </v:shape>
        </w:pict>
      </w:r>
      <w:bookmarkStart w:id="0" w:name="_GoBack"/>
      <w:bookmarkEnd w:id="0"/>
    </w:p>
    <w:p w:rsidR="00202C8F" w:rsidRDefault="00202C8F">
      <w:pPr>
        <w:rPr>
          <w:noProof/>
          <w:color w:val="000000" w:themeColor="text1"/>
        </w:rPr>
        <w:sectPr w:rsidR="00202C8F">
          <w:footerReference w:type="default" r:id="rId11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02C8F" w:rsidRDefault="00AC24A2">
      <w:pPr>
        <w:jc w:val="center"/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lastRenderedPageBreak/>
        <w:t>PRÍLOHA II</w:t>
      </w:r>
    </w:p>
    <w:p w:rsidR="00202C8F" w:rsidRDefault="00AC24A2">
      <w:pPr>
        <w:jc w:val="center"/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t>Pozícia Únie k určitým návrhom predloženým na 18. zasadaní konferencie zmluvných strán Dohovoru o medzinárodnom obchode s ohrozenými</w:t>
      </w:r>
      <w:r>
        <w:rPr>
          <w:b/>
          <w:noProof/>
          <w:color w:val="000000" w:themeColor="text1"/>
          <w:u w:val="single"/>
        </w:rPr>
        <w:t xml:space="preserve"> druhmi voľne žijúcich živočíchov a rastlín (CITES), Kolombo, Srí Lanka, 23. máj – 3. jún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7"/>
        <w:gridCol w:w="3097"/>
        <w:gridCol w:w="3095"/>
      </w:tblGrid>
      <w:tr w:rsidR="00202C8F">
        <w:tc>
          <w:tcPr>
            <w:tcW w:w="1667" w:type="pct"/>
          </w:tcPr>
          <w:p w:rsidR="00202C8F" w:rsidRDefault="00AC24A2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„+“ označuje kladnú pozíciu</w:t>
            </w:r>
          </w:p>
        </w:tc>
        <w:tc>
          <w:tcPr>
            <w:tcW w:w="1667" w:type="pct"/>
          </w:tcPr>
          <w:p w:rsidR="00202C8F" w:rsidRDefault="00AC24A2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„–“ označuje zápornú pozíciu</w:t>
            </w:r>
          </w:p>
        </w:tc>
        <w:tc>
          <w:tcPr>
            <w:tcW w:w="1666" w:type="pct"/>
          </w:tcPr>
          <w:p w:rsidR="00202C8F" w:rsidRDefault="00AC24A2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„0“ označuje otvorenú pozíciu</w:t>
            </w:r>
          </w:p>
        </w:tc>
      </w:tr>
      <w:tr w:rsidR="00202C8F">
        <w:tc>
          <w:tcPr>
            <w:tcW w:w="5000" w:type="pct"/>
            <w:gridSpan w:val="3"/>
          </w:tcPr>
          <w:p w:rsidR="00202C8F" w:rsidRDefault="00AC24A2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„(  )“ označuje potrebu ďalšej analýzy</w:t>
            </w:r>
          </w:p>
        </w:tc>
      </w:tr>
    </w:tbl>
    <w:p w:rsidR="00202C8F" w:rsidRDefault="00AC24A2"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>Pracovné dokumenty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643"/>
        <w:gridCol w:w="670"/>
        <w:gridCol w:w="126"/>
        <w:gridCol w:w="614"/>
        <w:gridCol w:w="2211"/>
        <w:gridCol w:w="1670"/>
        <w:gridCol w:w="2310"/>
        <w:gridCol w:w="963"/>
      </w:tblGrid>
      <w:tr w:rsidR="00202C8F">
        <w:trPr>
          <w:cantSplit/>
          <w:tblHeader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Č.</w:t>
            </w:r>
          </w:p>
        </w:tc>
        <w:tc>
          <w:tcPr>
            <w:tcW w:w="3731" w:type="dxa"/>
            <w:gridSpan w:val="4"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 xml:space="preserve">Bod </w:t>
            </w:r>
            <w:r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programu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Navrhovateľ</w:t>
            </w:r>
            <w:r>
              <w:rPr>
                <w:rStyle w:val="Heading1Char"/>
                <w:noProof/>
                <w:vertAlign w:val="superscript"/>
                <w:lang w:val="sk-SK"/>
              </w:rPr>
              <w:footnoteReference w:id="2"/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Poznámky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Pozícia</w:t>
            </w:r>
          </w:p>
        </w:tc>
      </w:tr>
      <w:tr w:rsidR="00202C8F"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Slávnostné otvorenie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Žiadny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Administratívne a finančné záležitosti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Voľba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predsedu, zastupujúceho predsedu a podpredsedov zasadnutí a predsedov výborov I a II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Žiadny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Schválenie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programu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Prijatie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pracovného programu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Rokovací poriadok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Rokovací poriadok 18. zasadania konferencie zmluvných strán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4.1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Berie sa do úvahy dokument obsahujúci aktuálny rokovací poriadok, ktorý zostane </w:t>
            </w:r>
            <w:r>
              <w:rPr>
                <w:noProof/>
                <w:color w:val="000000" w:themeColor="text1"/>
                <w:sz w:val="20"/>
                <w:szCs w:val="20"/>
              </w:rPr>
              <w:t>v platnosti, pokiaľ a kým ho COP nezmení (pozri pravidlo 32).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Preskúmanie rokovacieho poriadku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4.2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Podporuje, aby sa na účely COP18 zachoval rokovací poriadok v nezmenenej podobe; takisto podporuje nový mandát pre SV na preskúmanie </w:t>
            </w:r>
            <w:r>
              <w:rPr>
                <w:noProof/>
                <w:color w:val="000000" w:themeColor="text1"/>
                <w:sz w:val="20"/>
                <w:szCs w:val="20"/>
              </w:rPr>
              <w:t>pravidla 25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Postup rozhodovania o zmenách príloh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do COP19.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Výbor pre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poverovacie listiny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Zriadenie Výboru pre poverovacie listiny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(žiadny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Žiadny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Výboru pre poverovacie listiny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(žiadny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Žiadny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Prístup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pozorovateľov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Administratíva, financie a rozpočet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sekretariátu a zasadaní konferencie zmluvných strán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7.1.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Administratíva sekretariátu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7.2.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výkonného riaditeľa UNEP o administratívnych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iných záležitostiach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7.3.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Finančné správy na roky 2016 – 2019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1: Finančná správa o pracovnom programe na rok 2016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 výpočtom nákladov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Príloha 2: Trustový fond CITES (CTL) – stav príspevkov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k 31. decembru 2016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Príloha 3: Externý trustový fond CITES (QTL) – stav príspevkov k 31. decembru 2016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Príloha 4: Finančná správa o pracovnom programe na rok 2017 s výpočtom nákladov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Príloha 5: Trustový fond CITES (CTL) – stav príspevkov k 31. decembru 2017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6: Externý trustový fond CITES (QTL) – stav príspevkov k 31. decembru 2017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7: Finančná správa o pracovnom programe na rok 2018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A7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 výpočtom nákladov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8: Trustový fond CITES (CTL) – stav príspevkov k 31. decembru 2018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9: Trustový fond CITES (CTL) – ročné rozdelenie nezaplatených príspevkov k 31. decembru 2018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10: Externý trustový fond CITES (QTL) – stav príspevkov k 31. decembru 2018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A10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Príloha 11: Výkaz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finančných výsledkov a pozícia na rok končiaci sa 31. decembra 2017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7.3 A11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Príloha 12: Finančná správa o pracovnom programe na rok 2019 (do 31. marca 2019) s výpočtom nákladov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13: Trustový fond CITES (CTL) – stav </w:t>
            </w:r>
            <w:r>
              <w:rPr>
                <w:noProof/>
                <w:color w:val="000000" w:themeColor="text1"/>
                <w:sz w:val="20"/>
                <w:szCs w:val="20"/>
              </w:rPr>
              <w:t>príspevkov k 31. marcu 2019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Príloha 14: Externý trustový fond CITES (QTL) – stav príspevkov k 31. marcu 2019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7.4.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Rozpočet a pracovný program na roky 2020 až 2022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1: Návrh uznesenia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Financovanie a pracovný program sekretariátu na obdobie troch rokov 2020 – 2022 s výpočtom nákladov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7.4 A1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2: Rozpočtový scenár – nulový reálny rast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7.4 A2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3: Rozpočtový scenár – nulový nominálny rast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7.4 A3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4: Rozpočtový scenár – postupný rast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7.4 A4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7.5.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Prístup k financovaniu vrátane financovania z GEF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7.6.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Projekt 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sponzorovaných 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delegátov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7.6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zachovanie súčasných kritérií výberu. Sekretariát má preveriť rozšírenie projektu zo zasadaní CoP na schôdze výboru.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Návrh uznesenia o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jazykovom režime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dohovoru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IQ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Nie je jasné, prečo by sa </w:t>
            </w:r>
            <w:r>
              <w:rPr>
                <w:noProof/>
                <w:color w:val="000000" w:themeColor="text1"/>
                <w:sz w:val="20"/>
                <w:szCs w:val="20"/>
              </w:rPr>
              <w:t>arabčina mala pridať ako úradný jazyk dohovoru CITES, ostatné jazyky OSN (čínština, ruština) však nie. Vplyv na rozpočet a možné ďalšie oneskorenia pri vypracúvaní dokumentov hovoria v neprospech daného návrhu.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202C8F"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Strategické otázky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Správy a odporúčania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výboru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9.1.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Stály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výbor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9.1.1.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Správa predsedu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9.1.1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9.1.2.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Voľba nových a zastupujúcich regionálnych členov (žiadny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9.2.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Výbor pre 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zvieratá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9.2.1.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predsedu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9.2.2.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Voľba nových a zastupujúcich regionálnych členov (žiadny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9.3.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Výbor pre 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rastliny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9.3.1.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Správa predsedu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9.3.1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9.3.2.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Voľba nových a zastupujúcich regionálnych členov (žiadny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Strategická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 vízia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CITES po roku 2020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prijatie revidovanej strategickej vízie; sekretariát sa poveruje porovnaním cieľov s existujúcimi rozhodnutiami, uzneseniami; SV sa poveruje vypracovaním ukazovateľov.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Preskúmanie dohovoru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CO, </w:t>
            </w:r>
            <w:r>
              <w:rPr>
                <w:noProof/>
                <w:color w:val="000000" w:themeColor="text1"/>
                <w:sz w:val="20"/>
                <w:szCs w:val="20"/>
              </w:rPr>
              <w:t>NA, ZW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 návrhu sa nastolilo niekoľko dôležitých otázok týkajúcich sa živobytia a revízie príloh. Návrh sa však vo svojej súčasnej podobe a pri súčasnom rozsahu pôsobnosti zdá zaujatý, ako aj nedostatočne vypracovaný, pričom je založený na historických tvr</w:t>
            </w:r>
            <w:r>
              <w:rPr>
                <w:noProof/>
                <w:color w:val="000000" w:themeColor="text1"/>
                <w:sz w:val="20"/>
                <w:szCs w:val="20"/>
              </w:rPr>
              <w:t>deniach bez hĺbkového prehodnotenia čoraz komplexnejších výziev v oblasti obchodu s voľne žijúcimi druhmi a ich ochrany, čo môže mať ďalekosiahle dôsledky. Adresáti návrhov rozhodnutí nie sú bližšie špecifikovaní. Treba viesť ďalšie diskusie, a to aj v súv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islosti s ďalšími návrhmi o vidieckych komunitách atď. (body 17, 18) a vzhľadom na dopyt po zdrojoch.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(-)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Zabezpečenie lepšieho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zaraďovania druhov morských rýb do zoznamu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 prílohách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AG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 návrhu sa uznáva pretrvávajúca potreba účinnejšieho zaraďovania morských druhov do zoznamu. Pri preskúmaní účinnosti predchádzajúcich zaradení do zoznamu by sa však mala venovať pozornosť konkrétnym prípadom s jasným odôvodnením a namiesto zriadenia nové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ho postupu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ad hoc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by sa mali využiť existujúce mechanizmy a odporúčania z predošlých preskúmaní. Výbor nesúhlasí s embargom na nové zaradenia akejkoľvek skupiny druhov do zoznamu; dôležité je, či sú splnené kritériá na zaradenie do zoznamu.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Revízia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uznesenia konferencie č. 11.1 (Rev. CoP17) </w:t>
            </w:r>
            <w:r>
              <w:rPr>
                <w:b/>
                <w:i/>
                <w:iCs/>
                <w:noProof/>
                <w:color w:val="000000" w:themeColor="text1"/>
                <w:sz w:val="20"/>
                <w:szCs w:val="20"/>
              </w:rPr>
              <w:t>Zriadenie výborov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SV/Sek.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Podporujú navrhované nové uznesenie; zmeny, ktoré navrhol sekretariát, si vyžadujú ďalšie posúdenie.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Potenciálne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konflikty záujmov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vo výbore pre zvieratá a výbore pre rastliny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 70. schôdzi SV sa prijal štandardný formulár na zverejňovanie vyhlásení o konflikte záujmov; podporuje sa zrušenie rozhodnutí 16.09 a 16.10.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Spolupráca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 organizáciami a mnohostrannými environmentálnymi dohodami 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15.1.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Spolupráca v rámci iných 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dohovorov týkajúcich sa biodiverzity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15.1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sa obnovenie rozhodnutí 17.55 a 17.56.</w:t>
            </w:r>
          </w:p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Naďalej by sa mali posilňovať synergie medzi </w:t>
            </w:r>
            <w:r>
              <w:rPr>
                <w:noProof/>
                <w:color w:val="000000" w:themeColor="text1"/>
                <w:sz w:val="20"/>
                <w:szCs w:val="20"/>
              </w:rPr>
              <w:t>mnohostrannými environmentálnymi dohodami týkajúcimi sa biodiverzity. Je vhodné, aby SV dané záležitosti priebežne monitoroval.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15.2.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Komisia pre zachovanie živých antarktických morských zdrojov (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CCAMLR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15.2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zmeny uznesenia </w:t>
            </w:r>
            <w:r>
              <w:rPr>
                <w:noProof/>
                <w:color w:val="000000" w:themeColor="text1"/>
                <w:sz w:val="20"/>
                <w:szCs w:val="20"/>
              </w:rPr>
              <w:t>konferencie č. 12.4, ktoré spoločne navrhli sekretariáty dohovoru CITES a komisie CCAMLR.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15.3.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Globálna stratégia pre 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ochranu rastlín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15.3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nové návrhy rozhodnutí, ktorými sa nahradia rozhodnutia 17.53 a 17.54.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15.4.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Medzivládna vedecko-politická platforma pre biodiverzitu a ekosystémové služby (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IPBES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15.4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SV/Sek.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Podporujú návrh uznesenia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Spolupráca s Medzivládnou vedecko-politickou platformou pre biodiverzitu a ekosystémové služby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 prílohe 3 k dokumentu.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15.5.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Medzinárodné konzorcium pre boj proti trestnej činnosti týkajúcej sa voľne žijúcich živočíchov a rastlín (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ICCWC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15.5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výzvu zmluvným stranám, aby naďalej financovali činnosti ICCWC.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15.6.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Spolupráca medzi </w:t>
            </w:r>
            <w:r>
              <w:rPr>
                <w:noProof/>
                <w:color w:val="000000" w:themeColor="text1"/>
                <w:sz w:val="20"/>
                <w:szCs w:val="20"/>
              </w:rPr>
              <w:t>dohovorom CITES a Dohovorom o 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svetovom dedičstve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(WHC)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15.6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Nórsko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návrh uznesenia (v ktorom sa vyzýva na vypracovanie memoranda o porozumení medzi dohovormi WHC a CITES) a návrh rozhodnutia stanovený v prílohách 1 a 2.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Program CITES týkajúci sa druhov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drevín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Vidiecke komunity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príslušnými návrhmi v rámci bodu 18.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17.1.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Správa stáleho výboru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17.1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SV/Sek.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Stanovisko je otvorené návrhu </w:t>
            </w:r>
            <w:r>
              <w:rPr>
                <w:noProof/>
                <w:color w:val="000000" w:themeColor="text1"/>
                <w:sz w:val="20"/>
                <w:szCs w:val="20"/>
              </w:rPr>
              <w:t>sekretariátu na zmenu uznesenia konferencie č. 16.6 o 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živobytí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Návrh na vypustenie rozhodnutí COP17 by mohol byť predčasný; ďalšie snahy v období medzi zasadaniami môžu byť opodstatnené (spolupráca s pracovnou skupinou pre živobytie?).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17.2.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Navrhované zmeny rezolúcie konferencie č. 4.6 (Rev. COP17) [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Predkladanie návrhov rezolúcií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] a rezolúcie konferencie č. 9.24 (Rev. COP17)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17.2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NA, ZW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Navrhnuté zmeny rezolúcie č. 4.6 sa javia nevhodné, pretože rezolúcia sa inak zameriava na form</w:t>
            </w:r>
            <w:r>
              <w:rPr>
                <w:noProof/>
                <w:color w:val="000000" w:themeColor="text1"/>
                <w:sz w:val="20"/>
                <w:szCs w:val="20"/>
              </w:rPr>
              <w:t>ality a postupy predkladania návrhov.</w:t>
            </w:r>
          </w:p>
          <w:p w:rsidR="00202C8F" w:rsidRDefault="00AC24A2">
            <w:pPr>
              <w:spacing w:after="0" w:line="240" w:lineRule="atLeast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Akékoľvek zmeny rezolúcie č. 9.24 by museli prinajmenšom objasniť geografický rozsah konzultácií s vidieckymi komunitami, t. j. každá strana na svojom území; vyžaduje sa ďalšia diskusiu.</w:t>
            </w:r>
          </w:p>
          <w:p w:rsidR="00202C8F" w:rsidRDefault="00AC24A2">
            <w:pPr>
              <w:spacing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dok. 18.3.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(-)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17.3.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Mechanizmus účasti pre vidiecke komunity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BW, CO, NA, ZW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Nesúhlasia so zriadením stáleho výboru pre vidiecke komunity; treba zvážiť iné spôsoby, ako zabezpečiť, aby boli názory vidieckych komunít vypočuté.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CITES a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živobytie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 xml:space="preserve">Zvážiť spolu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s príslušnými návrhmi v rámci bodu 17.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18.1.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Správa sekretariátu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18.1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obnovenie pracovnej skupiny, vypracovanie usmernení prostredníctvom poradenstva, na posúdenie zo strany COP19.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18.2.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Návrh Peru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18.2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Stanovisko je otvorené ďalšiemu fungovaniu pracovnej skupiny, ale spochybňuje navrhované rozšírenie jej mandátu o prácu na možnom certifikačnom systéme pre „výrobky vidieckych komunít vyrobené z druhov uvedených v dohovore CITES, ktoré sú v súlade s ustano</w:t>
            </w:r>
            <w:r>
              <w:rPr>
                <w:noProof/>
                <w:color w:val="000000" w:themeColor="text1"/>
                <w:sz w:val="20"/>
                <w:szCs w:val="20"/>
              </w:rPr>
              <w:t>veniami dohovoru CITES“.</w:t>
            </w:r>
          </w:p>
          <w:p w:rsidR="00202C8F" w:rsidRDefault="00AC24A2">
            <w:pPr>
              <w:spacing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Všeobecne je otvorené aj zavedeniu „Medzinárodného dňa živobytia vidieckych komunít“, ale na tento účel nemusí byť potrebná osobitná rezolúcia; treba zvážiť aj vplyv na zdroje.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18.3.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Navrhované zmeny rezolúcie konferencie č. 9.24 (Rev. CoP17)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18.3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CN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Myšlienka zahrnutia určitého druhu „analýz živobytia“ do vyhlásenia na podporu návrhov na zaradenie do zoznamu by sa mohla zvážiť (rezolúcia konferencie č. 9.24, príloha 6), no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ešte nie je dostatočne zrelá na rozhodnutie na úrovni COP18; navrhované znenie je sčasti nejasné.</w:t>
            </w:r>
          </w:p>
          <w:p w:rsidR="00202C8F" w:rsidRDefault="00AC24A2">
            <w:pPr>
              <w:spacing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dok. 17.2.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(0)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Potravinová bezpečnosť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živobytie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Nesúhlas s obnovou rozhodnutí, keďže pracovná skupina nepokročila </w:t>
            </w:r>
            <w:r>
              <w:rPr>
                <w:noProof/>
                <w:color w:val="000000" w:themeColor="text1"/>
                <w:sz w:val="20"/>
                <w:szCs w:val="20"/>
              </w:rPr>
              <w:t>a veľmi podobné otázky sa riešia v časti „Vidiecke komunity“ a „Živobytie“; podporuje poznámky sekretariátu.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Stratégie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znižovania dopytu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 záujme boja proti nezákonnému obchodu s druhmi uvedenými v dohovore CITES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20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prijatie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návrhov rozhodnutí v prílohe 1 a súhlasí so zrušením rozhodnutí 17.44 až 17.48.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Budovanie kapacít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identifikačný materiál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21.1.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Budovanie kapacít a identifikačný materiál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21.1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VZ/VR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Podporujú návrhy rozhodnutí o zriadení </w:t>
            </w:r>
            <w:r>
              <w:rPr>
                <w:noProof/>
                <w:color w:val="000000" w:themeColor="text1"/>
                <w:sz w:val="20"/>
                <w:szCs w:val="20"/>
              </w:rPr>
              <w:t>spoločnej pracovnej skupiny VZ/VR pre identifikačný materiál; takisto PODPORUJÚ návrh sekretariátu zrušiť rozhodnutia uvedené v bode 54.1.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21.2.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Činnosti budovania kapacít uvedené v rezolúciách a rozhodnutiach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21.2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prijatie </w:t>
            </w:r>
            <w:r>
              <w:rPr>
                <w:noProof/>
                <w:color w:val="000000" w:themeColor="text1"/>
                <w:sz w:val="20"/>
                <w:szCs w:val="20"/>
              </w:rPr>
              <w:t>návrhov rozhodnutí (revízia, zlepšenie webovej stránky CITES, online kurzy virtuálnej akadémie) so zmenami, ktoré navrhol sekretariát.</w:t>
            </w:r>
          </w:p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dokumentmi 21.3, 28, 29.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21.3.</w:t>
            </w:r>
          </w:p>
        </w:tc>
        <w:tc>
          <w:tcPr>
            <w:tcW w:w="2971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Rámec na uľahčenie koordinácie, transparentnosti a zodpovednosti v rámci úsilia CITES pri budovaní kapacít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21.3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Cenná iniciatíva, ale prijatie návrhu rezolúcie a rámca na COP18 sa zdá unáhlené. Namiesto toho podporujú začlenenie príslušných </w:t>
            </w:r>
            <w:r>
              <w:rPr>
                <w:noProof/>
                <w:color w:val="000000" w:themeColor="text1"/>
                <w:sz w:val="20"/>
                <w:szCs w:val="20"/>
              </w:rPr>
              <w:t>prvkov do bodu 21.2, ako navrhol sekretariát, na posúdenie zo strany SV a COP19.</w:t>
            </w:r>
          </w:p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dokumentmi 21.2, 28.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Svetový deň divej prírody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OSN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Podpora návrhov na zmenu rezolúcie konferencie č. 17.1, v ktorej sa od zmluvných strán a štátov, </w:t>
            </w:r>
            <w:r>
              <w:rPr>
                <w:noProof/>
                <w:color w:val="000000" w:themeColor="text1"/>
                <w:sz w:val="20"/>
                <w:szCs w:val="20"/>
              </w:rPr>
              <w:t>ktoré nie sú zmluvnými stranami, požaduje, aby určili jedno kontaktné miesto na koordináciu osláv pri príležitosti Svetového dňa divej prírody.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Zapojenie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mládeže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23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navrhované revízie rezolúcie konferencie č. 17.5 </w:t>
            </w:r>
            <w:r>
              <w:rPr>
                <w:noProof/>
                <w:color w:val="000000" w:themeColor="text1"/>
                <w:sz w:val="20"/>
                <w:szCs w:val="20"/>
              </w:rPr>
              <w:t>o zapojení mládeže (príloha 1) a vypustenie rozhodnutí 17.26 a 17.27.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 </w:t>
            </w:r>
          </w:p>
        </w:tc>
      </w:tr>
      <w:tr w:rsidR="00202C8F"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Otázky súvisiace s výkladom a vykonávaním predpisov</w:t>
            </w:r>
          </w:p>
        </w:tc>
      </w:tr>
      <w:tr w:rsidR="00202C8F"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Súčasné rezolúcie a rozhodnutia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Preskúmanie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rezolúcií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24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Všeobecne podporuje zmeny rezolúcií konferencie č. 4.6,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Predkladanie dokumentov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(vrátane rozhodnutia o centralizovanom financovaní); preskúma navrhované začlenenie rozhodnutia 14.19. Podporuje zmeny rezolúcie č. 12.8,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Preskúmanie významného obchodovania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(p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odľa SC70) a rezolúcie č. 14.3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Postupy zabezpečovania súladu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(vrátane rezolúcie č. 10.10).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Preskúmanie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rozhodnutí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 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lastRenderedPageBreak/>
              <w:t>Všeobecné dodržiavanie a presadzovanie predpisov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Vnútroštátne právne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predpisy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na vykonávanie dohovoru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súbor rozhodnutí, ale požaduje viac zrozumiteľnosti v súvislosti s lehotami a zvažuje navrhnutie ďalších opatrení, aby mohli strany s právnymi predpismi kategórie 2 alebo 3 predložiť sekretariátu podrobnosti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o opatreniach na účinné plnenie dohovoru.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Dodržiavanie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dohovoru CITES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Sek.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Podporuje navrhovanú zmenu rezolúcie konferencie č. 11.3 (Rev. CoP17) a prijatie návrhov rozhodnutí, ktorých cieľom je preskúmanie politiky udeľovania povolení podľa CIT</w:t>
            </w:r>
            <w:r>
              <w:rPr>
                <w:noProof/>
                <w:color w:val="000000" w:themeColor="text1"/>
                <w:sz w:val="20"/>
                <w:szCs w:val="20"/>
              </w:rPr>
              <w:t>ES a súvisiace otázky súladu.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Program pomoci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pri dosahovaní súladu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Všeobecne podporuje súbor rozhodnutí zameraných na vytvorenie programu pomoci pri dosahovaní súladu s cieľom pomôcť stranám s dlhodobými ťažkosťami pri dosahovaní súladu </w:t>
            </w:r>
            <w:r>
              <w:rPr>
                <w:noProof/>
                <w:color w:val="000000" w:themeColor="text1"/>
                <w:sz w:val="20"/>
                <w:szCs w:val="20"/>
              </w:rPr>
              <w:t>s dohovorom a so súvisiacimi odporúčaniami stáleho výboru. Spochybňuje však vplyv na rozpočet súvisiaci s vytvorením programu.</w:t>
            </w:r>
          </w:p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dok. 21 a rozpočtovými dokumentmi.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Celoštátne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preskúmania významného obchodu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29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VZ/VR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Podporujú, aby sa sekretariát poveril vypracovaním analýzy možností a výbory zase ich preskúmaním, vypracujú odporúčania pre COP19.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Dodržiavanie predpisov týkajúcich sa madagaskarských ebenovníkov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Diospyros </w:t>
            </w:r>
            <w:r>
              <w:rPr>
                <w:noProof/>
                <w:color w:val="000000" w:themeColor="text1"/>
                <w:sz w:val="20"/>
                <w:szCs w:val="20"/>
              </w:rPr>
              <w:t>spp.) a palisandrov a dalbergií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Dalbergia </w:t>
            </w:r>
            <w:r>
              <w:rPr>
                <w:noProof/>
                <w:color w:val="000000" w:themeColor="text1"/>
                <w:sz w:val="20"/>
                <w:szCs w:val="20"/>
              </w:rPr>
              <w:t>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30.1.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Madagaskaru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Berie sa na vedomie.</w:t>
            </w:r>
          </w:p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Zvážiť spolu s dok. 30.2.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30.2.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Správa stáleho výboru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30.2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Podporuje, ale dbá na to, aby sa pri diskusiách nevenovala pozornosť len plánu využívania, ktorý navrhol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Madagaskar. Požaduje intenzívne zameranie sa na potrebu dôslednejších opatrení venovaných presadzovaniu predpisov v záujme boja proti nezákonnej ťažbe dreva a rozloženiu sietí nezákonného obchodu. Navrhuje zmenu návrhu rozhodnutia 18.BB s cieľom zohľadniť </w:t>
            </w:r>
            <w:r>
              <w:rPr>
                <w:noProof/>
                <w:color w:val="000000" w:themeColor="text1"/>
                <w:sz w:val="20"/>
                <w:szCs w:val="20"/>
              </w:rPr>
              <w:t>odporúčania UNODC z roku 2017 v tejto oblasti a doplniť znenie preventívnych opatrení, ktorými sa zaistí dostatočná bezpečnosť všetkých plánov týkajúcich sa budúceho využívania (daných zdrojov).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Domáce trhy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známe častým nezákonným obchodovaním s exemplármi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sa navrhovaná zmenu rezolúcie konferencie č. 10.10 (Rev. CoP17) a návrh revidovaných rozhodnutí 17.87 a 17.88 o domácich kontrolách iných produktov z voľne žijúcich druhov než slon</w:t>
            </w:r>
            <w:r>
              <w:rPr>
                <w:noProof/>
                <w:color w:val="000000" w:themeColor="text1"/>
                <w:sz w:val="20"/>
                <w:szCs w:val="20"/>
              </w:rPr>
              <w:t>oviny.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Otázky súvisiace s presadzovaním predpisov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sa predložený návrh rozhodnutí a navrhovaná zmenu rezolúcie konferencie č. 11.3 (Rev. CoP17). Súhlas s vypustením rozhodnutí 17.83 až 17.85.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Boj proti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počítačovej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kriminalite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 súvislosti s voľne žijúcimi druhmi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33.1.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Správa sekretariátu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33.1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Podporujú sa predložené návrhy rozhodnutí.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33.2.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Správa stáleho výboru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33.2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Podporujú sa navrhované zmeny rezolúcie konferencie č. 11.3 </w:t>
            </w:r>
            <w:r>
              <w:rPr>
                <w:noProof/>
                <w:color w:val="000000" w:themeColor="text1"/>
                <w:sz w:val="20"/>
                <w:szCs w:val="20"/>
              </w:rPr>
              <w:t>(Rev. CoP17) a prijatie návrhov rozhodnutí v podobe upravenej sekretariátom. Súhlas s vypustením rozhodnutí 17.94 až 17.96.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sa presadzovania predpisov v oblasti boja proti trestným činom súvisiacim s voľne žijúcimi druhmi v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západnej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a strednej Afrike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Nakladanie so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zabavenými exemplármi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vypustenie rozhodnutí 17.118 a 17.119 a prijatie predložených návrhov rozhodnutí. Hlasuje proti akýmkoľvek doplneniam, ktoré by ohrozovali citlivé informácie o záchranných centrách alebo by viedli k ďalším povinnostiam pre zmluvné strany. Hlasuje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aj proti prípadnému obnoveniu pracovnej skupiny SV.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Uchovávanie a správa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údajov o nezákonnom obchode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zozbieraných prostredníctvom výročných správ strán o nezákonnom obchode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Všeobecne podporuje zásadu systematickejšieho uchovávania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správy údajov o nezákonnom obchode zozbieraných prostredníctvom výročných správ o nezákonnom obchode. Stotožňuje sa so stanoviskom sekretariátu, pokiaľ ide o obavy týkajúce sa obmedzenej pridanej hodnoty takejto databázy, ak nie je zaručené dlhodobé fin</w:t>
            </w:r>
            <w:r>
              <w:rPr>
                <w:noProof/>
                <w:color w:val="000000" w:themeColor="text1"/>
                <w:sz w:val="20"/>
                <w:szCs w:val="20"/>
              </w:rPr>
              <w:t>ancovanie a ak v praxi nahlasuje a poskytuje údaje len obmedzený počet strán. Zvažuje navrhnutie jazyka s cieľom podnietiť strany, aby systematickejšie predkladali výročné správy o nezákonnom obchode.</w:t>
            </w:r>
          </w:p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rozpočtovými dokumentmi.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Pracov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né podmienky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správcov parkov s voľne žijúcimi druhmi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ich vplyv na vykonávanie dokumentu CITES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37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NP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Víta správu a uznáva význam problematiky.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Regulácia obchodu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Určenie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riadiacich orgánov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vymedzenie ich úloh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38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Všeobecne podporuje navrhovanú rezolúciu. Treba dôkladnejšie preskúmať niektoré aspekty znenia.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Usmernenia na vypracovanie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zistení o zákonnom nadobudnutí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39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návrh rezolúcie.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dok. 40.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Kľúčové úlohy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strán dohovoru CITES a povinnosti dovážajúcich krajín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US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Všeobecne podporujú zámer a prístup. Treba dôkladnejšie preskúmať niektoré aspekty navrhovaných zmien rezolúcie konferencie č. 11.3.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Elektronické systémy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informačné technológie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 xml:space="preserve">CoP18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Doc. 41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predložené návrhy rozhodnutí, ktorými sa nahradia rozhodnutia 17.156 až 17.159 s cieľom posúdiť užitočnosť a uskutočniteľnosť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vykonávacieho rámca eCITES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ktorými sa obnoví mandát pracovnej skupiny.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Vysledovateľnosť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 xml:space="preserve">CoP18 Doc.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42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Sekretariát, predseda SV, MX a CH ako predsedovia pracovnej skupiny pre vysledovateľnosť pôsobiacej v období medzi zasadnutiami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Súhlasia s pracovným vymedzením pojmu vysledovateľnosti v dohovore CITES a podporujú prijatie návrhov rozhodnutí v prílohe 1 </w:t>
            </w:r>
            <w:r>
              <w:rPr>
                <w:noProof/>
                <w:color w:val="000000" w:themeColor="text1"/>
                <w:sz w:val="20"/>
                <w:szCs w:val="20"/>
              </w:rPr>
              <w:t>vrátane zmien navrhovaných sekretariátom.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Exempláre získané zo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syntetickej alebo DNA získanej kultiváciou DNA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43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návrhy rozhodnutí v znení zmien sekretariátu, ktorými sa nahrádzajú rozhodnutia 17.89 až 17.91, s cieľom </w:t>
            </w:r>
            <w:r>
              <w:rPr>
                <w:noProof/>
                <w:color w:val="000000" w:themeColor="text1"/>
                <w:sz w:val="20"/>
                <w:szCs w:val="20"/>
              </w:rPr>
              <w:t>pokračovať v posudzovaní problematiky exemplárov získaných pomocou biotechnológií a ich dôsledkov vzhľadom na výklad a vykonávanie dohovor. Niektoré z týchto rozhodnutí by sa ešte mohli spresniť.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Vymedzenie pojmu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„primerané a prijateľné miesta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určenia“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44.1.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Správa stáleho výboru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44.1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odporúčania a návrhy rozhodnutí týkajúce sa vymedzenia pojmu „primerané a prijateľné miesta určenia“. S cieľom predísť nesprávnemu výkladu však isté zmeny znenia môžu byť potrebné.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44.2.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Medzinárodný obchod so živými slonmi africkými: Navrhovaná revízia rezolúcie konferencie č. 11.20 (Rev. CoP17)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Vymedzenie pojmu „primerané a prijateľné miesta určenia“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44.2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BF, JO, LB, LR, NE, NG, SD, SY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 dokumente sa navrhujú zmeny rezolúcie konferencie č. 11.20, podľa ktorých by sa živé slony africké mohli presúvať iba do programov ochrany druhov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in situ</w:t>
            </w:r>
            <w:r>
              <w:rPr>
                <w:noProof/>
                <w:color w:val="000000" w:themeColor="text1"/>
                <w:sz w:val="20"/>
                <w:szCs w:val="20"/>
              </w:rPr>
              <w:t>, a to v rámci ich oblasti prirodzeného výskytu, čím sa vylúči akýkoľvek obchod so slonmi africkými 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lovenými vo voľnej prírode s prepravou na miesta určenia na účely ich využívania v zajatí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ex situ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, dokonca aj v prípadoch, keby to bolo prínosné z hľadiska ochrany. Zvážiť aj v súvislosti s aktuálnou situáciou týkajúcou sa exemplárov zaradených do zoznamu </w:t>
            </w:r>
            <w:r>
              <w:rPr>
                <w:noProof/>
                <w:color w:val="000000" w:themeColor="text1"/>
                <w:sz w:val="20"/>
                <w:szCs w:val="20"/>
              </w:rPr>
              <w:t>v prílohe 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(-)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Závery týkajúce sa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neškodnosti obchodu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45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VZ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predložené návrhy rozhodnutí, ktorých cieľom je riešiť nedostatky a potreby strán pri vypracúvaní záverov o neškodnosti obchodu a podporuje vykonávanie rezolúcie </w:t>
            </w:r>
            <w:r>
              <w:rPr>
                <w:noProof/>
                <w:color w:val="000000" w:themeColor="text1"/>
                <w:sz w:val="20"/>
                <w:szCs w:val="20"/>
              </w:rPr>
              <w:t>konferencie č. 16.7 (Rev. CoP17). Podporuje druhý medzinárodný seminár týkajúci sa záverov o neškodnosti obchodu.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Kvóty na poľovnícke trofeje z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leoparda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 Žiadne dokumenty nie sú k dispozícii k 13. februáru.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Zvýšenie kvót na poľovnícke </w:t>
            </w:r>
            <w:r>
              <w:rPr>
                <w:noProof/>
                <w:color w:val="000000" w:themeColor="text1"/>
                <w:sz w:val="20"/>
                <w:szCs w:val="20"/>
              </w:rPr>
              <w:t>trofeje z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kozy skrutkorohej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47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PK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zvýšenie kvóty na poľovnícke trofeje z kozy skrutkorohej v Pakistane z 12 na 20 zvierat ročne, ak Pakistan poskytne viac informácií o tom, ktoré nové komunity/oblasti sa zapoja do komunitného programu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trofejového lovu.</w:t>
            </w:r>
          </w:p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návrhom na zaradenie do zoznamu č. 1.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Poľovnícke trofeje z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nosorožca ostronosého</w:t>
            </w:r>
            <w:r>
              <w:rPr>
                <w:noProof/>
                <w:color w:val="000000" w:themeColor="text1"/>
                <w:sz w:val="20"/>
                <w:szCs w:val="20"/>
              </w:rPr>
              <w:t>: Vývozná kvóta pre Južnú Afriku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ZA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Navrhované zvýšenie kvóty zo súčasných 5 dospelých samcov nosorožca ostronosého najviac o 0,5 % </w:t>
            </w:r>
            <w:r>
              <w:rPr>
                <w:noProof/>
                <w:color w:val="000000" w:themeColor="text1"/>
                <w:sz w:val="20"/>
                <w:szCs w:val="20"/>
              </w:rPr>
              <w:t>z celkovej populácie v danej krajine sa javí ako rozumné, ak Južná Afrika ročne bude následne uverejňovať osobitnú kvótu (absolútny počet exemplárov).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Vplyv na presun druhu do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prílohy 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49.1.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sekretariátu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49.1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zmeny rezolúcie konferencie č. 12.3 s cieľom objasniť, či sa po zaradení druhu do zoznamu s prísnejšou ochranou uplatňujú pravidlá, ktoré platia v čase obchodu (nie odchytu a zberu), a rezolúcie konferencie č. 13.6. Ďalej sa analyzuje návrh na do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plnenie nového odseku (11) do rezolúcie konferencie č. 12.3 a návrh rozhodnutia, podľa ktorého má SV zvážiť potrebu usmernení počas prechodného obdobia, vrátane obdobia medzi prijatím rozhodnutia o zaradení do zoznamu a nadobudnutím účinnosti, a preskúmať </w:t>
            </w:r>
            <w:r>
              <w:rPr>
                <w:noProof/>
                <w:color w:val="000000" w:themeColor="text1"/>
                <w:sz w:val="20"/>
                <w:szCs w:val="20"/>
              </w:rPr>
              <w:t>osobitné podmienky platné pre označené rastliny vrátane druhov drevín.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49.2.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Obchod s exemplármi pred ich zaradením do prílohy I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49.2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CI, NG, SN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Začlenenie do zmien navrhovaných v dokumente č. 49.1.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Zmeny rezolúcie konferencie č. 10.13 (Rev. CoP15) </w:t>
            </w:r>
            <w:r>
              <w:rPr>
                <w:b/>
                <w:i/>
                <w:iCs/>
                <w:noProof/>
                <w:color w:val="000000" w:themeColor="text1"/>
                <w:sz w:val="20"/>
                <w:szCs w:val="20"/>
              </w:rPr>
              <w:t>Vykonávanie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dohovoru pri druhoch </w:t>
            </w:r>
            <w:r>
              <w:rPr>
                <w:b/>
                <w:i/>
                <w:iCs/>
                <w:noProof/>
                <w:color w:val="000000" w:themeColor="text1"/>
                <w:sz w:val="20"/>
                <w:szCs w:val="20"/>
              </w:rPr>
              <w:t>drevín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hyperlink r:id="rId12" w:history="1">
              <w:r>
                <w:rPr>
                  <w:noProof/>
                  <w:color w:val="000000" w:themeColor="text1"/>
                  <w:sz w:val="20"/>
                  <w:szCs w:val="20"/>
                  <w:u w:val="single"/>
                </w:rPr>
                <w:t>CoP18 Doc. 50</w:t>
              </w:r>
            </w:hyperlink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stanovisko, ale navrhuje začlenenie odkazu na potrebu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vychádzať pri záveroch o neškodnosti obchodu z primeraných konverzných faktorov, a iné menšie zmeny.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51.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Populácie druhov a ich stavy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pokračovanie prác v období medzi zasadaniami s jasnejšie vymedzeným mandátom, okrem </w:t>
            </w:r>
            <w:r>
              <w:rPr>
                <w:noProof/>
                <w:color w:val="000000" w:themeColor="text1"/>
                <w:sz w:val="20"/>
                <w:szCs w:val="20"/>
              </w:rPr>
              <w:t>spravovania stavov populácií.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Introdukcia z mora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obnovený mandát Sekretariátu na monitorovanie vykonávania rezolúcie konferencie č. 14.6 a podávanie správ o rokovaniach týkajúcich sa morskej biodiverzity v oblastiach mimo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jurisdikcie jednotlivých štátov. SV má preskúmať informácie.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Kódy označujúce účel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na povoleniach a osvedčeniach CITES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Predbežne podporuje návrhy na zmenu rozhodnutia 14.54 a rezolúcie konferencie č. 12.3 (Rev. CoP17)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 xml:space="preserve">Povolenia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a osvedčenia</w:t>
            </w:r>
            <w:r>
              <w:rPr>
                <w:noProof/>
                <w:color w:val="000000" w:themeColor="text1"/>
                <w:sz w:val="20"/>
                <w:szCs w:val="20"/>
              </w:rPr>
              <w:t>; overí s prihliadnutím na ďalšie pripomienky sekretariátu. SV vyjadril pochybnosti v súvislosti s potrebou novej pracovnej skupiny v období medzi zasadnutiami.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Identifikácia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exemplárov, ktoré sú predmetom obchodovania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54.1.</w:t>
            </w:r>
          </w:p>
        </w:tc>
        <w:tc>
          <w:tcPr>
            <w:tcW w:w="2971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Príručka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pre identifikáciu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54.1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VZ, VR, Sek.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Podporiť.</w:t>
            </w:r>
          </w:p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dok. 21.1.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54.2.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Identifikácia druhov 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drevín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uvedených na zoznamoch v dohovore CITES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54.2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nový súbor rozhodnutí a vypustenie predchádzajúce </w:t>
            </w:r>
            <w:r>
              <w:rPr>
                <w:noProof/>
                <w:color w:val="000000" w:themeColor="text1"/>
                <w:sz w:val="20"/>
                <w:szCs w:val="20"/>
              </w:rPr>
              <w:t>rozhodnutia.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54.3.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Identifikácia exemplárov 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radu jeseterotvaré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, ktoré sú predmetom obchodovania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54.3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Podpora obnovenia rozhodnutí. Zvažuje sa, či sa niektorý členský štát EÚ môže zaviazať k financovaniu dlho odkladanej štúdie.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Vykonávanie dohovoru CITES na účely obchodu s druhmi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liečivých rastlín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Výnimky a osobitné ustanovenia pre obchod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Zjednodušený postup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pre povolenia a potvrdenia 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Všeobecne </w:t>
            </w:r>
            <w:r>
              <w:rPr>
                <w:noProof/>
                <w:color w:val="000000" w:themeColor="text1"/>
                <w:sz w:val="20"/>
                <w:szCs w:val="20"/>
              </w:rPr>
              <w:t>podporuje navrhované zmeny rezolúcie konferencie č. 11.15 (Rev. CoP12), rezolúcie konferencie č. 12.3 (Rev. CoP17) a návrh rozhodnutí zaslaných sekretariátu; zohľadňuje pripomienky sekretariátu a zvažuje potrebu ďalších zmien.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Vykonávanie dohovoru v súvislosti s exemplármi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chovanými v zajatí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na chovných rančoch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57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návrhy rozhodnutí, ktoré navrhol stály výbor a zmenil sekretariát.</w:t>
            </w:r>
          </w:p>
          <w:p w:rsidR="00202C8F" w:rsidRDefault="00202C8F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Vykonávanie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rezolúcie konferencie č. 17.7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o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preskúmaní obchodu s exemplármi živočíchov, ktoré sa nahlásili ako chované v zajatí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návrhy rozhodnutí, ktoré navrhol stály výbor a podporil sekretariát.</w:t>
            </w:r>
          </w:p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rozpočtovými dokumentmi.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Vymedzenie pojmu „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umelo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rozmnožované</w:t>
            </w:r>
            <w:r>
              <w:rPr>
                <w:noProof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59.1.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Usmernenie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k pojmu „umelo rozmnožované“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59.1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návrh rozhodnutia. Otvorený zmenám, ktoré navrhol sekretariát. Návrh, aby sa uverejnenie usmernenia uskutočnilo až po jeho preskúmaní zo strany VZ.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59.2.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Kódy pôvodu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exemplárov rastlín, ktoré sú predmetom obchodovania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59.2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vytvorenie kódu pôvodu Y prostredníctvom zmien rezolúcie konferencie č. 11.11 (Rev. CoP17) a rezolúcie konferencie č. 12.3 (Rev. CoP17), ako aj návrhov rozhodnutí. Ďalšie zmeny navrhované sekretariátom si však vyžadujú hlbšiu analýzu, aby sa neos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labil pôvodný návrh SV (najmä pokiaľ ide o agarové stromy, teda dreviny rodu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Aquilaria</w:t>
            </w:r>
            <w:r>
              <w:rPr>
                <w:noProof/>
                <w:color w:val="000000" w:themeColor="text1"/>
                <w:sz w:val="20"/>
                <w:szCs w:val="20"/>
              </w:rPr>
              <w:t>, a potrebu záverov o neškodnosti obchodu).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Otázky týkajúce sa konkrétnych druhov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60.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Nezákonný obchod s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gepardmi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Acinonyx jubatus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60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</w:t>
            </w:r>
            <w:r>
              <w:rPr>
                <w:noProof/>
                <w:color w:val="000000" w:themeColor="text1"/>
                <w:sz w:val="20"/>
                <w:szCs w:val="20"/>
              </w:rPr>
              <w:t>návrh rozhodnutia, v ktorom sa sekretariát vyzýva na sprístupnenie konečnej verzie súboru zdrojov CITES pre obchod s gepardmi v závislosti od dostupnosti zdrojov. Súhlas s vypustením rozhodnutí 17.124 až 17.130.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Jeseterotvaré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Acipenseriformes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obnovený mandát SV na preskúmanie označovania kaviáru. Zváži, či sú na dosiahnutie pokroku potrebné jasnejšie usmernenia o zameraní a rozsahu.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Návrhy rozhodnutí o ochrane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obojživelníkov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Amphibia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CR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Široké spektrum návrhov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rozhodnutí určených zmluvným stranám, výborom a sekretariátu, predkladané bez vyhlásenia na podporu zaradenia do zoznamu alebo predchádzajúceho zváženia zo strany VZ, SV. Požadované informácie sa netýkajú konkrétne obojživelníkov, ale uplatňovali by sa na </w:t>
            </w:r>
            <w:r>
              <w:rPr>
                <w:noProof/>
                <w:color w:val="000000" w:themeColor="text1"/>
                <w:sz w:val="20"/>
                <w:szCs w:val="20"/>
              </w:rPr>
              <w:t>všetky taxóny uvedené v zoznamoch CITES. Cielenejší návrh s konkrétnymi opatreniami by mohol získať priaznivé posúdenie.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Úhory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Anguilla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spp.)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63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VZ, SV, 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Podporujú návrhy rozhodnutí.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Vzácne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koraly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(rad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Antipatharia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čeľaď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Coralliidae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návrh rozhodnutia, ktorým sa VZ a SV poverujú analýzou a vyvodením záverov z prieskumu vzácnych koralov a štúdie FAO.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Vykonávanie rezolúcie konferencie č. 16.10 o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plnení dohovoru pri rodoch produkujúcich tzv. </w:t>
            </w:r>
            <w:r>
              <w:rPr>
                <w:b/>
                <w:i/>
                <w:iCs/>
                <w:noProof/>
                <w:color w:val="000000" w:themeColor="text1"/>
                <w:sz w:val="20"/>
                <w:szCs w:val="20"/>
              </w:rPr>
              <w:t xml:space="preserve">agarovú </w:t>
            </w:r>
            <w:r>
              <w:rPr>
                <w:b/>
                <w:i/>
                <w:iCs/>
                <w:noProof/>
                <w:color w:val="000000" w:themeColor="text1"/>
                <w:sz w:val="20"/>
                <w:szCs w:val="20"/>
              </w:rPr>
              <w:t>živicu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Aquilaria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 a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Gyrinops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spp.]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Doc, 65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prijatie návrhov rozhodnutí o rodoch produkujúcich tzv. agarovú živicu a vypustenie predchádzajúcich rozhodnutí.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Obchod s kadidlovníkmi </w:t>
            </w:r>
            <w:r>
              <w:rPr>
                <w:b/>
                <w:i/>
                <w:iCs/>
                <w:noProof/>
                <w:color w:val="000000" w:themeColor="text1"/>
                <w:sz w:val="20"/>
                <w:szCs w:val="20"/>
              </w:rPr>
              <w:t>Boswellia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spp. (čeľaď burzerovité)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 xml:space="preserve">CoP18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Doc. 66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LK, US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Podporujú súbor návrhov rozhodnutí.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Ryby druhu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Cheilinus undulatus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67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Súhlas s návrhom rozhodnutia, ktorého cieľom je poskytnúť pomoc hlavným vyvážajúcim a dovážajúcim krajinám pri riešení ostatných problémov </w:t>
            </w:r>
            <w:r>
              <w:rPr>
                <w:noProof/>
                <w:color w:val="000000" w:themeColor="text1"/>
                <w:sz w:val="20"/>
                <w:szCs w:val="20"/>
              </w:rPr>
              <w:t>spojených s plnením dohovoru.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Pásožiabrovce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Elasmobranchii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68.1.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výboru pre zvieratá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VZ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Správu sa berie na vedomie.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68.2.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sekretariátu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Slonovité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Elephantidae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69.1.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Vykonávanie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rezolúcie konferencie č. 10.10 (Rev. CoP17) o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obchode s exemplármi slonov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Sek./SV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Populácie druhov a ich stavy</w:t>
            </w:r>
            <w:r>
              <w:rPr>
                <w:noProof/>
                <w:color w:val="000000" w:themeColor="text1"/>
                <w:sz w:val="20"/>
                <w:szCs w:val="20"/>
              </w:rPr>
              <w:t>: podpora rozhodnutia, aby mohol SV preskúmať usmernenia, ktoré vypracoval sekretariát.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Slony ázijské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noProof/>
                <w:color w:val="000000" w:themeColor="text1"/>
                <w:sz w:val="20"/>
                <w:szCs w:val="20"/>
              </w:rPr>
              <w:t>Sekretariát aj stály výbor sú otvorení podporiť obnovenie rozhodnutí, ale na zabezpečenie účinnosti tohto kroku treba väčšiu podporu zo strany štátov výskytu tohto druhu.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Národné akčné plány pre slonovinu (NIAP)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: podpora navrhovaných revízií rezolúcie konferencie č. 10.10 ods. 26 písm. g) a prílohy III (usmernenia procesu NIAP) a rezolúcie konferencie č. 14.3 týkajúce sa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súladu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noProof/>
                <w:color w:val="000000" w:themeColor="text1"/>
                <w:sz w:val="20"/>
                <w:szCs w:val="20"/>
              </w:rPr>
              <w:sym w:font="Wingdings" w:char="F0E0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dok. 24);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zvážiť žiadosť sekretariátu o vytvorenie nového pracovného miesta (</w:t>
            </w:r>
            <w:r>
              <w:rPr>
                <w:noProof/>
                <w:color w:val="000000" w:themeColor="text1"/>
                <w:sz w:val="20"/>
                <w:szCs w:val="20"/>
              </w:rPr>
              <w:sym w:font="Wingdings" w:char="F0E0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rozp</w:t>
            </w:r>
            <w:r>
              <w:rPr>
                <w:noProof/>
                <w:color w:val="000000" w:themeColor="text1"/>
                <w:sz w:val="20"/>
                <w:szCs w:val="20"/>
              </w:rPr>
              <w:t>očet).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Preskúmanie v rámci systému ETIS</w:t>
            </w:r>
            <w:r>
              <w:rPr>
                <w:noProof/>
                <w:color w:val="000000" w:themeColor="text1"/>
                <w:sz w:val="20"/>
                <w:szCs w:val="20"/>
              </w:rPr>
              <w:t>: podpora mandátu, ako bolo dohodnuté na 70. schôdzi SV.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Finančná a prevádzková udržateľnosť v rámci programu MIKE a systému ETIS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: podpora návrhu rozhodnutia, aby sekretariát mohol vypracovať návrh </w:t>
            </w:r>
            <w:r>
              <w:rPr>
                <w:noProof/>
                <w:color w:val="000000" w:themeColor="text1"/>
                <w:sz w:val="20"/>
                <w:szCs w:val="20"/>
              </w:rPr>
              <w:t>(náklady: 30 000 USD) a SV vykonal preskúmanie.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Domáce trhy so slonovinou</w:t>
            </w:r>
            <w:r>
              <w:rPr>
                <w:noProof/>
                <w:color w:val="000000" w:themeColor="text1"/>
                <w:sz w:val="20"/>
                <w:szCs w:val="20"/>
              </w:rPr>
              <w:t>: Podpora navrhovanej zmeny rezolúcie konferencie č. 10.10 podľa dok. 31.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69.2.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o monitorovaní nezákonného zabíjania slonov (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MIKE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69.2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Správa sa </w:t>
            </w:r>
            <w:r>
              <w:rPr>
                <w:noProof/>
                <w:color w:val="000000" w:themeColor="text1"/>
                <w:sz w:val="20"/>
                <w:szCs w:val="20"/>
              </w:rPr>
              <w:t>berie na vedomie.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69.3.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o informačnom systéme pre obchod so slonmi (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ETIS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69.3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sa berie na vedomie; Sekretariát zváži vplyv na proces NIAP (konkrétne krajiny, ktoré podľa systému ETIS nie sú v súčasnosti zahrnuté do NIAP).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69.4.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Zásoby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slonoviny: navrhovaná revízia rezolúcie konferencie č. 10.10 (Rev. CoP17) o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obchode s exemplármi slonov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69.4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BF, TD, CI, GA, JO, KE, LR, NE, NG, SD, SY 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Uznávajú význam finalizácie usmernení, ale spochybňujú, že na daný účel </w:t>
            </w:r>
            <w:r>
              <w:rPr>
                <w:noProof/>
                <w:color w:val="000000" w:themeColor="text1"/>
                <w:sz w:val="20"/>
                <w:szCs w:val="20"/>
              </w:rPr>
              <w:t>je realizovateľné a vhodné zriadiť pracovnú skupinu fungujúcu v rámci predmetného zasadnutia. Zvážiť alternatívne návrhy sekretariátu.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(-)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69.5.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Aspekty vykonávania rezolúcie konferencie č. 10.10 (Rev. CoP17) o zrušení 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domácich trhov so slonovinou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BF, </w:t>
            </w:r>
            <w:r>
              <w:rPr>
                <w:noProof/>
                <w:color w:val="000000" w:themeColor="text1"/>
                <w:sz w:val="20"/>
                <w:szCs w:val="20"/>
              </w:rPr>
              <w:t>CI, ET, GA, KE, LR, NE, NG, SY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Argumentovali proti záverom týkajúcich sa trhov so slonovinou v EÚ (ods. 28); a vyzdvihli prebiehajúce úsilie EÚ.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Odmietli navrhované zmeny rezolúcie konferencie č. 10.10 a súvisiace návrhy rozhodnutí ako neúmerné a sčasti n</w:t>
            </w:r>
            <w:r>
              <w:rPr>
                <w:noProof/>
                <w:color w:val="000000" w:themeColor="text1"/>
                <w:sz w:val="20"/>
                <w:szCs w:val="20"/>
              </w:rPr>
              <w:t>ejasné.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-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Kareta pravá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Eretmochelys imbricata</w:t>
            </w:r>
            <w:r>
              <w:rPr>
                <w:noProof/>
                <w:color w:val="000000" w:themeColor="text1"/>
                <w:sz w:val="20"/>
                <w:szCs w:val="20"/>
              </w:rPr>
              <w:t>) a iné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morské korytnačky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Cheloniidae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Dermochelyidae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pokračovanie práce prostredníctvom návrhov rozhodnutí, ktoré navrhol sekretariát, ako aj zriadenie pracovnej skupiny pre morské </w:t>
            </w:r>
            <w:r>
              <w:rPr>
                <w:noProof/>
                <w:color w:val="000000" w:themeColor="text1"/>
                <w:sz w:val="20"/>
                <w:szCs w:val="20"/>
              </w:rPr>
              <w:t>korytnačky, ktorá bude pôsobiť v období medzi zasadaniami.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Veľké ázijské mačkovité šelmy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Felidae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71.1.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stáleho výboru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71.2.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Návrh rozhodnutia o veľkých ázijských mačkovitých šelmách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71.2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Všeobecne podporuje úsilie monitorovať a lepšie riadiť obchod s veľkými ázijskými mačkovitými šelmami. Dokument však treba posúdiť až po sprístupnení správy stáleho výboru, aby sa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predišlo možnému prekrývaniu alebo nezrovnalostiam.</w:t>
            </w:r>
          </w:p>
          <w:p w:rsidR="00202C8F" w:rsidRDefault="00AC24A2"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Predložený návrh rozhodnutia by sa mal pred prijatím podrobiť ďalšej dôkladnej analýze a mali by sa v ňom vykonať zmeny. Malo by sa zvážiť aj prepojenie s rezolúciou konferencie č. 12.5 (Rev. 17).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0 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Koníčky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Hippocampus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spp.) v dohovore CITES – cesta k úspechu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MV, MC, LK, US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Podporujú súbor rozhodnutí na účely otvorenia diskusie o riadení a udržateľnom využívaní populácií koníčkov v rámci výboru pre zvieratá a stáleho výboru.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73.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Hominidi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Hominidae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73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SV, Sek.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Podporujú zmeny rezolúcie konferencie č. 13.4 (Rev. CoP16) o ochrane hominidov a obchode s nimi podľa návrhu sekretariátu, ako aj vypustenie rozhodnutí 17.232 a 17.233. Návrh, ktorý sa posudzoval na 30. schôdzi VZ a </w:t>
            </w:r>
            <w:r>
              <w:rPr>
                <w:noProof/>
                <w:color w:val="000000" w:themeColor="text1"/>
                <w:sz w:val="20"/>
                <w:szCs w:val="20"/>
              </w:rPr>
              <w:t>70. schôdzi SV, vychádza zo správy o stave hominidov a súvisiacom vplyve nezákonného obchodu a iných tlakov na ich stav, ktorú sekretariát vypracoval v spolupráci s IUCN, GRASP a inými partnermi. Môžu byť potrebné určité redakčné úpravy.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Druhy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palisandrových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drevín [čeľade bôbovité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Leguminosae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Fabaceae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)]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prijatie návrhov rozhodnutí.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75.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Šupinavce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Manis spp.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 so zapracovaním návrhu 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súbor návrhov rozhodnutí podľa odporúčania stáleho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výboru (69. schôdza SV), a to so zmenami, ktoré navrhol sekretariát, a podporiť vypustenie rozhodnutí 17.239 až 17.240.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Africký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lev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Panthera leo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76.1.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sekretariátu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76.2.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Ochrana </w:t>
            </w:r>
            <w:r>
              <w:rPr>
                <w:noProof/>
                <w:color w:val="000000" w:themeColor="text1"/>
                <w:sz w:val="20"/>
                <w:szCs w:val="20"/>
              </w:rPr>
              <w:t>afrických levov a obchod s nimi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NG, TG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Všeobecne podporujú ďalšie opatrenia na kontrolu medzinárodného obchodu s časťami a derivátmi leva, hoci znenie niektorých prvkov návrhu rezolúcie si môže vyžadovať značné prepracovanie. Dokument treba zvážiť spolu </w:t>
            </w:r>
            <w:r>
              <w:rPr>
                <w:noProof/>
                <w:color w:val="000000" w:themeColor="text1"/>
                <w:sz w:val="20"/>
                <w:szCs w:val="20"/>
              </w:rPr>
              <w:t>s dokumentmi 76.1 a 96 (ešte nie sú k dispozícii).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Jaguár americký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Panthera onca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77.1.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Obchod s jaguármi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CR, MX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Všeobecne podporujú súbor návrhov rozhodnutí, v prípade ktorých treba zrealizovať štúdiu o nezákonnom obchode s jaguármi; boli </w:t>
            </w:r>
            <w:r>
              <w:rPr>
                <w:noProof/>
                <w:color w:val="000000" w:themeColor="text1"/>
                <w:sz w:val="20"/>
                <w:szCs w:val="20"/>
              </w:rPr>
              <w:t>by vhodné určité úpravy a mohli by sa doplniť niektoré prvky z dokumentu 77.2.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77.2.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Nezákonný obchod s jaguármi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77.2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Všeobecne podporuje zvýšenú ochranu jaguárov. Niektoré z navrhovaných prvkov by však mohli byť vhodnejšie skôr vo </w:t>
            </w:r>
            <w:r>
              <w:rPr>
                <w:noProof/>
                <w:color w:val="000000" w:themeColor="text1"/>
                <w:sz w:val="20"/>
                <w:szCs w:val="20"/>
              </w:rPr>
              <w:t>forme rozhodnutí než rezolúcie. Zvážiť, či by sa návrh alebo jeho časti mali zlúčiť s návrhom Kostariky (77.1) do jedného súboru rozhodnutí.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78.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Nezákonný obchod s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antilopou čiru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Pantholops hodgsonii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78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návrh odporúčania </w:t>
            </w:r>
            <w:r>
              <w:rPr>
                <w:noProof/>
                <w:color w:val="000000" w:themeColor="text1"/>
                <w:sz w:val="20"/>
                <w:szCs w:val="20"/>
              </w:rPr>
              <w:t>a návrh sekretariátu na zmenu odseku 2b) rezolúcie konferencie č. 11.8 (Rev. CoP17).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Obchod so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spevavcami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radu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Passeriformes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riadenie ich ochrany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US, LK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Všeobecne podpoujú návrh VZ zohľadniť vplyvy obchodu so spevavcami na ich ochranu. Prípadne </w:t>
            </w:r>
            <w:r>
              <w:rPr>
                <w:noProof/>
                <w:color w:val="000000" w:themeColor="text1"/>
                <w:sz w:val="20"/>
                <w:szCs w:val="20"/>
              </w:rPr>
              <w:t>zvýšiť zacielenie a objasniť rozsah pôsobnosti.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Vavrínovec africký (</w:t>
            </w:r>
            <w:r>
              <w:rPr>
                <w:b/>
                <w:i/>
                <w:iCs/>
                <w:noProof/>
                <w:color w:val="000000" w:themeColor="text1"/>
                <w:sz w:val="20"/>
                <w:szCs w:val="20"/>
              </w:rPr>
              <w:t>Prunus africana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80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prijatie návrhov rozhodnutí. V závislosti od výsledkov regionálneho zasadnutia v rámci programu CITES pre africké druhy drevín, ktorá je naplánovaná na marec 2019, by mohli byť potrebné ďalšie revízie návrhov rozhodnutí.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Papagáje sivé -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 žako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Psittacus erithacus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Delegácia je otvorená možnosti predĺžiť lehotu na registráciu chovného zariadenia. Pred schválením doplnenia nového písmena f) do rozhodnutia 17.256 sú však potrebné ďalšie informácie o možnej obnove populácie druhu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Psittacus erithacus</w:t>
            </w:r>
            <w:r>
              <w:rPr>
                <w:noProof/>
                <w:color w:val="000000" w:themeColor="text1"/>
                <w:sz w:val="20"/>
                <w:szCs w:val="20"/>
              </w:rPr>
              <w:t>. Zdá sa, že úpravy znenia sú pred prijatím nevyhnutné.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Parmovec kardinálsky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Pterapogon kauderni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VZ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súbor návrhov rozhodnutí; EÚ je pripravená podporiť Indonéziu pri vykonávaní rozhodnutia 18.AA.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Nosorožcovité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Rhinocerotidae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83.1.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Správa stáleho výboru a sekretariátu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83.2.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Revízie rezolúcie konferencie č. 9.14 (Rev. CoP17) o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ochrane afrických a ázijských nosorožcov a obchode s nimi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súvisiacich rozhodnutí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KE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Navrhované zmeny rezolúcie o a) zrušení domácich trhov; b) a to pri registrovaných zásobách rohov nosorožca (vrátane rohov nosorožca v súkromnej držbe), ako aj o zničení takýchto zásob; c) pravidelnom podávaní správ zmluvných </w:t>
            </w:r>
            <w:r>
              <w:rPr>
                <w:noProof/>
                <w:color w:val="000000" w:themeColor="text1"/>
                <w:sz w:val="20"/>
                <w:szCs w:val="20"/>
              </w:rPr>
              <w:t>strán stálemu výboru. Treba ďalej preskúmať výhody ochrany, pričom po sprístupnení dok. 83.1 treba v plnej miere analyzovať navrhované zmeny a návrhy rozhodnutí.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(0)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Zobákorožec ostražitý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Rhinoplax vigil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84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návrhy rozhodnutí </w:t>
            </w:r>
            <w:r>
              <w:rPr>
                <w:noProof/>
                <w:color w:val="000000" w:themeColor="text1"/>
                <w:sz w:val="20"/>
                <w:szCs w:val="20"/>
              </w:rPr>
              <w:t>v prílohe 1 vrátane zmien navrhovaných sekretariátom a vypustenie rozhodnutí 17.264, 17.265 a 17.266.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Strombus obrovský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Strombus gigas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Sajgy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Saiga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spp.)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86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dokument, ktorý vychádza z výsledkov diskusií v rámci stáleho výboru a je zameraný na štáty s výskytom sajgy, s cieľom skvalitniť správu inventáru častí a derivátov daného druhu, zlepšiť ich kapacity na boj proti nezákonnému obchodu a zintenzívni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ť úsilie na ochranu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in situ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ex situ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; podporuje návrhu sekretariátu zapojiť výbor pre zvieratá do vykonávania istého rozhodnutia. Rozhodnutia si môžu vyžadovať určité úpravy v závislosti od schválenia presunu celého rodu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Saiga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 do zoznamu v prílohe I.</w:t>
            </w:r>
          </w:p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Zvážiť, či by sa mali zachovať niektoré prvky rozhodnutí 17.268, 17.269 a 17.270.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87.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Ochrana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žiab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druhu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Telmatobius culeus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88.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Korytnačky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Testudines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88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SV, Sek.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Všeobecne podporujú </w:t>
            </w:r>
            <w:r>
              <w:rPr>
                <w:noProof/>
                <w:color w:val="000000" w:themeColor="text1"/>
                <w:sz w:val="20"/>
                <w:szCs w:val="20"/>
              </w:rPr>
              <w:t>návrh revidovaného znenia rezolúcie konferencie č. 11.9 o 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ochrane korytnačiek a obchode s nimi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návrhy rozhodnutí, ktoré predložil sekretariát; zvážiť potrebu zamerania budúceho úsilia na praktické potreby.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Ryby rodu Totoaba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Totoaba macdonaldi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89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návrhy rozhodnutí o ďalšom zhromažďovaní informácií od zmluvných strán; opatrenia na zvyšovanie povedomia a presadzovanie predpisov; sekretariát má vypracovať štúdiu o sviňuche kalifornskej a rybách rodu Totoaba (prehľad štúd</w:t>
            </w:r>
            <w:r>
              <w:rPr>
                <w:noProof/>
                <w:color w:val="000000" w:themeColor="text1"/>
                <w:sz w:val="20"/>
                <w:szCs w:val="20"/>
              </w:rPr>
              <w:t>ie odsúhlasil SV)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Delfín skákavý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 Čiernom mori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Tursiops truncatus ponticus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VZ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návrh rozhodnutia sekretariátu spolupracovať s Dohodou o ochrane veľrybotvarých cicavcov v Čiernom mori, Stredozemnom mori a priľahlej oblasti </w:t>
            </w:r>
            <w:r>
              <w:rPr>
                <w:noProof/>
                <w:color w:val="000000" w:themeColor="text1"/>
                <w:sz w:val="20"/>
                <w:szCs w:val="20"/>
              </w:rPr>
              <w:t>Atlantiku (ACCOBAMS).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Ochrana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lamy vikuňa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Vicugna vicugna</w:t>
            </w:r>
            <w:r>
              <w:rPr>
                <w:noProof/>
                <w:color w:val="000000" w:themeColor="text1"/>
                <w:sz w:val="20"/>
                <w:szCs w:val="20"/>
              </w:rPr>
              <w:t>) a obchod s jej vlnou a výrobkami z nej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AR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Všeobecne podporuje návrh rezolúcie o ochrane lamy vikuňa a obchode s jej vlnou a výrobkami z nej; dokument bol vypracovaný v rámci Dohovoru o ochrane a riadení populácií lamy vikuňa. Treba uskutočniť ďalšie diskusie o formáte a znení textu.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 dok. 53.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Zoznam druhov v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prílohe 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Sek., VZ, VR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Podporujú vypustenie rozhodnutí 17.22 až 17.25. Podporujú prijatie.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93.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Neotropické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druhy drevín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prijatie návrhov rozhodnutí.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Riadenie ochrany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morských okrasných rýb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obchod s nimi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CH, US, EÚ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Podporujú návrhy rozhodnutí (spolunavrhovateľom je EÚ).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Usmernenia, činnosti a nástroje zamerané na posilnenie schopnosti zmluvných strán regulovať obchod s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mäsom z divých tropických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zvierat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Iniciatíva venovaná veľkým africkým šelmám (African Carnivores Initiative)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Obchod so západoafrickými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supmi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riadenie ich ochrany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 xml:space="preserve">CoP18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Doc. 97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BF, NE, SN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Podporujú súbor rozhodnutí, ktoré podporia synergie s Dohovorom o ochrane sťahovavých druhov. Je dôležité zaoberať sa nelegálnou otravou a obchodom na účely (náboženských) rituálov, pričom existujú silné prepojenia medzi nezákonným lovom slonov/nosorožcov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a otravami supov. Jeden z druhov spomenutých v dokumente (zdochlinár biely) sa pravidelne rozmnožuje v EÚ a zimuje v Afrike.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+</w:t>
            </w:r>
          </w:p>
        </w:tc>
      </w:tr>
      <w:tr w:rsidR="00202C8F"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Úprava príloh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Výhrady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týkajúce sa zmien príloh I a II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navrhované zmeny rezolúcie </w:t>
            </w:r>
            <w:r>
              <w:rPr>
                <w:noProof/>
                <w:color w:val="000000" w:themeColor="text1"/>
                <w:sz w:val="20"/>
                <w:szCs w:val="20"/>
              </w:rPr>
              <w:t>konferencie č. 4.25 o 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výhradách</w:t>
            </w:r>
            <w:r>
              <w:rPr>
                <w:noProof/>
                <w:color w:val="000000" w:themeColor="text1"/>
                <w:sz w:val="20"/>
                <w:szCs w:val="20"/>
              </w:rPr>
              <w:t>, aby sa potvrdila 90-dňová lehota na oznámenie výhrad k zaradeniam do zoznamu v prílohe I a II, a aby sa objasnilo, kedy odvolanie výhrady nadobudne platnosť.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Štandardné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menoslovie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VZ, VR, 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Podporujú navrhované zmeny prílohy k rezolúcii konferencie č. 12.11 a súvisiace návrhy rozhodnutí.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Príloha 5: Navrhovaná nová štandardná literatúra CITES pre menoslovie vtákov (trieda Aves)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99 A5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Berie sa na vedomie správa poradcu </w:t>
            </w:r>
            <w:r>
              <w:rPr>
                <w:noProof/>
                <w:color w:val="000000" w:themeColor="text1"/>
                <w:sz w:val="20"/>
                <w:szCs w:val="20"/>
              </w:rPr>
              <w:t>týkajúca sa štandardnej literatúry o menosloví vtákov.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Príloha 6: Navrhované zmeny uverejnenej literatúry, ktoré sa týkajú menoslovia druhov živočíchov uvedených v zoznamoch CITES, v prípade ktorých výbor pre zvieratá (v čase predloženia dokumentu na 18. zasadaní konferencie zmluvných strán) ešte nevydal odpor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účanie o prijatí alebo zamietnutí na účely dohovoru CITES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99 A6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Zaradenie druhov do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prílohy III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Dokument k 1. marcu ešte nebol k dispozícii.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Anotácie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101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navrhovanú zmenu rezolúcie konferencie č. </w:t>
            </w:r>
            <w:r>
              <w:rPr>
                <w:noProof/>
                <w:color w:val="000000" w:themeColor="text1"/>
                <w:sz w:val="20"/>
                <w:szCs w:val="20"/>
              </w:rPr>
              <w:t>11.21 (Rev. CoP17), revíziu odseku 7 oddielu o výklade príloh k dohovoru CITES a návrhy rozhodnutí uvedené v prílohe 4. Podporuje navrhované zmeny rozhodnutia 16.162 (Rev. CoP17), ale zostať otvorený možným zmenám v závislosti od výsledku v súvislosti s an</w:t>
            </w:r>
            <w:r>
              <w:rPr>
                <w:noProof/>
                <w:color w:val="000000" w:themeColor="text1"/>
                <w:sz w:val="20"/>
                <w:szCs w:val="20"/>
              </w:rPr>
              <w:t>otáciou č. 15.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Anotácie k 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orchideám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uvedeným v prílohe II 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102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návrh vymedzenia pojmu „kozmetika“ a prijatie navrhovaných rozhodnutí.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103.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Usmernenia pre 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uverejnenie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príloh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103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Zvážiť potrebu navrhovaných </w:t>
            </w:r>
            <w:r>
              <w:rPr>
                <w:noProof/>
                <w:color w:val="000000" w:themeColor="text1"/>
                <w:sz w:val="20"/>
                <w:szCs w:val="20"/>
              </w:rPr>
              <w:t>usmernení o anotáciách, a to aj vzhľadom na nadchádzajúce pripomienky sekretariátu.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202C8F"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Preskúmanie rezolúcie konferencie č. 10.9 o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posúdení návrhov na presun populácií </w:t>
            </w:r>
            <w:r>
              <w:rPr>
                <w:b/>
                <w:i/>
                <w:iCs/>
                <w:noProof/>
                <w:color w:val="000000" w:themeColor="text1"/>
                <w:sz w:val="20"/>
                <w:szCs w:val="20"/>
              </w:rPr>
              <w:t>slona afrického z prílohy I do prílohy II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CoP18 Doc. 104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navrhované </w:t>
            </w:r>
            <w:r>
              <w:rPr>
                <w:noProof/>
                <w:color w:val="000000" w:themeColor="text1"/>
                <w:sz w:val="20"/>
                <w:szCs w:val="20"/>
              </w:rPr>
              <w:t>zrušenie rezolúcie a súvisiaceho rozhodnutia.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  <w:trHeight w:val="326"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02C8F" w:rsidRDefault="00AC24A2">
            <w:pPr>
              <w:keepNext/>
              <w:spacing w:before="0" w:after="0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lastRenderedPageBreak/>
              <w:t>Návrhy na zmenu príloh</w:t>
            </w:r>
          </w:p>
        </w:tc>
      </w:tr>
      <w:tr w:rsidR="00202C8F">
        <w:trPr>
          <w:cantSplit/>
        </w:trPr>
        <w:tc>
          <w:tcPr>
            <w:tcW w:w="6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Návrhy na zmeny príloh I a II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keepNext/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Návrhy na zaradenie do zoznamu sú uvedené ďalej v časti 2 tohto dokumentu.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202C8F" w:rsidRDefault="00AC24A2">
            <w:pPr>
              <w:keepNext/>
              <w:spacing w:before="0" w:after="0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Záver zasadania</w:t>
            </w:r>
          </w:p>
        </w:tc>
      </w:tr>
      <w:tr w:rsidR="00202C8F">
        <w:trPr>
          <w:cantSplit/>
        </w:trPr>
        <w:tc>
          <w:tcPr>
            <w:tcW w:w="6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Určenie termínu a miesta konania nasledujúceho </w:t>
            </w:r>
            <w:r>
              <w:rPr>
                <w:noProof/>
                <w:color w:val="000000" w:themeColor="text1"/>
                <w:sz w:val="20"/>
                <w:szCs w:val="20"/>
              </w:rPr>
              <w:t>pravidelného zasadania konferencie zmluvných strán (žiadny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Žiadny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02C8F">
        <w:trPr>
          <w:cantSplit/>
        </w:trPr>
        <w:tc>
          <w:tcPr>
            <w:tcW w:w="6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Záverečné poznámky (od pozorovateľov, zmluvných strán dohovoru CITES, generálneho tajomníka, vlády hostiteľskej krajiny) (žiadny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202C8F" w:rsidRDefault="00202C8F"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 Žiadny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02C8F" w:rsidRDefault="00202C8F"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202C8F" w:rsidRDefault="00AC24A2">
      <w:pPr>
        <w:rPr>
          <w:noProof/>
          <w:color w:val="000000" w:themeColor="text1"/>
          <w:szCs w:val="24"/>
          <w:highlight w:val="yellow"/>
        </w:rPr>
      </w:pPr>
      <w:r>
        <w:rPr>
          <w:noProof/>
        </w:rPr>
        <w:br w:type="page"/>
      </w:r>
    </w:p>
    <w:p w:rsidR="00202C8F" w:rsidRDefault="00AC24A2">
      <w:pPr>
        <w:pStyle w:val="Heading1"/>
        <w:rPr>
          <w:noProof/>
        </w:rPr>
      </w:pPr>
      <w:r>
        <w:rPr>
          <w:noProof/>
        </w:rPr>
        <w:lastRenderedPageBreak/>
        <w:t>Návrhy na zaradenie do zoznamu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985"/>
        <w:gridCol w:w="1702"/>
        <w:gridCol w:w="2179"/>
        <w:gridCol w:w="905"/>
      </w:tblGrid>
      <w:tr w:rsidR="00202C8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Taxón/Podrobnosti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Návrh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Navrhovateľ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Poznámky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Pozícia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Capra falconeri heptneri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(Markhur turkménsky)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>(Populácia v Tadžikistane)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populácie v Tadžikistane z prílohy I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Tadžikistan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Zdá sa, že </w:t>
            </w:r>
            <w:r>
              <w:rPr>
                <w:noProof/>
                <w:color w:val="000000" w:themeColor="text1"/>
                <w:sz w:val="20"/>
                <w:szCs w:val="20"/>
              </w:rPr>
              <w:t>populácia rastie a z riadeného lovu druhov uvedených v prílohe I podľa ustanovení dohovoru CITES plynú príjmy v prospech komunít a ochrany druhov. Návrh však neobsahuje silné dôkazy preukazujúce splnenie ochranných opatrení uvedených v prílohe 4 k rezolúci</w:t>
            </w:r>
            <w:r>
              <w:rPr>
                <w:noProof/>
                <w:color w:val="000000" w:themeColor="text1"/>
                <w:sz w:val="20"/>
                <w:szCs w:val="20"/>
              </w:rPr>
              <w:t>i konferencie č. 9.24; presun do zoznamu s menej prísnou ochranou by viedol k intenzívnejšiemu obchodu bez záruky návratnosti príjmov do oblasti ochrany. IUCN odporučila pokračovať v súčasnom riadení a posilniť ho.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Saiga tatarica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(Sajga tatárska)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II </w:t>
            </w:r>
            <w:r>
              <w:rPr>
                <w:noProof/>
                <w:color w:val="000000" w:themeColor="text1"/>
                <w:sz w:val="20"/>
                <w:szCs w:val="20"/>
              </w:rPr>
              <w:t>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Mongolsko,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Spojené štáty americké</w:t>
            </w:r>
          </w:p>
          <w:p w:rsidR="00202C8F" w:rsidRDefault="00202C8F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Je potrebná ďalšia analýza a objasnenie taxonomických otázok vrátane, či možno v návrhoch na zaradenie do zoznamu použiť iné ako štandardné názvoslovie prijaté COP CITES (pozri oddiel C bod 1.4. prílohy 6 k rezolúcii č. 9.24). V súlade s Červenou knihou IU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CN sa v návrhu všetky v súčasnosti sa vyskytujúce poddruhy sajgy považujú za jeden druh. V platnom taxonomickom odkaze CITES sa však mongolské populácie uvádzajú samostatne ako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S. borealis</w:t>
            </w:r>
            <w:r>
              <w:rPr>
                <w:noProof/>
                <w:color w:val="000000" w:themeColor="text1"/>
                <w:sz w:val="20"/>
                <w:szCs w:val="20"/>
              </w:rPr>
              <w:t>. Preto sa zdá, že v návrh nie je zahrnjutá populácia vyskytujúcu sa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 Mongolsku/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S. borealis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. Preto by sa malo hlasovať proti danému návrhu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 xml:space="preserve">s cieľom zabrániť tomu, aby zaradenie poddruhu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S. tatarica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do zoznamu v prílohe I nemalo žiaden negatívny vplyv na populáciu poddruhu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S. borealis</w:t>
            </w:r>
            <w:r>
              <w:rPr>
                <w:noProof/>
                <w:color w:val="000000" w:themeColor="text1"/>
                <w:sz w:val="20"/>
                <w:szCs w:val="20"/>
              </w:rPr>
              <w:t>.</w:t>
            </w:r>
          </w:p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Ak na 18. zasadaní konferencie zmluvn</w:t>
            </w:r>
            <w:r>
              <w:rPr>
                <w:noProof/>
                <w:color w:val="000000" w:themeColor="text1"/>
                <w:sz w:val="20"/>
                <w:szCs w:val="20"/>
              </w:rPr>
              <w:t>ých strán dôjde vďaka objasneniu menoslovia k zaradeniu celého rodu do daného zoznamu, EÚ by mala zvážiť podporu takéhoto návrhu alebo zmeneného návrhu, ktorý povedie k zaradeniu mongolskej populácie/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S. borealis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do zoznamu v prílohe 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(-)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Vicugna vicu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gna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>(lama vikuňa)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(populácia v provincii Salta)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populácie v provincii Salta (Argentína) z prílohy I do prílohy II s anotáciou č.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Argentína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Veľkosť populácie od roku 2006 značne vzrástla, monitorovanie populácie sa zdá uspokojivé, ochrana </w:t>
            </w:r>
            <w:r>
              <w:rPr>
                <w:noProof/>
                <w:color w:val="000000" w:themeColor="text1"/>
                <w:sz w:val="20"/>
                <w:szCs w:val="20"/>
              </w:rPr>
              <w:t>pokrýva 41 % (14 000 km²) biotopu. Jediným spôsobom plánovaného využívania voľne žijúcich exemplárov je ich strihanie.</w:t>
            </w:r>
          </w:p>
          <w:p w:rsidR="00202C8F" w:rsidRDefault="00AC24A2">
            <w:pPr>
              <w:spacing w:after="0"/>
              <w:jc w:val="left"/>
              <w:rPr>
                <w:i/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</w:rPr>
              <w:t>Zvážiť spolu s pracovným dokumentom č. 91.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Vicugna vicugna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>(lama vikuňa)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(populácia v Čile)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Zmeniť pomenovanie populácie v Čile z „</w:t>
            </w:r>
            <w:r>
              <w:rPr>
                <w:noProof/>
                <w:color w:val="000000" w:themeColor="text1"/>
                <w:sz w:val="20"/>
                <w:szCs w:val="20"/>
              </w:rPr>
              <w:t>populácia v regióne Primera“ na „populácie v regióne Tarapacá a regióne Arica a Parinacota“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Čile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Podpora – návrh neobsahuje žiadnu podstatnú zmenu týkajúcu sa zaradenia do zoznamu, upravuje sa len zemepisný názov.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Giraffa camelopardalis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(žirafa 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núbijská)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  <w:p w:rsidR="00202C8F" w:rsidRDefault="00202C8F">
            <w:pPr>
              <w:pStyle w:val="Default"/>
              <w:rPr>
                <w:rFonts w:eastAsia="Times New Roman"/>
                <w:noProof/>
                <w:color w:val="000000" w:themeColor="text1"/>
                <w:sz w:val="20"/>
                <w:szCs w:val="20"/>
                <w:lang w:val="sk-SK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Stredoafrická republika, Čad, Keňa, Mali, Niger a Senegal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Calibri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Potrebné sú ďalšie dôkazy na preukázanie, že medzinárodný obchod veľkou mierou prispieva k poklesu populácií a že kritériá na zaradenie do prílohy II sú splne</w:t>
            </w:r>
            <w:r>
              <w:rPr>
                <w:noProof/>
                <w:color w:val="000000" w:themeColor="text1"/>
                <w:sz w:val="20"/>
                <w:szCs w:val="20"/>
              </w:rPr>
              <w:t>né. Uprednostnilo by sa prijatie súboru rozhodnutí s požiadavkou na vypracovanie externej štúdie a posúdenie zo strany výboru pre zvieratá a stáleho výboru.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Aonyx cinereus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(vydra ázijská)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India, Nepál </w:t>
            </w:r>
            <w:r>
              <w:rPr>
                <w:noProof/>
                <w:color w:val="000000" w:themeColor="text1"/>
                <w:sz w:val="20"/>
                <w:szCs w:val="20"/>
              </w:rPr>
              <w:t>a Filipíny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Treba ďalšie potvrdenie, či sú splnené kritériá na presun do zoznamu v prílohe I. Podľa IUCN prispel obchod so spoločenskými zvieratami k nedávnemu prudkému poklesu populácií daného druhu.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Lutrogale perspicillata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(vydra hladkosrstá)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II – </w:t>
            </w:r>
            <w:r>
              <w:rPr>
                <w:noProof/>
                <w:color w:val="000000" w:themeColor="text1"/>
                <w:sz w:val="20"/>
                <w:szCs w:val="20"/>
              </w:rPr>
              <w:t>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Bangladéš, India a Nepál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Treba potvrdiť, či druh spĺňa biologické kritériá na zaradenie do zoznamu v prílohe I. Objem zákonného medzinárodného obchodu je nízky, ale zaradenie do zoznamu s prísnejšou ochranou by pomohol pr</w:t>
            </w:r>
            <w:r>
              <w:rPr>
                <w:noProof/>
                <w:color w:val="000000" w:themeColor="text1"/>
                <w:sz w:val="20"/>
                <w:szCs w:val="20"/>
              </w:rPr>
              <w:t>i ochrane tohto druhu vzhľadom na významný objem nezákonného obchodu.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Ceratotherium simum simum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(nosorožec tuponosý južný)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>(Populácia v Svazijsku)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Vypustiť súčasnú anotáciu týkajúcu sa populácie v Svazijsku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Svazijsko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Namieta. Populácia naďalej </w:t>
            </w:r>
            <w:r>
              <w:rPr>
                <w:noProof/>
                <w:color w:val="000000" w:themeColor="text1"/>
                <w:sz w:val="20"/>
                <w:szCs w:val="20"/>
              </w:rPr>
              <w:t>spĺňa kritériá na zaradenie do zoznamu v prílohe II, ale v dôsledku navrhovaného vypustenia anotácie by došlo k porušeniu preventívnych ochranných opatrení stanovených v ods. A.2. písm. a) prílohy 4 k rezolúcii konferencie č. 9.24. Obnovenie obchodu s rohm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nosorožcov by v tejto chvíli vyslalo nesprávny signál vzhľadom na vysokú úroveň pytliactva a nezákonného obchodu. Oslabilo by to aj opatrenia na zníženie dopytu, ktoré v prípade tohto druhu uplatňuje mnoho zmluvných strán.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Ceratotherium simum simum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(Nosorožec tuponosý južný)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>(populácia v Namíbii)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Presun namíbijskej populácie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Ceratotherium simum simum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z prílohy I do prílohy II s touto anotáciou: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„Výlučne na účel povolenia medzinárodného obchodu s:</w:t>
            </w:r>
          </w:p>
          <w:p w:rsidR="00202C8F" w:rsidRDefault="00AC24A2">
            <w:pPr>
              <w:numPr>
                <w:ilvl w:val="0"/>
                <w:numId w:val="9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voľne žijúcimi zvieratami pri preprave na prim</w:t>
            </w:r>
            <w:r>
              <w:rPr>
                <w:noProof/>
                <w:color w:val="000000" w:themeColor="text1"/>
                <w:sz w:val="20"/>
                <w:szCs w:val="20"/>
              </w:rPr>
              <w:t>erané a prijateľné miesta určenia a</w:t>
            </w:r>
          </w:p>
          <w:p w:rsidR="00202C8F" w:rsidRDefault="00AC24A2">
            <w:pPr>
              <w:numPr>
                <w:ilvl w:val="0"/>
                <w:numId w:val="9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poľovníckymi trofejami.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Všetky ostatné exempláre sa považujú za exempláre druhov zaradených do príloh I a podľa toho sa aj reguluje obchod s nimi.“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Namíbia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Populácia v Namíbii je v dobrom zdravotnom stave; zdá sa, že už </w:t>
            </w:r>
            <w:r>
              <w:rPr>
                <w:noProof/>
                <w:color w:val="000000" w:themeColor="text1"/>
                <w:sz w:val="20"/>
                <w:szCs w:val="20"/>
              </w:rPr>
              <w:t>nespĺňa kritériá na zaradenie do zoznamu v prílohe I, a nevzťahujú sa na ňu už ani ochranné opatrenia odôvodňujúce presun do prílohy II; zdá sa, že anotácia má veľmi obmedzený rozsah a je totožná s anotáciou, ktorá sa už spomínala v prípade Južnej Afriky a</w:t>
            </w:r>
            <w:r>
              <w:rPr>
                <w:noProof/>
                <w:color w:val="000000" w:themeColor="text1"/>
                <w:sz w:val="20"/>
                <w:szCs w:val="20"/>
              </w:rPr>
              <w:t> Svazijska. Treba uznať úspešnú ochranu daného druhu v Namíbii.</w:t>
            </w:r>
          </w:p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Mali by sa ďalej preskúmať možné riziká spojené s návrhom.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C8F" w:rsidRDefault="00AC24A2">
            <w:pPr>
              <w:spacing w:after="0"/>
              <w:jc w:val="left"/>
              <w:rPr>
                <w:rStyle w:val="Bodytext2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Italic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Loxodonta </w:t>
            </w:r>
            <w:r>
              <w:rPr>
                <w:rStyle w:val="Bodytext2Italic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br/>
              <w:t xml:space="preserve">africana 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(slon africký)</w:t>
            </w:r>
          </w:p>
          <w:p w:rsidR="00202C8F" w:rsidRDefault="00202C8F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 – II</w:t>
            </w:r>
          </w:p>
          <w:p w:rsidR="00202C8F" w:rsidRDefault="00AC24A2">
            <w:pPr>
              <w:tabs>
                <w:tab w:val="left" w:pos="256"/>
              </w:tabs>
              <w:spacing w:line="226" w:lineRule="exact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Presun zambijskej populácie z prílohy I do prílohy II je podmienený týmito 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aspektmi:</w:t>
            </w:r>
          </w:p>
          <w:p w:rsidR="00202C8F" w:rsidRDefault="00AC24A2">
            <w:pPr>
              <w:widowControl w:val="0"/>
              <w:numPr>
                <w:ilvl w:val="0"/>
                <w:numId w:val="12"/>
              </w:numPr>
              <w:tabs>
                <w:tab w:val="left" w:pos="256"/>
                <w:tab w:val="left" w:pos="398"/>
              </w:tabs>
              <w:spacing w:before="0" w:after="0" w:line="226" w:lineRule="exact"/>
              <w:ind w:left="316" w:hanging="316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ab/>
              <w:t>obchod s registrovanou neopracovanou slonovinou (kly a kusy slonoviny) na komerčné účely, a to len s obchodnými partnermi schválenými podľa dohovoru CITES, ktorí ju nebudú opätovne vyvážať;</w:t>
            </w:r>
          </w:p>
          <w:p w:rsidR="00202C8F" w:rsidRDefault="00AC24A2">
            <w:pPr>
              <w:widowControl w:val="0"/>
              <w:numPr>
                <w:ilvl w:val="0"/>
                <w:numId w:val="12"/>
              </w:numPr>
              <w:tabs>
                <w:tab w:val="left" w:pos="256"/>
                <w:tab w:val="left" w:pos="398"/>
              </w:tabs>
              <w:spacing w:before="0" w:after="0" w:line="226" w:lineRule="exact"/>
              <w:ind w:left="316" w:hanging="316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obchod s poľovníckymi trofejami na nekomerčné účely;</w:t>
            </w:r>
          </w:p>
          <w:p w:rsidR="00202C8F" w:rsidRDefault="00AC24A2">
            <w:pPr>
              <w:widowControl w:val="0"/>
              <w:numPr>
                <w:ilvl w:val="0"/>
                <w:numId w:val="12"/>
              </w:numPr>
              <w:tabs>
                <w:tab w:val="left" w:pos="256"/>
                <w:tab w:val="left" w:pos="389"/>
              </w:tabs>
              <w:spacing w:before="0" w:after="0" w:line="230" w:lineRule="exact"/>
              <w:ind w:left="316" w:hanging="316"/>
              <w:jc w:val="left"/>
              <w:rPr>
                <w:rStyle w:val="Bodytext2"/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ob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chod s kožami a koženými výrobkami.</w:t>
            </w:r>
          </w:p>
          <w:p w:rsidR="00202C8F" w:rsidRDefault="00AC24A2">
            <w:pPr>
              <w:widowControl w:val="0"/>
              <w:numPr>
                <w:ilvl w:val="0"/>
                <w:numId w:val="12"/>
              </w:numPr>
              <w:tabs>
                <w:tab w:val="left" w:pos="256"/>
                <w:tab w:val="left" w:pos="389"/>
              </w:tabs>
              <w:spacing w:before="0" w:after="0" w:line="230" w:lineRule="exact"/>
              <w:ind w:left="316" w:hanging="31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Všetky ostatné exempláre sa považujú za exempláre druhov uvedených v prílohe I a podľa toho sa aj reguluje obchod s nimi.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Zambia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Anotáciou, ktorú navrhla Zambia, by sa opätovne otvoril medzinárodný obchod so slonovinou a</w:t>
            </w:r>
            <w:r>
              <w:rPr>
                <w:noProof/>
                <w:color w:val="000000" w:themeColor="text1"/>
                <w:sz w:val="20"/>
                <w:szCs w:val="20"/>
              </w:rPr>
              <w:t> v súčasnom znení ju nemožno podporiť.</w:t>
            </w:r>
          </w:p>
          <w:p w:rsidR="00202C8F" w:rsidRDefault="00202C8F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Loxodonta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  <w:t xml:space="preserve">africana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(slon africký)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(populácie v Botswane, Namíbii, Juhoafrickej republike a Zimbabwe);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Zmeny anotácie č.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tabs>
                <w:tab w:val="left" w:pos="0"/>
              </w:tabs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Zmeny anotácie č. 2:</w:t>
            </w:r>
          </w:p>
          <w:p w:rsidR="00202C8F" w:rsidRDefault="00AC24A2">
            <w:pPr>
              <w:tabs>
                <w:tab w:val="left" w:pos="176"/>
              </w:tabs>
              <w:spacing w:after="0"/>
              <w:ind w:left="176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„Na výnimočný účel povolenia:</w:t>
            </w:r>
          </w:p>
          <w:p w:rsidR="00202C8F" w:rsidRDefault="00AC24A2">
            <w:pPr>
              <w:tabs>
                <w:tab w:val="left" w:pos="176"/>
              </w:tabs>
              <w:spacing w:before="0" w:after="0"/>
              <w:ind w:left="176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[...]</w:t>
            </w:r>
          </w:p>
          <w:p w:rsidR="00202C8F" w:rsidRDefault="00AC24A2">
            <w:pPr>
              <w:tabs>
                <w:tab w:val="left" w:pos="176"/>
              </w:tabs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g)</w:t>
            </w:r>
            <w:r>
              <w:rPr>
                <w:noProof/>
                <w:color w:val="000000" w:themeColor="text1"/>
                <w:sz w:val="20"/>
                <w:szCs w:val="20"/>
              </w:rPr>
              <w:tab/>
              <w:t xml:space="preserve">obchodu s registrovanou </w:t>
            </w:r>
            <w:r>
              <w:rPr>
                <w:noProof/>
                <w:color w:val="000000" w:themeColor="text1"/>
                <w:sz w:val="20"/>
                <w:szCs w:val="20"/>
              </w:rPr>
              <w:t>neopracovanou slonovinou (v prípade Botswany, Namíbie, Juhoafrickej republiky a Zimbabwe – celé kly a kusy slonoviny) pod podmienkou, že:</w:t>
            </w:r>
          </w:p>
          <w:p w:rsidR="00202C8F" w:rsidRDefault="00AC24A2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before="0" w:after="0"/>
              <w:ind w:left="318" w:hanging="142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ide len o registrované zásoby vo vlastníctve štátu, ktoré pochádzajú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z daného štátu (s výnimkou zabavenej slonoviny a </w:t>
            </w:r>
            <w:r>
              <w:rPr>
                <w:noProof/>
                <w:color w:val="000000" w:themeColor="text1"/>
                <w:sz w:val="20"/>
                <w:szCs w:val="20"/>
              </w:rPr>
              <w:t>slonoviny neznámeho pôvodu);</w:t>
            </w:r>
          </w:p>
          <w:p w:rsidR="00202C8F" w:rsidRDefault="00AC24A2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before="0" w:after="0"/>
              <w:ind w:left="318" w:hanging="142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je určená len pre obchodných partnerov, v prípade ktorých sekretariát po konzultácii so stálym výborom potvrdil, že majú dostatočne účinné vnútroštátne právne predpisy a vnútroštátne kontroly obchodu, ktorými sa zabezpečí, aby </w:t>
            </w:r>
            <w:r>
              <w:rPr>
                <w:noProof/>
                <w:color w:val="000000" w:themeColor="text1"/>
                <w:sz w:val="20"/>
                <w:szCs w:val="20"/>
              </w:rPr>
              <w:t>sa dovážaná slonovina opätovne nevyviezla a aby sa s ňou nakladalo v súlade so všetkými požiadavkami rezolúcie konferencie č. 10.10 (Rev. CoP17), ktorá sa týka domácej výroby a obchodu;</w:t>
            </w:r>
          </w:p>
          <w:p w:rsidR="00202C8F" w:rsidRDefault="00AC24A2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before="0" w:after="0"/>
              <w:ind w:left="318" w:hanging="142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 obchodu nedôjde skôr, ako sekretariát overí prípadné dovážajúce kraj</w:t>
            </w:r>
            <w:r>
              <w:rPr>
                <w:noProof/>
                <w:color w:val="000000" w:themeColor="text1"/>
                <w:sz w:val="20"/>
                <w:szCs w:val="20"/>
              </w:rPr>
              <w:t>iny a registrované zásoby vo vlastníctve štátu;</w:t>
            </w:r>
          </w:p>
          <w:p w:rsidR="00202C8F" w:rsidRDefault="00AC24A2">
            <w:pPr>
              <w:numPr>
                <w:ilvl w:val="1"/>
                <w:numId w:val="11"/>
              </w:numPr>
              <w:tabs>
                <w:tab w:val="left" w:pos="176"/>
              </w:tabs>
              <w:spacing w:before="0" w:after="0"/>
              <w:ind w:left="352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strike/>
                <w:noProof/>
                <w:color w:val="000000" w:themeColor="text1"/>
                <w:sz w:val="20"/>
                <w:szCs w:val="20"/>
              </w:rPr>
              <w:tab/>
              <w:t xml:space="preserve">k obchodu s neopracovanou slonovinou dôjde len na základe podmieneného predaja registrovaných zásob slonoviny vo vlastníctve štátu, ktoré boli dohodnuté na 12. </w:t>
            </w:r>
            <w:r>
              <w:rPr>
                <w:strike/>
                <w:noProof/>
                <w:color w:val="000000" w:themeColor="text1"/>
                <w:sz w:val="20"/>
                <w:szCs w:val="20"/>
              </w:rPr>
              <w:lastRenderedPageBreak/>
              <w:t>zasadnutí konferencie zmluvných strán (CoP12) a</w:t>
            </w:r>
            <w:r>
              <w:rPr>
                <w:strike/>
                <w:noProof/>
                <w:color w:val="000000" w:themeColor="text1"/>
                <w:sz w:val="20"/>
                <w:szCs w:val="20"/>
              </w:rPr>
              <w:t> ktoré predstavujú 20 000 kg (Botswana), 10 000 kg (Namíbia) a 30 000 kg (Juhoafrická republika);</w:t>
            </w:r>
          </w:p>
          <w:p w:rsidR="00202C8F" w:rsidRDefault="00AC24A2">
            <w:pPr>
              <w:numPr>
                <w:ilvl w:val="1"/>
                <w:numId w:val="11"/>
              </w:numPr>
              <w:tabs>
                <w:tab w:val="left" w:pos="176"/>
              </w:tabs>
              <w:spacing w:before="0" w:after="0"/>
              <w:ind w:left="352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strike/>
                <w:noProof/>
                <w:color w:val="000000" w:themeColor="text1"/>
                <w:sz w:val="20"/>
                <w:szCs w:val="20"/>
              </w:rPr>
              <w:tab/>
              <w:t>okrem množstiev odsúhlasených na 12. zasadnutí konferencie zmluvných strán (CoP12) môžu byť množstvá štátom vlastnenej slonoviny z Botswany, Namíbie, Juhoafr</w:t>
            </w:r>
            <w:r>
              <w:rPr>
                <w:strike/>
                <w:noProof/>
                <w:color w:val="000000" w:themeColor="text1"/>
                <w:sz w:val="20"/>
                <w:szCs w:val="20"/>
              </w:rPr>
              <w:t>ickej republiky a Zimbabwe, ktorú sú zaregistrované k 31. januáru 2007, a ktoré overil sekretariát, obchodované a odoslané spolu so slonovinou uvedenou v písmene g) bode iv), a to v rámci jediného obchodu na dané miesto určenia pod prísnym dohľadom sekreta</w:t>
            </w:r>
            <w:r>
              <w:rPr>
                <w:strike/>
                <w:noProof/>
                <w:color w:val="000000" w:themeColor="text1"/>
                <w:sz w:val="20"/>
                <w:szCs w:val="20"/>
              </w:rPr>
              <w:t>riátu;</w:t>
            </w:r>
          </w:p>
          <w:p w:rsidR="00202C8F" w:rsidRDefault="00AC24A2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before="0" w:after="0"/>
              <w:ind w:left="318" w:hanging="142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zisky z obchodu sa použijú výhradne na programy zamerané na ochranu slonov, ochranu spoločenstva a rozvojové programy v mieste alebo v blízkosti výskytu slonov; a</w:t>
            </w:r>
          </w:p>
          <w:p w:rsidR="00202C8F" w:rsidRDefault="00AC24A2">
            <w:pPr>
              <w:numPr>
                <w:ilvl w:val="1"/>
                <w:numId w:val="11"/>
              </w:numPr>
              <w:tabs>
                <w:tab w:val="left" w:pos="176"/>
              </w:tabs>
              <w:spacing w:before="0" w:after="0"/>
              <w:ind w:left="352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strike/>
                <w:noProof/>
                <w:color w:val="000000" w:themeColor="text1"/>
                <w:sz w:val="20"/>
                <w:szCs w:val="20"/>
              </w:rPr>
              <w:tab/>
              <w:t xml:space="preserve">vii) s dodatočnými </w:t>
            </w:r>
            <w:r>
              <w:rPr>
                <w:strike/>
                <w:noProof/>
                <w:color w:val="000000" w:themeColor="text1"/>
                <w:sz w:val="20"/>
                <w:szCs w:val="20"/>
              </w:rPr>
              <w:lastRenderedPageBreak/>
              <w:t>množstvami uvedenými v písm. g) bode v) sa bude obchodovať len vte</w:t>
            </w:r>
            <w:r>
              <w:rPr>
                <w:strike/>
                <w:noProof/>
                <w:color w:val="000000" w:themeColor="text1"/>
                <w:sz w:val="20"/>
                <w:szCs w:val="20"/>
              </w:rPr>
              <w:t>dy, ak Stály výbor potvrdí, že vyššie uvedené podmienky boli splnené; a</w:t>
            </w:r>
          </w:p>
          <w:p w:rsidR="00202C8F" w:rsidRDefault="00AC24A2">
            <w:pPr>
              <w:tabs>
                <w:tab w:val="left" w:pos="176"/>
              </w:tabs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h)</w:t>
            </w:r>
            <w:r>
              <w:rPr>
                <w:noProof/>
                <w:color w:val="000000" w:themeColor="text1"/>
                <w:sz w:val="20"/>
                <w:szCs w:val="20"/>
              </w:rPr>
              <w:tab/>
            </w:r>
            <w:r>
              <w:rPr>
                <w:strike/>
                <w:noProof/>
                <w:color w:val="000000" w:themeColor="text1"/>
                <w:sz w:val="20"/>
                <w:szCs w:val="20"/>
              </w:rPr>
              <w:t>v prípade obdobia, ktoré sa začína 14. zasadnutím konferencie zmluvných strán (CoP14) a končí sa deväť rokov odo dňa jediného obchodovania slonoviny, ktoré sa má uskutočniť v súlade</w:t>
            </w:r>
            <w:r>
              <w:rPr>
                <w:strike/>
                <w:noProof/>
                <w:color w:val="000000" w:themeColor="text1"/>
                <w:sz w:val="20"/>
                <w:szCs w:val="20"/>
              </w:rPr>
              <w:t xml:space="preserve"> s ustanoveniami písm. g) bodov i), ii), iii), vi) a vii), sa konferencii zmluvných strán nebudú predkladať žiadne ďalšie návrhy na povolenie obchodu so slonovinou z populácií, ktoré sú už uvedené v prílohe II. Okrem toho sa takéto ďalšie návrhy budú rieši</w:t>
            </w:r>
            <w:r>
              <w:rPr>
                <w:strike/>
                <w:noProof/>
                <w:color w:val="000000" w:themeColor="text1"/>
                <w:sz w:val="20"/>
                <w:szCs w:val="20"/>
              </w:rPr>
              <w:t>ť v súlade s rozhodnutiami 16.55 a 14.78 (Rev. CoP16).</w:t>
            </w:r>
          </w:p>
          <w:p w:rsidR="00202C8F" w:rsidRDefault="00AC24A2">
            <w:pPr>
              <w:tabs>
                <w:tab w:val="left" w:pos="0"/>
              </w:tabs>
              <w:ind w:firstLine="23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[…]“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Botswana, Namíbia a Zimbabwe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Požadovaná zmena by viedla k otvoreniu medzinárodného trhu so slonovinou, a preto nespĺňa ochranné opatrenia uvedené v prílohe 4 k rezolúcii konferencie č. 9.24 a je </w:t>
            </w:r>
            <w:r>
              <w:rPr>
                <w:noProof/>
                <w:color w:val="000000" w:themeColor="text1"/>
                <w:sz w:val="20"/>
                <w:szCs w:val="20"/>
              </w:rPr>
              <w:t>predčasná.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202C8F">
        <w:trPr>
          <w:cantSplit/>
        </w:trPr>
        <w:tc>
          <w:tcPr>
            <w:tcW w:w="817" w:type="dxa"/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Loxodonta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  <w:t>africana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>(slon africký)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(populácie s výskytom v Botswane, Namíbii, Juhoafrickej republike a Zimbabwe);</w:t>
            </w:r>
          </w:p>
        </w:tc>
        <w:tc>
          <w:tcPr>
            <w:tcW w:w="1985" w:type="dxa"/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populácií vyskytujúcich sa v Botswane, Namíbii, Juhoafrickej republike a Zimbabwe z prílohy II do prílohy I</w:t>
            </w:r>
          </w:p>
        </w:tc>
        <w:tc>
          <w:tcPr>
            <w:tcW w:w="1702" w:type="dxa"/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Burkina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 xml:space="preserve">Faso, Pobrežie Slonoviny, Gabon, Keňa,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Libéria, Niger, Nigéria, Sudán, Sýrska arabská republika a Togo</w:t>
            </w:r>
          </w:p>
        </w:tc>
        <w:tc>
          <w:tcPr>
            <w:tcW w:w="2179" w:type="dxa"/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Uvedené štyri populácie nespĺňajú kritériá na zaradenie do zoznamu v prílohe I a príslušné štáty výskytu nesúhlasia s presunom do zoznamu s prí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snejšou ochranou. </w:t>
            </w:r>
          </w:p>
        </w:tc>
        <w:tc>
          <w:tcPr>
            <w:tcW w:w="905" w:type="dxa"/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Mammuthus primigenius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(mamut srstnatý)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Zaradenie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Izrael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Účelom dohovoru CITES je chrániť druhy pred nadmerným využívaním a vyhynutím. Otázky týkajúce sa napodobenín nie sú dostatočným argumentom na zaradenie </w:t>
            </w:r>
            <w:r>
              <w:rPr>
                <w:noProof/>
                <w:color w:val="000000" w:themeColor="text1"/>
                <w:sz w:val="20"/>
                <w:szCs w:val="20"/>
              </w:rPr>
              <w:t>mamuta do zoznamu. Neboli poskytnuté dôkazy o nesprávnej identifikácii a praní špinavých peňazí v rozsiahlom meradle. Slonovina, teda zubovina sloních a mamutích klov, má jedinečné vlastnosti, takže ich bez problémov dokáže odlíšiť aj laik. Zaradenie do zo</w:t>
            </w:r>
            <w:r>
              <w:rPr>
                <w:noProof/>
                <w:color w:val="000000" w:themeColor="text1"/>
                <w:sz w:val="20"/>
                <w:szCs w:val="20"/>
              </w:rPr>
              <w:t>znamu v prílohe II by nebolo primerané vzhľadom na rozsah rizika (prípadne by viedlo k vystaveniu mnohých povolení so žiadnym alebo len obmedzeným ochranným prínosom).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Leporillus conditor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>(potkan dlhouchý)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Aus</w:t>
            </w:r>
            <w:r>
              <w:rPr>
                <w:noProof/>
                <w:color w:val="000000" w:themeColor="text1"/>
                <w:sz w:val="20"/>
                <w:szCs w:val="20"/>
              </w:rPr>
              <w:t>trália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odporučil Výbor pre zvieratá dohovoru CITES. Uvedený druh nefiguruje v medzinárodnom obchode.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Pseudomys fieldi praeconis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(myš vlnatá)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Austrália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Presun z prílohy II odporučil Výbor </w:t>
            </w:r>
            <w:r>
              <w:rPr>
                <w:noProof/>
                <w:color w:val="000000" w:themeColor="text1"/>
                <w:sz w:val="20"/>
                <w:szCs w:val="20"/>
              </w:rPr>
              <w:t>pre zvieratá dohovoru CITES. Uvedený druh nefiguruje v medzinárodnom obchode.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Xeromys myoides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(myš vodná)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Austrália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Presun z prílohy II odporučil Výbor pre zvieratá dohovoru CITES. Uvedený druh nefiguruje </w:t>
            </w:r>
            <w:r>
              <w:rPr>
                <w:noProof/>
                <w:color w:val="000000" w:themeColor="text1"/>
                <w:sz w:val="20"/>
                <w:szCs w:val="20"/>
              </w:rPr>
              <w:t>v medzinárodnom obchode.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Zyzomys pedunculatus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(potkan 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lastRenderedPageBreak/>
              <w:t>hrubochvostý)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I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Austrália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Presun z prílohy II odporučil Výbor pre zvieratá dohovoru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CITES. Uvedený druh nefiguruje v medzinárodnom obchode.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Syrmaticus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 reevesii</w:t>
            </w:r>
          </w:p>
          <w:p w:rsidR="00202C8F" w:rsidRDefault="00AC24A2"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Cs/>
                <w:noProof/>
                <w:color w:val="000000" w:themeColor="text1"/>
                <w:sz w:val="20"/>
                <w:szCs w:val="20"/>
              </w:rPr>
              <w:t>(bažant kráľovský)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Zaradenie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CN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</w:rPr>
              <w:t xml:space="preserve">Kritériá na zaradenie do zoznamu v prílohe II spĺňa iba populácia vyskytujúca sa v Číne. Čína je otvorená podporiť užší návrh, v ktorom sa ustanovuje, že administratívne zaťaženie spojené </w:t>
            </w:r>
            <w:r>
              <w:rPr>
                <w:noProof/>
                <w:color w:val="000000" w:themeColor="text1"/>
                <w:sz w:val="20"/>
              </w:rPr>
              <w:t>s riadením obchodu s exemplármi z introdukovaných populácií zostáva primerané. Možno to dosiahnuť tak, že zaradenie do zoznamu v prílohe II sa obmedzí (len) na danú čínsku populáciu alebo tak, že Čína daný druh zaradí do zoznamu v prílohe III.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(0)</w:t>
            </w:r>
          </w:p>
        </w:tc>
      </w:tr>
      <w:tr w:rsidR="00202C8F">
        <w:tc>
          <w:tcPr>
            <w:tcW w:w="817" w:type="dxa"/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Balearica pavonina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(žurav korunkatý)</w:t>
            </w:r>
          </w:p>
        </w:tc>
        <w:tc>
          <w:tcPr>
            <w:tcW w:w="1985" w:type="dxa"/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do prílohy I</w:t>
            </w:r>
          </w:p>
        </w:tc>
        <w:tc>
          <w:tcPr>
            <w:tcW w:w="1702" w:type="dxa"/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Burkina Faso, Pobrežie Slonoviny a Senegal</w:t>
            </w:r>
          </w:p>
        </w:tc>
        <w:tc>
          <w:tcPr>
            <w:tcW w:w="2179" w:type="dxa"/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Nie je jasné, či sú splnené kritériá na zaradenie do zoznamu a či by zaradenie do zoznamu s prísnejšou ochranou pomohlo v boji proti nez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ákonnému obchodu. Treba uskutočniť analýzu možného vplyvu na obchod s druhom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Balearica regulorum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(príloha II), ktorý je viac ohrozený (Červená kniha IUCN). – V dvoch štátoch výskytu je momentálne pozastavený obchod vzhľadom na proces preskúmania významného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obchodu (tzv. proces RST). Ostatné štáty výskytu boli z uvedeného procesu vyňaté, pretože v danej súvislosti nevyvolávali žiadne obavy. Neuskutočnili sa konzultácie s VZ, ako sa požaduje v bode 10 prílohy 6 k rezolúcii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konferencie č. 9.24, podľa ktorého s</w:t>
            </w:r>
            <w:r>
              <w:rPr>
                <w:noProof/>
                <w:color w:val="000000" w:themeColor="text1"/>
                <w:sz w:val="20"/>
                <w:szCs w:val="20"/>
              </w:rPr>
              <w:t>a na návrhy na presun druhu z prílohy II do prílohy I vzťahuje proces RST. Pred zaradením do zoznamu s prísnejšou ochranou by bolo lepšie počkať na výsledok procesu RST.</w:t>
            </w:r>
          </w:p>
        </w:tc>
        <w:tc>
          <w:tcPr>
            <w:tcW w:w="905" w:type="dxa"/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Dasyornis broadbenti litoralis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(štetinár hrdzavý)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 do prílohy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Austrália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Návrh vychádza z pravidelného preskúmania CITES a týka sa druhu, s ktorým sa neobchoduje (považuje sa za vyhynutý, posledný údaj z roku 1906).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Dasyornis longirostris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(štetinár malý)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 – II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Presun z prílohy I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Austrália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Návrh vychádza z pravidelného preskúmania CITES a týka sa druhu, s ktorým sa neobchoduje.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Crocodylus acutus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>(krokodíl dlhohlavý)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(populácia v Mexiku)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populácie v Mexiku z prílohy I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Mexiko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Podpora presunu z prílohy I do </w:t>
            </w:r>
            <w:r>
              <w:rPr>
                <w:noProof/>
                <w:color w:val="000000" w:themeColor="text1"/>
                <w:sz w:val="20"/>
                <w:szCs w:val="20"/>
              </w:rPr>
              <w:t>prílohy II, ak Mexiko stanoví nulovú kvótu pre voľne žijúce exempláre (kód pôvodu W).</w:t>
            </w:r>
          </w:p>
          <w:p w:rsidR="00202C8F" w:rsidRDefault="00202C8F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Calotes nigrilabris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Calotes pethiyagodai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(druhy rodu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Calotes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Srí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Zdá sa, že </w:t>
            </w:r>
            <w:r>
              <w:rPr>
                <w:i/>
                <w:noProof/>
                <w:color w:val="000000" w:themeColor="text1"/>
                <w:sz w:val="20"/>
              </w:rPr>
              <w:t>biologické</w:t>
            </w:r>
            <w:r>
              <w:rPr>
                <w:noProof/>
                <w:color w:val="000000" w:themeColor="text1"/>
                <w:sz w:val="20"/>
              </w:rPr>
              <w:t xml:space="preserve"> kritériá pre zaradenie do zoznamu v prílohách k dohovoru CITES sú splnené, ale nie sú dostatočné dôkazy na preukázanie skutočnosti, že súčasná alebo predpokladaná úroveň </w:t>
            </w:r>
            <w:r>
              <w:rPr>
                <w:i/>
                <w:noProof/>
                <w:color w:val="000000" w:themeColor="text1"/>
                <w:sz w:val="20"/>
              </w:rPr>
              <w:t>obchodu</w:t>
            </w:r>
            <w:r>
              <w:rPr>
                <w:noProof/>
                <w:color w:val="000000" w:themeColor="text1"/>
                <w:sz w:val="20"/>
              </w:rPr>
              <w:t xml:space="preserve"> ohrozuje prežitie druhov vo voľnej prírode.</w:t>
            </w:r>
          </w:p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</w:rPr>
              <w:t xml:space="preserve">Po taxonomickom rozdelení druhov </w:t>
            </w:r>
            <w:r>
              <w:rPr>
                <w:i/>
                <w:noProof/>
                <w:color w:val="000000" w:themeColor="text1"/>
                <w:sz w:val="20"/>
              </w:rPr>
              <w:t>Calotes liocephalus</w:t>
            </w:r>
            <w:r>
              <w:rPr>
                <w:noProof/>
                <w:color w:val="000000" w:themeColor="text1"/>
                <w:sz w:val="20"/>
              </w:rPr>
              <w:t xml:space="preserve"> a </w:t>
            </w:r>
            <w:r>
              <w:rPr>
                <w:i/>
                <w:noProof/>
                <w:color w:val="000000" w:themeColor="text1"/>
                <w:sz w:val="20"/>
              </w:rPr>
              <w:t>C. pethiyagodai</w:t>
            </w:r>
            <w:r>
              <w:rPr>
                <w:noProof/>
                <w:color w:val="000000" w:themeColor="text1"/>
                <w:sz w:val="20"/>
              </w:rPr>
              <w:t xml:space="preserve"> sa druh </w:t>
            </w:r>
            <w:r>
              <w:rPr>
                <w:i/>
                <w:noProof/>
                <w:color w:val="000000" w:themeColor="text1"/>
                <w:sz w:val="20"/>
              </w:rPr>
              <w:t>C. liocephalus</w:t>
            </w:r>
            <w:r>
              <w:rPr>
                <w:noProof/>
                <w:color w:val="000000" w:themeColor="text1"/>
                <w:sz w:val="20"/>
              </w:rPr>
              <w:t xml:space="preserve"> zaradil medzi kriticky ohrozené druhy. Tento druh však nebol navrhnutý na zaradenie do zoznamu, hoci je ešte viac ohrozený ako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C. pethivagodai. </w:t>
            </w:r>
            <w:r>
              <w:rPr>
                <w:noProof/>
                <w:color w:val="000000" w:themeColor="text1"/>
                <w:sz w:val="20"/>
              </w:rPr>
              <w:t xml:space="preserve">Keďže oba druhy sa predtým považovali za jeden druh a je ťažké ich rozlíšiť, zaradenie iba druhu </w:t>
            </w:r>
            <w:r>
              <w:rPr>
                <w:i/>
                <w:noProof/>
                <w:color w:val="000000" w:themeColor="text1"/>
                <w:sz w:val="20"/>
              </w:rPr>
              <w:t>C</w:t>
            </w:r>
            <w:r>
              <w:rPr>
                <w:noProof/>
                <w:color w:val="000000" w:themeColor="text1"/>
                <w:sz w:val="20"/>
              </w:rPr>
              <w:t xml:space="preserve">. </w:t>
            </w:r>
            <w:r>
              <w:rPr>
                <w:i/>
                <w:noProof/>
                <w:color w:val="000000" w:themeColor="text1"/>
                <w:sz w:val="20"/>
              </w:rPr>
              <w:t>pethiyagodai</w:t>
            </w:r>
            <w:r>
              <w:rPr>
                <w:noProof/>
                <w:color w:val="000000" w:themeColor="text1"/>
                <w:sz w:val="20"/>
              </w:rPr>
              <w:t xml:space="preserve"> do prílohy I môže ohroziť ochranu druhu </w:t>
            </w:r>
            <w:r>
              <w:rPr>
                <w:i/>
                <w:noProof/>
                <w:color w:val="000000" w:themeColor="text1"/>
                <w:sz w:val="20"/>
              </w:rPr>
              <w:t>C. liocephalus</w:t>
            </w:r>
            <w:r>
              <w:rPr>
                <w:noProof/>
                <w:color w:val="000000" w:themeColor="text1"/>
                <w:sz w:val="20"/>
              </w:rPr>
              <w:t xml:space="preserve">, resp. obchod s druhom </w:t>
            </w:r>
            <w:r>
              <w:rPr>
                <w:i/>
                <w:noProof/>
                <w:color w:val="000000" w:themeColor="text1"/>
                <w:sz w:val="20"/>
              </w:rPr>
              <w:t>C</w:t>
            </w:r>
            <w:r>
              <w:rPr>
                <w:noProof/>
                <w:color w:val="000000" w:themeColor="text1"/>
                <w:sz w:val="20"/>
              </w:rPr>
              <w:t xml:space="preserve">. </w:t>
            </w:r>
            <w:r>
              <w:rPr>
                <w:i/>
                <w:noProof/>
                <w:color w:val="000000" w:themeColor="text1"/>
                <w:sz w:val="20"/>
              </w:rPr>
              <w:t>pethiyagodai</w:t>
            </w:r>
            <w:r>
              <w:rPr>
                <w:noProof/>
                <w:color w:val="000000" w:themeColor="text1"/>
                <w:sz w:val="20"/>
              </w:rPr>
              <w:t xml:space="preserve"> môže pokračovať ako obchod s druhom </w:t>
            </w:r>
            <w:r>
              <w:rPr>
                <w:i/>
                <w:noProof/>
                <w:color w:val="000000" w:themeColor="text1"/>
                <w:sz w:val="20"/>
              </w:rPr>
              <w:t>C. liocephalu</w:t>
            </w:r>
            <w:r>
              <w:rPr>
                <w:i/>
                <w:noProof/>
                <w:color w:val="000000" w:themeColor="text1"/>
                <w:sz w:val="20"/>
              </w:rPr>
              <w:t xml:space="preserve">s. </w:t>
            </w:r>
            <w:r>
              <w:rPr>
                <w:noProof/>
                <w:color w:val="000000" w:themeColor="text1"/>
                <w:sz w:val="20"/>
              </w:rPr>
              <w:t>Okrem toho existujú problémy s individuálnym označovaním exemplárov, ak sú zaradené do zoznamu v prílohe I, vzhľadom na ich malú veľkosť a zmenu farby.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Ceratophora </w:t>
            </w:r>
            <w:r>
              <w:rPr>
                <w:noProof/>
                <w:color w:val="000000" w:themeColor="text1"/>
                <w:sz w:val="20"/>
                <w:szCs w:val="20"/>
              </w:rPr>
              <w:t>spp.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Srí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Nesúhlasí so zaradením rodu do zoznamu v prílohe I, ale súhlasí so zaradením druhov </w:t>
            </w:r>
            <w:r>
              <w:rPr>
                <w:i/>
                <w:noProof/>
                <w:color w:val="000000" w:themeColor="text1"/>
                <w:sz w:val="20"/>
              </w:rPr>
              <w:t>C. erdeleni, C. karu,</w:t>
            </w:r>
            <w:r>
              <w:rPr>
                <w:noProof/>
                <w:color w:val="000000" w:themeColor="text1"/>
                <w:sz w:val="20"/>
              </w:rPr>
              <w:t xml:space="preserve"> a </w:t>
            </w:r>
            <w:r>
              <w:rPr>
                <w:i/>
                <w:noProof/>
                <w:color w:val="000000" w:themeColor="text1"/>
                <w:sz w:val="20"/>
              </w:rPr>
              <w:t>C. tennenti</w:t>
            </w:r>
            <w:r>
              <w:rPr>
                <w:noProof/>
                <w:color w:val="000000" w:themeColor="text1"/>
                <w:sz w:val="20"/>
              </w:rPr>
              <w:t xml:space="preserve"> do prílohy I a druhov </w:t>
            </w:r>
            <w:r>
              <w:rPr>
                <w:i/>
                <w:noProof/>
                <w:color w:val="000000" w:themeColor="text1"/>
                <w:sz w:val="20"/>
              </w:rPr>
              <w:t>C. stoddartii</w:t>
            </w:r>
            <w:r>
              <w:rPr>
                <w:noProof/>
                <w:color w:val="000000" w:themeColor="text1"/>
                <w:sz w:val="20"/>
              </w:rPr>
              <w:t xml:space="preserve"> a </w:t>
            </w:r>
            <w:r>
              <w:rPr>
                <w:i/>
                <w:noProof/>
                <w:color w:val="000000" w:themeColor="text1"/>
                <w:sz w:val="20"/>
              </w:rPr>
              <w:t>C. asper</w:t>
            </w:r>
            <w:r>
              <w:rPr>
                <w:noProof/>
                <w:color w:val="000000" w:themeColor="text1"/>
                <w:sz w:val="20"/>
              </w:rPr>
              <w:t xml:space="preserve"> do prílohy II.</w:t>
            </w:r>
          </w:p>
          <w:p w:rsidR="00202C8F" w:rsidRDefault="00AC24A2">
            <w:pPr>
              <w:keepLines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Biologické kritériá pre zaradenie do prílohy I </w:t>
            </w:r>
            <w:r>
              <w:rPr>
                <w:noProof/>
                <w:color w:val="000000" w:themeColor="text1"/>
                <w:sz w:val="20"/>
              </w:rPr>
              <w:lastRenderedPageBreak/>
              <w:t>splnili tri druhy (z piatic</w:t>
            </w:r>
            <w:r>
              <w:rPr>
                <w:noProof/>
                <w:color w:val="000000" w:themeColor="text1"/>
                <w:sz w:val="20"/>
              </w:rPr>
              <w:t xml:space="preserve">h druhov v rode): </w:t>
            </w:r>
            <w:r>
              <w:rPr>
                <w:i/>
                <w:noProof/>
                <w:color w:val="000000" w:themeColor="text1"/>
                <w:sz w:val="20"/>
              </w:rPr>
              <w:t>C. karu, C. erdeleni</w:t>
            </w:r>
            <w:r>
              <w:rPr>
                <w:noProof/>
                <w:color w:val="000000" w:themeColor="text1"/>
                <w:sz w:val="20"/>
              </w:rPr>
              <w:t xml:space="preserve"> a </w:t>
            </w:r>
            <w:r>
              <w:rPr>
                <w:i/>
                <w:noProof/>
                <w:color w:val="000000" w:themeColor="text1"/>
                <w:sz w:val="20"/>
              </w:rPr>
              <w:t>C. tennentii</w:t>
            </w:r>
            <w:r>
              <w:rPr>
                <w:noProof/>
                <w:color w:val="000000" w:themeColor="text1"/>
                <w:sz w:val="20"/>
              </w:rPr>
              <w:t xml:space="preserve">. V prípade ostatných dvoch druhov </w:t>
            </w:r>
            <w:r>
              <w:rPr>
                <w:i/>
                <w:noProof/>
                <w:color w:val="000000" w:themeColor="text1"/>
                <w:sz w:val="20"/>
              </w:rPr>
              <w:t>C. aspera</w:t>
            </w:r>
            <w:r>
              <w:rPr>
                <w:noProof/>
                <w:color w:val="000000" w:themeColor="text1"/>
                <w:sz w:val="20"/>
              </w:rPr>
              <w:t xml:space="preserve"> a </w:t>
            </w:r>
            <w:r>
              <w:rPr>
                <w:i/>
                <w:noProof/>
                <w:color w:val="000000" w:themeColor="text1"/>
                <w:sz w:val="20"/>
              </w:rPr>
              <w:t>C. stoddartii</w:t>
            </w:r>
            <w:r>
              <w:rPr>
                <w:noProof/>
                <w:color w:val="000000" w:themeColor="text1"/>
                <w:sz w:val="20"/>
              </w:rPr>
              <w:t xml:space="preserve">, ktoré sú bežnejšie, no aj sa s nimi viac obchoduje, sa zaradenie do prílohy II zdá opodstatnenejšie. Treba takisto poznamenať, že neexistuje </w:t>
            </w:r>
            <w:r>
              <w:rPr>
                <w:noProof/>
                <w:color w:val="000000" w:themeColor="text1"/>
                <w:sz w:val="20"/>
              </w:rPr>
              <w:t>kritérium podobnosti pre zaradenie do zoznamu v prílohe I, t. j. príloha 1 k rezolúcii konferencie č. 9.24 (Rev. CoP17).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(+)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Cophotis ceylanica a Cophotis dumbara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(druhy rodu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Cophotis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Srí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Zdá sa, že návrh spĺňa </w:t>
            </w:r>
            <w:r>
              <w:rPr>
                <w:noProof/>
                <w:color w:val="000000" w:themeColor="text1"/>
                <w:sz w:val="20"/>
                <w:szCs w:val="20"/>
              </w:rPr>
              <w:t>biologické kritériá; dokonca aj odber malých množstiev môže mať významný vplyv na zvyšné populácie. Do tohto rodu patria len dva druhy s endemickým výskytom na Srí Lanke, ktoré sú v národnom červenom zozname Srí Lanky uvedené ako vysoko ohrozené (2012). Ďa</w:t>
            </w:r>
            <w:r>
              <w:rPr>
                <w:noProof/>
                <w:color w:val="000000" w:themeColor="text1"/>
                <w:sz w:val="20"/>
                <w:szCs w:val="20"/>
              </w:rPr>
              <w:t>lšie dôkazy o nedávnom medzinárodnom obchode s exemplármi odchytenými vo voľnej prírode by podporili zaradenie do zoznamu v prílohe I. V opačnom prípade by bolo vhodnejšie zaradenie do zoznamu v prílohe II.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Lyriocephalus scutatus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Zaradiť do </w:t>
            </w:r>
            <w:r>
              <w:rPr>
                <w:noProof/>
                <w:color w:val="000000" w:themeColor="text1"/>
                <w:sz w:val="20"/>
                <w:szCs w:val="20"/>
              </w:rPr>
              <w:t>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Srí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 zaradenie do zoznamu v prílohe II, keďže kritériá na zaradenie do zoznamu v prílohe I nie sú splnené, ale kritériá na zaradenie do zoznamu v prílohe II áno.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(-)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Goniurosaurus spp.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(druhy rodu Goniurosaurus)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lastRenderedPageBreak/>
              <w:t>(populácie v Č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íne a vo Vietname)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druhy žijúce v Číne a vo Vietname do prílohy II</w:t>
            </w:r>
          </w:p>
          <w:p w:rsidR="00202C8F" w:rsidRDefault="00202C8F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Style w:val="Bodytext2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lastRenderedPageBreak/>
              <w:t>Čína, Európska únia, Vietnam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je spolunavrhovateľom.</w:t>
            </w:r>
          </w:p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Požaduje sa oprava opisu návrhu na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zaradenie do zoznamu na webovej stránke CoP18 CITES z „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populácie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 Číne a vo Vietname“ na „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druhy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 Číne a vo Vietname“ v súlade so znením pôvodne predloženého návrhu na zaradenie do zoznamu.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+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Gekko gecko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(gekón obrovský)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Style w:val="Bodytext2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Európska únia, India, Filipíny, Spojené štáty americké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EÚ je </w:t>
            </w:r>
            <w:r>
              <w:rPr>
                <w:noProof/>
                <w:color w:val="000000" w:themeColor="text1"/>
                <w:sz w:val="20"/>
                <w:szCs w:val="20"/>
              </w:rPr>
              <w:t>spolunavrhovateľom.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Gonatodes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  <w:t>daudini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Svätý Vincent a Grenadíny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Druh spĺňa biologické kritériá na zaradenie do zoznamu v prílohe I. Krátko po objavení druhu sa zaznamenal medzinárodný obchod s ním, ktorý stále pokračuje napriek tomu, že jeho odchyt v prirodzenom biotope nie je povolený.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Paroedura androyensis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line="212" w:lineRule="exact"/>
              <w:jc w:val="left"/>
              <w:rPr>
                <w:rStyle w:val="Bodytext2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Európska únia, Madagaskar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Calibri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je spolunavrhovateľom.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Ctenosaura </w:t>
            </w:r>
            <w:r>
              <w:rPr>
                <w:noProof/>
                <w:color w:val="000000" w:themeColor="text1"/>
                <w:sz w:val="20"/>
                <w:szCs w:val="20"/>
              </w:rPr>
              <w:t>spp.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 xml:space="preserve">(druhy rodu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Ctenosaura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line="212" w:lineRule="exac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Salvádor a Mexiko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Návrh spĺňa kritériá na zaradenie do zoznamu; Viacero druhov tohto rodu by sa </w:t>
            </w:r>
            <w:r>
              <w:rPr>
                <w:noProof/>
                <w:color w:val="000000" w:themeColor="text1"/>
                <w:sz w:val="20"/>
                <w:szCs w:val="20"/>
              </w:rPr>
              <w:t>v budúcnosti mohlo stať oprávnenými na zaradenie do prílohy I, ak obchod s nimi nebude regulovaný, pretože ich populácie sú malé, oblasť ich rozšírenia je obmedzená alebo sa pri nich zaznamenal pokles populácie, resp. ide o kombináciu týchto troch kritérií</w:t>
            </w:r>
            <w:r>
              <w:rPr>
                <w:noProof/>
                <w:color w:val="000000" w:themeColor="text1"/>
                <w:sz w:val="20"/>
                <w:szCs w:val="20"/>
              </w:rPr>
              <w:t>, pričom sú veľmi zraniteľné voči vnútorným alebo vonkajším faktorom.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Pseudocerastes urarachnoides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Irán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Treba získať viac informácií na preukázanie splnenia kritéria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obchodu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. Návrh obsahuje obmedzené informácie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o rozsahu odchytu vo voľnej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prírode a medzinárodnom obchode s daným druhom (zaznamenalo sa len obchodovanie s niekoľkými exemplármi mimo štátu výskytu), a hoci je tento druh „ohrozený na vnútroštátnej úrovni“, neexistuje dostatok údajov o veľkosti populáci</w:t>
            </w:r>
            <w:r>
              <w:rPr>
                <w:noProof/>
                <w:color w:val="000000" w:themeColor="text1"/>
                <w:sz w:val="20"/>
                <w:szCs w:val="20"/>
              </w:rPr>
              <w:t>e, jeho rozšírení alebo o úpadku populácie.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Cuora bourreti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Vietnam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presun do prílohy I; ide o kriticky ohrozený druh, ktorý spĺňa minimálne kritérium C písm. i) prílohy 1 k rezolúcii konferencie č. </w:t>
            </w:r>
            <w:r>
              <w:rPr>
                <w:noProof/>
                <w:color w:val="000000" w:themeColor="text1"/>
                <w:sz w:val="20"/>
                <w:szCs w:val="20"/>
              </w:rPr>
              <w:t>9.24 a intenzívne sa s ním obchoduje.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Cuora picturata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Vietnam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presun do prílohy I, ide o kriticky ohrozený druh, ktorý spĺňa všetky biologické kritériá rezolúcie konferencie č. 9.24 pre zaradenie </w:t>
            </w:r>
            <w:r>
              <w:rPr>
                <w:noProof/>
                <w:color w:val="000000" w:themeColor="text1"/>
                <w:sz w:val="20"/>
                <w:szCs w:val="20"/>
              </w:rPr>
              <w:t>do zoznamu v prílohe I a intenzívne sa s ním obchoduje. Návrh vychádza z odporúčania pravidelného preskúmania.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Mauremys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  <w:t>annamensis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Vietnam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 presun do prílohy I, ide o kriticky ohrozený druh, ktorý </w:t>
            </w:r>
            <w:r>
              <w:rPr>
                <w:noProof/>
                <w:color w:val="000000" w:themeColor="text1"/>
                <w:sz w:val="20"/>
                <w:szCs w:val="20"/>
              </w:rPr>
              <w:t>spĺňa minimálne kritérium C písm. i) prílohy 1 k rezolúcii konferencie č. 9.24 a intenzívne sa s ním obchoduje. Návrh vychádza z odporúčania pravidelného preskúmania.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Geochelone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  <w:t>elegans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Bangladéš, India, Sen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egal a Srí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Zaradenie do zoznamu spolunavrhuje väčšina štátov výskytu. Na potvrdenie splnenia biologických kritérií uvedených v prílohe 1 k rezolúcii konferencie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č. 9.24 by však pomohlo viac informácií. Nezákonný obchod vyvoláva veľké obavy, hoci odch</w:t>
            </w:r>
            <w:r>
              <w:rPr>
                <w:noProof/>
                <w:color w:val="000000" w:themeColor="text1"/>
                <w:sz w:val="20"/>
                <w:szCs w:val="20"/>
              </w:rPr>
              <w:t>yt voľne žijúcich exemplárov a obchodovanie s nimi je už v štátoch výskytu zakázané. Obavy týkajúce sa nesprávneho používania kódu pôvodu C a možného nelegálneho obchodu s voľne žijúcimi exemplármi prostredníctvom chovu v zajatí sa už riešia v rámci dohovo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ru CITES v rezolúcii konferencie č. 17.7.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(+)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Malacochersus tornieri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(korytnačka skalná)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Presun z prílohy II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Keňa,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Spojené štáty americké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Podporujú návrh. V najnovšom hodnotení červenej knihy (2018) sa druh vyhodnotil ako </w:t>
            </w:r>
            <w:r>
              <w:rPr>
                <w:noProof/>
                <w:color w:val="000000" w:themeColor="text1"/>
                <w:sz w:val="20"/>
                <w:szCs w:val="20"/>
              </w:rPr>
              <w:t>„kriticky ohrozený“. Zdá sa, že návrh je úmerný očakávaným rizikám pre daný druh, po ktorom je značný obchodný dopyt a je ovplyvnený nezákonným obchodom. Ako hlavný faktor, ktorý v súčasnosti postihuje populácie daného druhu, sa uvádza nadmerný odchyt. Zdá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sa, že druh spĺňa kritériá na zaradenie do zoznamu v prílohe I.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Hyalinobatrachium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spp.,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Centrolene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spp.,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Cochranella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 a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Sachatamia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 xml:space="preserve">(druhy rodu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Centrolenidae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Kostarika,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Salvádor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by mohla podporiť užší návrh, ak sa navrhovatelia rozhodnú obmedziť ho na tie druhy, pri ktorých možno preukázať, že spĺňajú kritériá na zaradenie do zoznamu. Vzhľadom na nedostatok údajov o populáciách a skutočnosť, že podľa záznamov sa obchoduje väčši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nou s „najmenej ohrozenými“ druhmi, sa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 xml:space="preserve">však zaradenie všetkých 104 druhov patriacich do štyroch rodov do prílohy II nejaví primerané. Sú potrebné ďalšie informácie o druhoch, s ktorými sa obchoduje najviac.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(-)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Echinotriton chinhaiensis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a Echinotriton maxiquadratus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(druhy rodu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Echinotriton</w:t>
            </w:r>
            <w:r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Čína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Calibri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Druhy spĺňajú biologické kritériá na zaradenie do zoznamu v prílohe I.</w:t>
            </w:r>
            <w:r>
              <w:rPr>
                <w:rFonts w:ascii="Calibri" w:hAnsi="Calibri"/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Prospela by im medzinárodná ochrana. Hoci úroveň medzinárodného obchodu sa javí ako nízka,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akéko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ľvek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obchodovanie s voľne žijúcimi exemplármi by mohlo ohroziť prežitie populácií, keďže sú malé a ich počet klesá.</w:t>
            </w:r>
          </w:p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Rod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Echinotriton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sa od rodu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Tylototriton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(návrh na zaradenie do zoznamu č. 41) oddelil len v roku 1982. Zaradenie oboch rodov do zoznamu je preto vhodné aj na základe kritéria podobnosti.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Paramesotriton spp.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(druhy rodu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Paramesotriton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Čína, Európska únia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EÚ </w:t>
            </w:r>
            <w:r>
              <w:rPr>
                <w:noProof/>
                <w:color w:val="000000" w:themeColor="text1"/>
                <w:sz w:val="20"/>
                <w:szCs w:val="20"/>
              </w:rPr>
              <w:t>je spolunavrhovateľom.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Tylototriton spp.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(druhy rodu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Tylototriton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Čína, Európska únia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je spolunavrhovateľom.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Isurus oxyrinchus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 a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Isurus paucus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(lamny)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Bangladéš, Benin, Bhután,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Brazília, Burkina Faso, Kapverdy, Čad, Pobrežie Slonoviny, Dominikánska republika, Egypt, Európska únia, Gabon, Gambia, Jordánsko, Libanon, Libéria, Maldivy, Mali, Mexiko, Nepál, Niger, Nigéria, Palau, Samoa, Senegal, Srí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Lanka, Sudán, Togo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 xml:space="preserve">EÚ je </w:t>
            </w:r>
            <w:r>
              <w:rPr>
                <w:noProof/>
                <w:color w:val="000000" w:themeColor="text1"/>
                <w:sz w:val="20"/>
                <w:szCs w:val="20"/>
              </w:rPr>
              <w:t>spolunavrhovateľom. Pri finalizácii pozície sa má prihliadať na výsledky posúdení odbornej poradnej skupiny FAO, sekretariátu dohovoru CITES a organizácie IUCN.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Glaucostegus spp.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(raje čeľade gitarovcovité)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Bangladéš, </w:t>
            </w:r>
            <w:r>
              <w:rPr>
                <w:noProof/>
                <w:color w:val="000000" w:themeColor="text1"/>
                <w:sz w:val="20"/>
                <w:szCs w:val="20"/>
              </w:rPr>
              <w:t>Benin, Bhután, Brazília, Burkina Faso, Kapverdy, Čad, Pobrežie Slonoviny, Egypt, Európska únia, Gabon, Gambia, Maldivy, Mali, Mauritánia, Monako, Nepál, Niger, Nigéria, Palau, Senegal, Sierra Leone, Srí Lanka, Sýrska arabská republika, Togo, Ukrajina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je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spolunavrhovateľom.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Rhinidae spp.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(raje čeľade rinovité)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Bangladéš, Benin, Bhután, Brazília, Burkina Faso, Kapverdy, Čad, Pobrežie Slonoviny, Egypt, Etiópia, Európska únia, Fidži, Gabon, Gambia, India, Jordánsko, Keňa, </w:t>
            </w:r>
            <w:r>
              <w:rPr>
                <w:noProof/>
                <w:color w:val="000000" w:themeColor="text1"/>
                <w:sz w:val="20"/>
                <w:szCs w:val="20"/>
              </w:rPr>
              <w:t>Libanon, Maldivy, Mali, Mexiko, Monako, Nepál, Niger, Nigéria, Palau, Filipíny, Saudská Arábia, Senegal, Seychely, Srí Lanka, Sudán, Sýrska arabská republika, Togo a Ukrajina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je spolunavrhovateľom.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Holothuria (Microthele) fuscogilva, Holothuria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(Microthele) nobilis, Holothuria (Microthele) whitmaei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(holotúrie)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Európska únia,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Keňa, Senegal, Seychely, Spojené štáty americké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je spolunavrhovateľom.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Poecilotheria </w:t>
            </w:r>
            <w:r>
              <w:rPr>
                <w:noProof/>
                <w:color w:val="000000" w:themeColor="text1"/>
                <w:sz w:val="20"/>
                <w:szCs w:val="20"/>
              </w:rPr>
              <w:t>spp.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Srí Lanka,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t>Spojené štáty americké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Predbežne podporujú. Zdá sa, že všetky druhy spĺňajú aspoň niektoré z kritérií na zaradenie do zoznamu v prílohe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II. Mohli by sa vyskytnúť ťažkosti pri vykonávaní, pokiaľ ide o identifikáciu exemplárov odchovaných v zajatí.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(+)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Achillides chikae hermeli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</w:rPr>
              <w:t>Európska únia,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</w:rPr>
              <w:br/>
              <w:t>Filipíny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je spolunavrhovateľom.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Parides burchellanus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Brazília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Podporiť návrh.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Uvedený druh spĺňa kritériá na zaradenie do zoznamu v prílohe I. Uvedený druh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sa vyskytuje v obchodovaných množstvách a vzhľadom na malú veľkosť populácie by akýkoľvek obchod s ním mohol mať nepriaznivý vplyv.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Handroanthus </w:t>
            </w:r>
            <w:r>
              <w:rPr>
                <w:noProof/>
                <w:color w:val="000000" w:themeColor="text1"/>
                <w:sz w:val="20"/>
                <w:szCs w:val="20"/>
              </w:rPr>
              <w:t>spp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.,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  <w:t xml:space="preserve">Tabebuia </w:t>
            </w:r>
            <w:r>
              <w:rPr>
                <w:noProof/>
                <w:color w:val="000000" w:themeColor="text1"/>
                <w:sz w:val="20"/>
                <w:szCs w:val="20"/>
              </w:rPr>
              <w:t>spp. a 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Roseodendron </w:t>
            </w:r>
            <w:r>
              <w:rPr>
                <w:noProof/>
                <w:color w:val="000000" w:themeColor="text1"/>
                <w:sz w:val="20"/>
                <w:szCs w:val="20"/>
              </w:rPr>
              <w:t>spp.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 s anotáciou č.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Brazília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Podporuje. Kritériá uvedené v rezolúciách 9.24 a 11.21 sú splnené. Je známe, že s druhmi rodu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Handroanthus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sa obchoduje na účely stavebníctva a použitia vo vonkajších priestoroch. Z vedeckých hodnotení vyplýva, že tento obchod je zodpovedný za pokles popul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ácie a má škodlivý vplyv na stav daného druhu. S druhmi rodov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Tabebuia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 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Roseodendron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sa obchoduje pod rovnakým obchodným a vedeckým menom a drevo získané z týchto stromov sa ťažko odlišuje od dreva z drevín rodu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Handroanthus</w:t>
            </w:r>
            <w:r>
              <w:rPr>
                <w:noProof/>
                <w:color w:val="000000" w:themeColor="text1"/>
                <w:sz w:val="20"/>
                <w:szCs w:val="20"/>
              </w:rPr>
              <w:t>. Rozsah pôsobnosti návrhu je d</w:t>
            </w:r>
            <w:r>
              <w:rPr>
                <w:noProof/>
                <w:color w:val="000000" w:themeColor="text1"/>
                <w:sz w:val="20"/>
                <w:szCs w:val="20"/>
              </w:rPr>
              <w:t>ostatočne opodstatnený podobnosťou. EÚ je v celosvetovom meradle významným dovozcom.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Widdringtonia whytei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Malawi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Nesúhlas, kým Malawi nepredloží dôkaz o škodlivosti medzinárodného obchodu pre ochranu daného druhu. Druh </w:t>
            </w:r>
            <w:r>
              <w:rPr>
                <w:noProof/>
                <w:color w:val="000000" w:themeColor="text1"/>
                <w:sz w:val="20"/>
                <w:szCs w:val="20"/>
              </w:rPr>
              <w:t>by sa mal namiesto toho zaradiť do zoznamu v prílohe III.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tabs>
                <w:tab w:val="left" w:pos="263"/>
              </w:tabs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(-)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Dalbergia sissoo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noProof/>
                <w:color w:val="000000" w:themeColor="text1"/>
              </w:rPr>
              <w:t>(</w:t>
            </w:r>
            <w:r>
              <w:rPr>
                <w:noProof/>
                <w:color w:val="000000" w:themeColor="text1"/>
                <w:sz w:val="20"/>
                <w:szCs w:val="20"/>
              </w:rPr>
              <w:t>dalbergia sissoová)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0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Vypustiť z 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Bangladéš, Bhután, India a Nepál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Ide o bežný druh, ktorý nespĺňa biologické kritériá pre zaradenie do zoznamu v prílohe </w:t>
            </w:r>
            <w:r>
              <w:rPr>
                <w:noProof/>
                <w:color w:val="000000" w:themeColor="text1"/>
                <w:sz w:val="20"/>
                <w:szCs w:val="20"/>
              </w:rPr>
              <w:t>II, ale pravdepodobne stále spĺňa kritérium podobnosti uvedené v rezolúcii č. 9.24 (kritérium A v prílohe 2 b). Tento návrh by sa mal vnímať aj v spojení s navrhovanými zmenami anotácie č. 15.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(-)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Dalbergia 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spp.,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Guibourtia demeusei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Guibourtia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pellegriniana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Guibourtia tessmannii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(dalbergie, palisandre a dreviny rodu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Guibourtia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)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Zmena 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br/>
              <w:t>anotácie č.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Zmeniť anotáciu č. 15 takto: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„Všetky časti a deriváty okrem:</w:t>
            </w:r>
          </w:p>
          <w:p w:rsidR="00202C8F" w:rsidRDefault="00AC24A2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listov, kvetov, peľu, plodov a semien;</w:t>
            </w:r>
          </w:p>
          <w:p w:rsidR="00202C8F" w:rsidRDefault="00AC24A2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konečných výrobkov s maximálnou </w:t>
            </w:r>
            <w:r>
              <w:rPr>
                <w:noProof/>
                <w:color w:val="000000" w:themeColor="text1"/>
                <w:sz w:val="20"/>
                <w:szCs w:val="20"/>
              </w:rPr>
              <w:t>hmotnosťou dreva druhov uvedených v zozname do 500 g/kus;</w:t>
            </w:r>
          </w:p>
          <w:p w:rsidR="00202C8F" w:rsidRDefault="00AC24A2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hotových hudobných nástrojov, ich častí a príslušenstva;</w:t>
            </w:r>
          </w:p>
          <w:p w:rsidR="00202C8F" w:rsidRDefault="00AC24A2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častí a derivátov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Dalbergia cochinchinensis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, na ktoré sa vzťahuje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anotácia č. 4;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častí a derivátov drevín rodu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Dalbergia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spp., ktoré pochádza</w:t>
            </w:r>
            <w:r>
              <w:rPr>
                <w:noProof/>
                <w:color w:val="000000" w:themeColor="text1"/>
                <w:sz w:val="20"/>
                <w:szCs w:val="20"/>
              </w:rPr>
              <w:t>jú a sú vyvážané z Mexika a vzťahuje sa na ne anotácia č. 6.“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</w:rPr>
              <w:lastRenderedPageBreak/>
              <w:t>Kanada,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</w:rPr>
              <w:br/>
              <w:t>Európska únia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je spolunavrhovateľom.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Pericopsis elata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Cs/>
                <w:noProof/>
                <w:color w:val="000000" w:themeColor="text1"/>
                <w:sz w:val="20"/>
                <w:szCs w:val="20"/>
              </w:rPr>
              <w:t xml:space="preserve">Zmena 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br/>
              <w:t>anotácie č.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Rozšíriť rozsah pôsobnosti anotácie týkajúcej sa druhu </w:t>
            </w:r>
            <w:r>
              <w:rPr>
                <w:i/>
                <w:noProof/>
                <w:color w:val="000000" w:themeColor="text1"/>
                <w:sz w:val="20"/>
                <w:szCs w:val="20"/>
              </w:rPr>
              <w:t>Pericopsis elata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(v súčasnosti č. 5), aby zahŕňala preglejku a spracované drevo: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„guľatina, pílené drevo, dyhové dosky, preglejka a spracované drevo</w:t>
            </w:r>
            <w:r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>.“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 Kde spracované drevo je vymedzené číselným znakom 44.09: Drevo (vrátane nezostavených doštičiek a vlysov na parketové </w:t>
            </w:r>
            <w:r>
              <w:rPr>
                <w:noProof/>
                <w:color w:val="000000" w:themeColor="text1"/>
                <w:sz w:val="20"/>
                <w:szCs w:val="20"/>
              </w:rPr>
              <w:t>podlahy), profilované (drážkované, žliabkované, spojené do V, vrúbkované alebo podobné) pozdĺž ktorejkoľvek hrany, na koncoch alebo plochách, tiež hobľované, brúsené pieskom alebo spájané na koncoch.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Pobrežie Slonoviny,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Európska únia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EÚ je spolunavrhovate</w:t>
            </w:r>
            <w:r>
              <w:rPr>
                <w:noProof/>
                <w:color w:val="000000" w:themeColor="text1"/>
                <w:sz w:val="20"/>
                <w:szCs w:val="20"/>
              </w:rPr>
              <w:t>ľom.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Pterocarpus tinctorius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Malawi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Podporuje, ale navrhuje anotáciu (prípadne zmenenú anotáciu č. 5). Druh spĺňa biologické kritériá na zaradenie do zoznamu v prílohe II, ako aj kritérium obchodu (využívanie predstavuje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významnú hrozbu pre ochranu druhu, pričom nezákonná ťažba dreva v posledných rokoch vzrástla, aby uspokojila dopyt v Ázii). Zaradenie do prílohy II by posilnilo boj proti </w:t>
            </w: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nezákonnému obchodu.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(+)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Aloe ferox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(aloa ozbrojená)</w:t>
            </w:r>
          </w:p>
          <w:p w:rsidR="00202C8F" w:rsidRDefault="00AC24A2">
            <w:pPr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Zmeny anotácie č.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II – </w:t>
            </w:r>
            <w:r>
              <w:rPr>
                <w:noProof/>
                <w:color w:val="000000" w:themeColor="text1"/>
                <w:sz w:val="20"/>
                <w:szCs w:val="20"/>
              </w:rPr>
              <w:t>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„Zmeniť anotáciu č. 4 pre druh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Aloe ferox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takto: „Všetky časti a deriváty okrem: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[…]</w:t>
            </w:r>
          </w:p>
          <w:p w:rsidR="00202C8F" w:rsidRDefault="00AC24A2">
            <w:pPr>
              <w:spacing w:before="0" w:after="0"/>
              <w:ind w:left="720" w:hanging="72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f)</w:t>
            </w:r>
            <w:r>
              <w:rPr>
                <w:noProof/>
                <w:color w:val="000000" w:themeColor="text1"/>
                <w:sz w:val="20"/>
                <w:szCs w:val="20"/>
              </w:rPr>
              <w:tab/>
              <w:t>konečných výrobkov</w:t>
            </w:r>
            <w:r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z druhov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  <w:u w:val="single"/>
              </w:rPr>
              <w:t>Aloe ferox</w:t>
            </w: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 xml:space="preserve"> a 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Euphorbia antisyphilitica</w:t>
            </w:r>
            <w:r>
              <w:rPr>
                <w:noProof/>
                <w:color w:val="000000" w:themeColor="text1"/>
                <w:sz w:val="20"/>
                <w:szCs w:val="20"/>
              </w:rPr>
              <w:t>, zabalených a pripravených na maloobchodný predaj.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1 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Tento pojem, ktorý sa používa v prílohách </w:t>
            </w:r>
            <w:r>
              <w:rPr>
                <w:noProof/>
                <w:color w:val="000000" w:themeColor="text1"/>
                <w:sz w:val="20"/>
                <w:szCs w:val="20"/>
              </w:rPr>
              <w:t>k dohovoru CITES, sa vzťahuje na výrobky prepravované jednotlivo alebo vo veľkých objemoch, ktoré si nevyžadujú žiadne ďalšie spracovanie, sú zabalené a označené na účely konečného použitia alebo maloobchodného predaja a sú v takom stave, v ktorom je možné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ich predávať širokej verejnosti alebo v ktorom ich široká verejnosť môže používať.“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Južná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Afrika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Podporuje, ale predkladá návrh rozhodnutia (rozhodnutí), ktorým sa výbor pre rastliny poveruje monitorovaním a vykonávaním riadiacich opatrení. Kritériá rezo</w:t>
            </w:r>
            <w:r>
              <w:rPr>
                <w:noProof/>
                <w:color w:val="000000" w:themeColor="text1"/>
                <w:sz w:val="20"/>
                <w:szCs w:val="20"/>
              </w:rPr>
              <w:t>lúcie č. 11.21 sú splnené.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keepNext/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Adansonia grandidieri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</w:p>
          <w:p w:rsidR="00202C8F" w:rsidRDefault="00AC24A2"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Zmeny anotácie č.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II – II</w:t>
            </w:r>
          </w:p>
          <w:p w:rsidR="00202C8F" w:rsidRDefault="00AC24A2"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Zmena v dôsledku vypustenia odkazu na živé rastliny zo záznamu „Semená, plody, oleje a živé rastliny“ týkajúceho sa zaradenia druhu </w:t>
            </w: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Adansonia grandidieri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do zoznamu v prílohe II, a to takto: „16. Semená, plody a oleje“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Švajčiarsko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Podporuje. Kritériá rezolúcie č. 11.21 sú splnené.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keepNext/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+</w:t>
            </w:r>
          </w:p>
        </w:tc>
      </w:tr>
      <w:tr w:rsidR="00202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noProof/>
                <w:color w:val="000000" w:themeColor="text1"/>
                <w:sz w:val="20"/>
                <w:szCs w:val="20"/>
              </w:rPr>
              <w:t>Cedrela </w:t>
            </w:r>
            <w:r>
              <w:rPr>
                <w:noProof/>
                <w:color w:val="000000" w:themeColor="text1"/>
                <w:sz w:val="20"/>
                <w:szCs w:val="20"/>
              </w:rPr>
              <w:t>spp.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(cédre)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0 – II</w:t>
            </w:r>
          </w:p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Zaradiť do prílohy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Ekvádor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Podporuje, ak je anotácia zahrnutá v návrhu s cieľom obmedziť </w:t>
            </w:r>
            <w:r>
              <w:rPr>
                <w:noProof/>
                <w:color w:val="000000" w:themeColor="text1"/>
                <w:sz w:val="20"/>
                <w:szCs w:val="20"/>
              </w:rPr>
              <w:t>kontroly CITES na tie komodity, ktoré prvýkrát figurujú v medzinárodnom obchode v podobe vývozu zo štátov výskytu (posúdi sa a s navrhovateľmi sa prediskutuje, či by bola primeraná napr. navrhovaná zmena anotácie č. 5), a ak je návrh obmedzený na populácie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neotropických druhov. Taxón spĺňa biologické kritériá na zaradenie do zoznamu v prílohe II (existujú jasné dôkazy o znížení stavu populácie), ako aj kritérium obchodu (s niektorými druhmi rodu sa intenzívne obchoduje na medzinárodnej úrovni, pričom sa uzn</w:t>
            </w:r>
            <w:r>
              <w:rPr>
                <w:noProof/>
                <w:color w:val="000000" w:themeColor="text1"/>
                <w:sz w:val="20"/>
                <w:szCs w:val="20"/>
              </w:rPr>
              <w:t>áva, že využívanie tohto druhu predstavuje hrozbu pre jeho ochranu). EÚ je v celosvetovom meradle menej významným dovozcom.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8F" w:rsidRDefault="00AC24A2"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(+)</w:t>
            </w:r>
          </w:p>
        </w:tc>
      </w:tr>
    </w:tbl>
    <w:p w:rsidR="00202C8F" w:rsidRDefault="00202C8F">
      <w:pPr>
        <w:rPr>
          <w:noProof/>
          <w:color w:val="000000" w:themeColor="text1"/>
        </w:rPr>
      </w:pPr>
    </w:p>
    <w:p w:rsidR="00202C8F" w:rsidRDefault="00202C8F">
      <w:pPr>
        <w:rPr>
          <w:noProof/>
        </w:rPr>
        <w:sectPr w:rsidR="00202C8F">
          <w:footerReference w:type="defaul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02C8F" w:rsidRDefault="00AC24A2">
      <w:pPr>
        <w:pStyle w:val="Annexetitre"/>
        <w:rPr>
          <w:rStyle w:val="Marker"/>
          <w:noProof/>
        </w:rPr>
      </w:pPr>
      <w:r>
        <w:rPr>
          <w:noProof/>
        </w:rPr>
        <w:lastRenderedPageBreak/>
        <w:t xml:space="preserve">PRÍLOHA </w:t>
      </w:r>
      <w:r>
        <w:rPr>
          <w:rStyle w:val="Marker"/>
          <w:noProof/>
        </w:rPr>
        <w:t>[…]</w:t>
      </w:r>
    </w:p>
    <w:p w:rsidR="00202C8F" w:rsidRDefault="00202C8F">
      <w:pPr>
        <w:rPr>
          <w:noProof/>
        </w:rPr>
      </w:pPr>
    </w:p>
    <w:sectPr w:rsidR="00202C8F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8F" w:rsidRDefault="00AC24A2">
      <w:pPr>
        <w:spacing w:before="0" w:after="0"/>
      </w:pPr>
      <w:r>
        <w:separator/>
      </w:r>
    </w:p>
  </w:endnote>
  <w:endnote w:type="continuationSeparator" w:id="0">
    <w:p w:rsidR="00202C8F" w:rsidRDefault="00AC24A2">
      <w:pPr>
        <w:spacing w:before="0" w:after="0"/>
      </w:pPr>
      <w:r>
        <w:continuationSeparator/>
      </w:r>
    </w:p>
  </w:endnote>
  <w:endnote w:type="continuationNotice" w:id="1">
    <w:p w:rsidR="00202C8F" w:rsidRDefault="00202C8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8F" w:rsidRDefault="00AC24A2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8F" w:rsidRDefault="00AC24A2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8F" w:rsidRDefault="0020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8F" w:rsidRDefault="00AC24A2">
      <w:pPr>
        <w:spacing w:before="0" w:after="0"/>
      </w:pPr>
      <w:r>
        <w:separator/>
      </w:r>
    </w:p>
  </w:footnote>
  <w:footnote w:type="continuationSeparator" w:id="0">
    <w:p w:rsidR="00202C8F" w:rsidRDefault="00AC24A2">
      <w:pPr>
        <w:spacing w:before="0" w:after="0"/>
      </w:pPr>
      <w:r>
        <w:continuationSeparator/>
      </w:r>
    </w:p>
  </w:footnote>
  <w:footnote w:type="continuationNotice" w:id="1">
    <w:p w:rsidR="00202C8F" w:rsidRDefault="00202C8F">
      <w:pPr>
        <w:spacing w:before="0" w:after="0"/>
      </w:pPr>
    </w:p>
  </w:footnote>
  <w:footnote w:id="2">
    <w:p w:rsidR="00202C8F" w:rsidRDefault="00AC24A2">
      <w:pPr>
        <w:pStyle w:val="FootnoteText"/>
        <w:jc w:val="left"/>
      </w:pPr>
      <w:r>
        <w:rPr>
          <w:rStyle w:val="FootnoteReference"/>
        </w:rPr>
        <w:footnoteRef/>
      </w:r>
      <w:r>
        <w:tab/>
        <w:t xml:space="preserve">Sek. = sekretariát dohovoru CITES, SV = </w:t>
      </w:r>
      <w:r>
        <w:t>stály výbor, VZ = výbor pre zvieratá, VR = výbor pre rastliny Kódy krajín sú uvedené v norme ISO 3166.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3E6F5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D9E8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026E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B27D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56A9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97AD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B3E91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D389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E31087"/>
    <w:multiLevelType w:val="multilevel"/>
    <w:tmpl w:val="E0E65A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2FB9797E"/>
    <w:multiLevelType w:val="multilevel"/>
    <w:tmpl w:val="38487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26478"/>
    <w:multiLevelType w:val="multilevel"/>
    <w:tmpl w:val="3C923D5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04D3559"/>
    <w:multiLevelType w:val="multilevel"/>
    <w:tmpl w:val="7924B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22"/>
  </w:num>
  <w:num w:numId="12">
    <w:abstractNumId w:val="1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5"/>
  </w:num>
  <w:num w:numId="16">
    <w:abstractNumId w:val="24"/>
  </w:num>
  <w:num w:numId="17">
    <w:abstractNumId w:val="12"/>
  </w:num>
  <w:num w:numId="18">
    <w:abstractNumId w:val="16"/>
  </w:num>
  <w:num w:numId="19">
    <w:abstractNumId w:val="10"/>
  </w:num>
  <w:num w:numId="20">
    <w:abstractNumId w:val="23"/>
  </w:num>
  <w:num w:numId="21">
    <w:abstractNumId w:val="9"/>
  </w:num>
  <w:num w:numId="22">
    <w:abstractNumId w:val="17"/>
  </w:num>
  <w:num w:numId="23">
    <w:abstractNumId w:val="19"/>
  </w:num>
  <w:num w:numId="24">
    <w:abstractNumId w:val="20"/>
  </w:num>
  <w:num w:numId="25">
    <w:abstractNumId w:val="11"/>
  </w:num>
  <w:num w:numId="26">
    <w:abstractNumId w:val="18"/>
  </w:num>
  <w:num w:numId="27">
    <w:abstractNumId w:val="25"/>
  </w:num>
  <w:num w:numId="28">
    <w:abstractNumId w:val="21"/>
  </w:num>
  <w:num w:numId="29">
    <w:abstractNumId w:val="15"/>
  </w:num>
  <w:num w:numId="30">
    <w:abstractNumId w:val="24"/>
  </w:num>
  <w:num w:numId="31">
    <w:abstractNumId w:val="12"/>
  </w:num>
  <w:num w:numId="32">
    <w:abstractNumId w:val="16"/>
  </w:num>
  <w:num w:numId="33">
    <w:abstractNumId w:val="10"/>
  </w:num>
  <w:num w:numId="34">
    <w:abstractNumId w:val="23"/>
  </w:num>
  <w:num w:numId="35">
    <w:abstractNumId w:val="9"/>
  </w:num>
  <w:num w:numId="36">
    <w:abstractNumId w:val="17"/>
  </w:num>
  <w:num w:numId="37">
    <w:abstractNumId w:val="19"/>
  </w:num>
  <w:num w:numId="38">
    <w:abstractNumId w:val="20"/>
  </w:num>
  <w:num w:numId="39">
    <w:abstractNumId w:val="11"/>
  </w:num>
  <w:num w:numId="40">
    <w:abstractNumId w:val="18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markup="0"/>
  <w:doNotTrackFormatting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05 10:07:4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k"/>
    <w:docVar w:name="LW_ACCOMPAGNANT.CP" w:val="k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E160FDC5-D4DE-4636-8A49-02DDB72048FB"/>
    <w:docVar w:name="LW_COVERPAGE_TYPE" w:val="1"/>
    <w:docVar w:name="LW_CROSSREFERENCE" w:val="&lt;UNUSED&gt;"/>
    <w:docVar w:name="LW_DocType" w:val="ANNEX"/>
    <w:docVar w:name="LW_EMISSION" w:val="21. 3. 2019"/>
    <w:docVar w:name="LW_EMISSION_ISODATE" w:val="2019-03-21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zícii, ktorá sa má prija\u357? v mene Európskej únie na 18. zasadaní konferencie zmluvných strán Dohovoru o medzinárodnom obchode s ohrozenými druhmi vo\u318?ne \u382?ijúcich \u382?ivo\u269?íchov a rastlín (COP18 CITES)"/>
    <w:docVar w:name="LW_OBJETACTEPRINCIPAL.CP" w:val="o pozícii, ktorá sa má prija\u357? v mene Európskej únie na 18. zasadaní konferencie zmluvných strán Dohovoru o medzinárodnom obchode s ohrozenými druhmi vo\u318?ne \u382?ijúcich \u382?ivo\u269?íchov a rastlín (COP18 CITES)"/>
    <w:docVar w:name="LW_PART_NBR" w:val="1"/>
    <w:docVar w:name="LW_PART_NBR_TOTAL" w:val="1"/>
    <w:docVar w:name="LW_REF.INST.NEW" w:val="COM"/>
    <w:docVar w:name="LW_REF.INST.NEW_ADOPTED" w:val="final"/>
    <w:docVar w:name="LW_REF.INST.NEW_TEXT" w:val="(2019) 1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RADY"/>
    <w:docVar w:name="LW_TYPEACTEPRINCIPAL.CP" w:val="návrhu ROZHODNUTIA RADY"/>
  </w:docVars>
  <w:rsids>
    <w:rsidRoot w:val="00202C8F"/>
    <w:rsid w:val="00202C8F"/>
    <w:rsid w:val="00A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21CDB05-0CF3-4A68-9FCA-3F2CE73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link w:val="Heading5Char"/>
    <w:uiPriority w:val="9"/>
    <w:qFormat/>
    <w:pPr>
      <w:spacing w:before="240"/>
      <w:jc w:val="left"/>
      <w:outlineLvl w:val="4"/>
    </w:pPr>
    <w:rPr>
      <w:rFonts w:eastAsia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pPr>
      <w:spacing w:before="240"/>
      <w:jc w:val="left"/>
      <w:outlineLvl w:val="5"/>
    </w:pPr>
    <w:rPr>
      <w:rFonts w:eastAsia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sz w:val="20"/>
      <w:szCs w:val="20"/>
      <w:lang w:val="sk-SK" w:eastAsia="en-GB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b/>
      <w:bCs/>
      <w:sz w:val="15"/>
      <w:szCs w:val="15"/>
      <w:lang w:val="sk-SK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Consolas"/>
      <w:sz w:val="18"/>
      <w:szCs w:val="18"/>
      <w:shd w:val="clear" w:color="auto" w:fill="F2F2F2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  <w:jc w:val="left"/>
    </w:pPr>
    <w:rPr>
      <w:rFonts w:ascii="Consolas" w:eastAsia="Times New Roman" w:hAnsi="Consolas" w:cs="Consolas"/>
      <w:sz w:val="18"/>
      <w:szCs w:val="18"/>
      <w:lang w:eastAsia="en-GB"/>
    </w:rPr>
  </w:style>
  <w:style w:type="character" w:customStyle="1" w:styleId="HTMLPreformattedChar1">
    <w:name w:val="HTML Preformatted Char1"/>
    <w:basedOn w:val="DefaultParagraphFont"/>
    <w:uiPriority w:val="99"/>
    <w:semiHidden/>
    <w:rPr>
      <w:rFonts w:ascii="Consolas" w:hAnsi="Consolas" w:cs="Consolas"/>
      <w:sz w:val="20"/>
      <w:szCs w:val="20"/>
      <w:lang w:val="sk-SK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szCs w:val="24"/>
      <w:u w:val="single"/>
      <w:lang w:eastAsia="de-D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en-US" w:bidi="en-US"/>
    </w:rPr>
  </w:style>
  <w:style w:type="character" w:customStyle="1" w:styleId="Bodytext20">
    <w:name w:val="Body text (2)_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en-US"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ites.org/sites/default/files/eng/cop/18/doc/E-CoP18-050c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AA856C34D8E478D8680B911FA8A3D" ma:contentTypeVersion="0" ma:contentTypeDescription="Create a new document." ma:contentTypeScope="" ma:versionID="a1b2f863b13fb1eec5060ba3f8e2a5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28fc8648fa84460f5661d9ecf385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4282F-8F85-4365-834C-34152E3D2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1C283-A767-4224-B3BA-5E9FF9BA6876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7B779E-884F-4AFD-9F89-21F0A325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6</TotalTime>
  <Pages>56</Pages>
  <Words>10300</Words>
  <Characters>58814</Characters>
  <Application>Microsoft Office Word</Application>
  <DocSecurity>0</DocSecurity>
  <Lines>4524</Lines>
  <Paragraphs>1410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Matthias Leonhard (ENV)</dc:creator>
  <cp:keywords/>
  <cp:lastModifiedBy>KITRIMI Efstathia (SG)</cp:lastModifiedBy>
  <cp:revision>9</cp:revision>
  <dcterms:created xsi:type="dcterms:W3CDTF">2019-04-02T07:57:00Z</dcterms:created>
  <dcterms:modified xsi:type="dcterms:W3CDTF">2019-04-05T13:26:00Z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ontentTypeId">
    <vt:lpwstr>0x010100135AA856C34D8E478D8680B911FA8A3D</vt:lpwstr>
  </property>
  <property fmtid="{D5CDD505-2E9C-101B-9397-08002B2CF9AE}" pid="4" name="IsMyDocuments">
    <vt:bool>true</vt:bool>
  </property>
  <property fmtid="{D5CDD505-2E9C-101B-9397-08002B2CF9AE}" pid="5" name="Category">
    <vt:lpwstr>COM/ANNEX</vt:lpwstr>
  </property>
  <property fmtid="{D5CDD505-2E9C-101B-9397-08002B2CF9AE}" pid="6" name="Level of sensitivity">
    <vt:lpwstr>Standard treatment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Unique annex">
    <vt:lpwstr>0</vt:lpwstr>
  </property>
  <property fmtid="{D5CDD505-2E9C-101B-9397-08002B2CF9AE}" pid="10" name="Part">
    <vt:lpwstr>1</vt:lpwstr>
  </property>
  <property fmtid="{D5CDD505-2E9C-101B-9397-08002B2CF9AE}" pid="11" name="Total parts">
    <vt:lpwstr>1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