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46BA6586-567E-4443-85BD-A6CF0188F4C3" style="width:450.75pt;height:321pt">
            <v:imagedata r:id="rId9" o:title=""/>
          </v:shape>
        </w:pict>
      </w:r>
    </w:p>
    <w:bookmarkEnd w:id="0"/>
    <w:p>
      <w:pPr>
        <w:rPr>
          <w:rFonts w:ascii="Times New Roman" w:hAnsi="Times New Roman" w:cs="Times New Roman"/>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numPr>
          <w:ilvl w:val="0"/>
          <w:numId w:val="1"/>
        </w:numPr>
        <w:spacing w:after="240" w:line="240" w:lineRule="auto"/>
        <w:ind w:left="714" w:hanging="357"/>
        <w:rPr>
          <w:rFonts w:ascii="Times New Roman" w:hAnsi="Times New Roman" w:cs="Times New Roman"/>
          <w:b/>
          <w:bCs/>
          <w:noProof/>
          <w:sz w:val="24"/>
          <w:szCs w:val="24"/>
        </w:rPr>
      </w:pPr>
      <w:bookmarkStart w:id="1" w:name="_GoBack"/>
      <w:bookmarkEnd w:id="1"/>
      <w:r>
        <w:rPr>
          <w:rFonts w:ascii="Times New Roman" w:hAnsi="Times New Roman"/>
          <w:b/>
          <w:bCs/>
          <w:noProof/>
          <w:sz w:val="24"/>
          <w:szCs w:val="24"/>
        </w:rPr>
        <w:lastRenderedPageBreak/>
        <w:t>BEVEZETÉS – A MESTERSÉGES INTELLIGENCIÁRA VONATKOZÓ EURÓPAI STRATÉGIA</w:t>
      </w:r>
    </w:p>
    <w:p>
      <w:pPr>
        <w:spacing w:after="120" w:line="240" w:lineRule="auto"/>
        <w:jc w:val="both"/>
        <w:rPr>
          <w:rFonts w:ascii="Times New Roman" w:hAnsi="Times New Roman" w:cs="Times New Roman"/>
          <w:bCs/>
          <w:noProof/>
          <w:sz w:val="24"/>
          <w:szCs w:val="24"/>
        </w:rPr>
      </w:pPr>
      <w:r>
        <w:rPr>
          <w:rFonts w:ascii="Times New Roman" w:hAnsi="Times New Roman"/>
          <w:bCs/>
          <w:noProof/>
          <w:sz w:val="24"/>
          <w:szCs w:val="24"/>
        </w:rPr>
        <w:t>A mesterséges intelligencia (AI) lehetőséget teremt arra, hogy jobbá tegyük világunkat: javíthatja az egészségügyi ellátást, csökkentheti az energiafogyasztást, biztonságosabbá teheti a gépjárműveket, és lehetővé teheti a mezőgazdasági termelők számára a víz és a természeti erőforrások hatékonyabb felhasználását. A mesterséges intelligencia felhasználható továbbá a környezet- és az éghajlatváltozás előrejelzésére és a pénzügyi kockázatkezelés javítására, valamint eszközöket kínál az igényekhez igazított termékek kevesebb hulladékkal történő előállításához. Emellett segíthet a csalás és a kiberbiztonsági fenyegetések észlelésében, és a bűnüldöző hatóságok számára lehetőséget teremt a bűnözés elleni hatékonyabb fellépésre.</w:t>
      </w:r>
    </w:p>
    <w:p>
      <w:pPr>
        <w:spacing w:after="120" w:line="240" w:lineRule="auto"/>
        <w:jc w:val="both"/>
        <w:rPr>
          <w:rFonts w:ascii="Times New Roman" w:hAnsi="Times New Roman" w:cs="Times New Roman"/>
          <w:bCs/>
          <w:noProof/>
          <w:sz w:val="24"/>
          <w:szCs w:val="24"/>
        </w:rPr>
      </w:pPr>
      <w:r>
        <w:rPr>
          <w:rFonts w:ascii="Times New Roman" w:hAnsi="Times New Roman"/>
          <w:bCs/>
          <w:noProof/>
          <w:sz w:val="24"/>
          <w:szCs w:val="24"/>
        </w:rPr>
        <w:t>A mesterséges intelligencia az egész társadalom és a gazdaság számára szintén előnyöket tartogat. Olyan stratégiai technológiáról van szó, amelyet jelenleg világszerte gyors ütemben fejlesztenek és egyre szélesebb körben alkalmaznak. Ugyanakkor a mesterséges intelligencia új kihívásokat is jelent a munka jövője szempontjából, valamint jogi és etikai kérdéseket vet fel.</w:t>
      </w:r>
    </w:p>
    <w:p>
      <w:pPr>
        <w:spacing w:after="120" w:line="240" w:lineRule="auto"/>
        <w:jc w:val="both"/>
        <w:rPr>
          <w:rFonts w:ascii="Times New Roman" w:hAnsi="Times New Roman" w:cs="Times New Roman"/>
          <w:bCs/>
          <w:noProof/>
          <w:sz w:val="24"/>
          <w:szCs w:val="24"/>
        </w:rPr>
      </w:pPr>
      <w:r>
        <w:rPr>
          <w:rFonts w:ascii="Times New Roman" w:hAnsi="Times New Roman"/>
          <w:b/>
          <w:bCs/>
          <w:noProof/>
          <w:sz w:val="24"/>
          <w:szCs w:val="24"/>
        </w:rPr>
        <w:t>E kihívások kezelése, illetve a mesterséges intelligencia által kínált lehetőségek lehető legjobb kihasználása céljából a Bizottság 2018 áprilisában európai stratégiát</w:t>
      </w:r>
      <w:r>
        <w:rPr>
          <w:rStyle w:val="FootnoteReference"/>
          <w:rFonts w:ascii="Times New Roman" w:hAnsi="Times New Roman" w:cs="Times New Roman"/>
          <w:noProof/>
        </w:rPr>
        <w:footnoteReference w:id="1"/>
      </w:r>
      <w:r>
        <w:rPr>
          <w:rFonts w:ascii="Times New Roman" w:hAnsi="Times New Roman"/>
          <w:b/>
          <w:bCs/>
          <w:noProof/>
          <w:sz w:val="24"/>
          <w:szCs w:val="24"/>
        </w:rPr>
        <w:t xml:space="preserve"> tett közzé a témában. </w:t>
      </w:r>
      <w:r>
        <w:rPr>
          <w:rFonts w:ascii="Times New Roman" w:hAnsi="Times New Roman"/>
          <w:bCs/>
          <w:noProof/>
          <w:sz w:val="24"/>
          <w:szCs w:val="24"/>
        </w:rPr>
        <w:t>Ez a stratégia a mesterséges intelligencia fejlesztésének középpontjába az embert állítja (</w:t>
      </w:r>
      <w:r>
        <w:rPr>
          <w:rFonts w:ascii="Times New Roman" w:hAnsi="Times New Roman"/>
          <w:b/>
          <w:bCs/>
          <w:noProof/>
          <w:sz w:val="24"/>
          <w:szCs w:val="24"/>
        </w:rPr>
        <w:t>emberközpontú mesterséges intelligencia</w:t>
      </w:r>
      <w:r>
        <w:rPr>
          <w:rFonts w:ascii="Times New Roman" w:hAnsi="Times New Roman"/>
          <w:bCs/>
          <w:noProof/>
          <w:sz w:val="24"/>
          <w:szCs w:val="24"/>
        </w:rPr>
        <w:t xml:space="preserve">). </w:t>
      </w:r>
      <w:r>
        <w:rPr>
          <w:rFonts w:ascii="Times New Roman" w:hAnsi="Times New Roman"/>
          <w:noProof/>
          <w:sz w:val="24"/>
          <w:szCs w:val="24"/>
        </w:rPr>
        <w:t>Ez egy három részből álló megközelítés, amelynek célja az EU technológiai és ipari kapacitásainak erősítése, a mesterséges intelligencia hasznosításának terjesztése az Unió gazdaságának egészén belül, a társadalmi-gazdasági változásokra való felkészülés, valamint a megfelelő etikai és jogi keret biztosítása.</w:t>
      </w:r>
      <w:r>
        <w:rPr>
          <w:rFonts w:ascii="Times New Roman" w:hAnsi="Times New Roman"/>
          <w:bCs/>
          <w:noProof/>
          <w:sz w:val="24"/>
          <w:szCs w:val="24"/>
        </w:rPr>
        <w:t xml:space="preserve"> </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rPr>
        <w:t xml:space="preserve">Az AI-stratégia megvalósítása érdekében a </w:t>
      </w:r>
      <w:r>
        <w:rPr>
          <w:rFonts w:ascii="Times New Roman" w:hAnsi="Times New Roman"/>
          <w:b/>
          <w:noProof/>
        </w:rPr>
        <w:t>Bizottság a tagállamokkal közösen kidolgozott egy, a mesterséges intelligenciára vonatkozó összehangolt tervet</w:t>
      </w:r>
      <w:r>
        <w:rPr>
          <w:rStyle w:val="FootnoteReference"/>
          <w:rFonts w:ascii="Times New Roman" w:hAnsi="Times New Roman" w:cs="Times New Roman"/>
          <w:noProof/>
        </w:rPr>
        <w:footnoteReference w:id="2"/>
      </w:r>
      <w:r>
        <w:rPr>
          <w:rFonts w:ascii="Times New Roman" w:hAnsi="Times New Roman"/>
          <w:noProof/>
        </w:rPr>
        <w:t>, melyet 2018 decemberében azzal a céllal mutatott be, hogy szinergiákat hozzon létre, adatokat gyűjtsön (melyeket számos AI-alkalmazás nyersanyagként kezelhet), valamint növelje a közös beruházásokat.</w:t>
      </w:r>
      <w:r>
        <w:rPr>
          <w:rFonts w:ascii="Times New Roman" w:hAnsi="Times New Roman"/>
          <w:bCs/>
          <w:noProof/>
          <w:sz w:val="24"/>
          <w:szCs w:val="24"/>
        </w:rPr>
        <w:t xml:space="preserve"> </w:t>
      </w:r>
      <w:r>
        <w:rPr>
          <w:rFonts w:ascii="Times New Roman" w:hAnsi="Times New Roman"/>
          <w:noProof/>
        </w:rPr>
        <w:t xml:space="preserve">A terv további célja, hogy előmozdítsa a határokon átnyúló együttműködést, és a szereplők mobilizálásával a következő évtizedben évente </w:t>
      </w:r>
      <w:r>
        <w:rPr>
          <w:rFonts w:ascii="Times New Roman" w:hAnsi="Times New Roman"/>
          <w:b/>
          <w:noProof/>
        </w:rPr>
        <w:t>legalább 20 milliárd euróra</w:t>
      </w:r>
      <w:r>
        <w:rPr>
          <w:rFonts w:ascii="Times New Roman" w:hAnsi="Times New Roman"/>
          <w:noProof/>
        </w:rPr>
        <w:t xml:space="preserve"> növelje a köz- és magánberuházásokat</w:t>
      </w:r>
      <w:r>
        <w:rPr>
          <w:rStyle w:val="FootnoteReference"/>
          <w:rFonts w:ascii="Times New Roman" w:hAnsi="Times New Roman" w:cs="Times New Roman"/>
          <w:noProof/>
        </w:rPr>
        <w:footnoteReference w:id="3"/>
      </w:r>
      <w:r>
        <w:rPr>
          <w:rFonts w:ascii="Times New Roman" w:hAnsi="Times New Roman"/>
          <w:noProof/>
        </w:rPr>
        <w:t>.</w:t>
      </w:r>
      <w:r>
        <w:rPr>
          <w:rFonts w:ascii="Times New Roman" w:hAnsi="Times New Roman"/>
          <w:bCs/>
          <w:noProof/>
          <w:sz w:val="24"/>
          <w:szCs w:val="24"/>
        </w:rPr>
        <w:t xml:space="preserve"> A Bizottság a „Horizont 2020” program keretében megduplázta a mesterséges intelligenciával kapcsolatos beruházásait, és az Európai horizont kutatási és innovációs keretprogramon, valamint a Digitális Európa programon keresztül évente 1 milliárd eurót tervez fordítani különösen az egészségügy, a közlekedés és a gyártás közös adattereinek, a nagy kísérleti létesítményeknek – például az intelligens kórházaknak és az automatizált járművekkel kapcsolatos infrastruktúráknak –, valamint a stratégiai kutatási tervnek a támogatására. </w:t>
      </w:r>
      <w:r>
        <w:rPr>
          <w:rFonts w:ascii="Times New Roman" w:hAnsi="Times New Roman"/>
          <w:noProof/>
          <w:sz w:val="24"/>
          <w:szCs w:val="24"/>
        </w:rPr>
        <w:t xml:space="preserve"> </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Egy ilyen közös stratégiai kutatási, innovációs és bevezetési terv végrehajtása érdekében a Bizottság intenzívebb párbeszédbe kezdett az ipart, a kutatóintézeteket és a hatóságokat képviselő</w:t>
      </w:r>
      <w:r>
        <w:rPr>
          <w:rFonts w:ascii="Times New Roman" w:hAnsi="Times New Roman"/>
          <w:b/>
          <w:noProof/>
          <w:sz w:val="24"/>
          <w:szCs w:val="24"/>
        </w:rPr>
        <w:t xml:space="preserve"> valamennyi érintett féllel</w:t>
      </w:r>
      <w:r>
        <w:rPr>
          <w:rFonts w:ascii="Times New Roman" w:hAnsi="Times New Roman"/>
          <w:noProof/>
          <w:sz w:val="24"/>
          <w:szCs w:val="24"/>
        </w:rPr>
        <w:t>. Az új Digitális Európa programnak nagy lesz a jelentősége annak elősegítése szempontjából is, hogy a mesterséges intelligencia digitális innovációs központok, megerősített tesztelési és kísérleti létesítmények, adatterek és képzési programok révén elérhetővé váljon valamennyi tagállam kis- és középvállalkozásai számára.</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Európa mesterséges intelligenciával kapcsolatos etikai megközelítése, amely az európai termékek biztonságosságának és magas minőségi színvonalának jó hírnevére alapoz, erősíti a polgárok digitális fejlődésbe vetett bizalmát, és versenyelőnyt kíván teremteni a mesterséges intelligenciával foglalkozó európai vállalatok számára.</w:t>
      </w:r>
      <w:r>
        <w:rPr>
          <w:rFonts w:ascii="Times New Roman" w:hAnsi="Times New Roman"/>
          <w:noProof/>
          <w:sz w:val="24"/>
          <w:szCs w:val="20"/>
        </w:rPr>
        <w:t xml:space="preserve"> E közlemény célja egy, az érdeket felek legszélesebb körét bevonó, átfogó kísérleti időszak elindítása a mesterséges intelligencia fejlesztésére és használatára vonatkozó etikai iránymutatások gyakorlati végrehajthatóságának viszgálata érdekében. </w:t>
      </w:r>
    </w:p>
    <w:p>
      <w:pPr>
        <w:spacing w:after="120" w:line="240" w:lineRule="auto"/>
        <w:jc w:val="both"/>
        <w:rPr>
          <w:rFonts w:ascii="Times New Roman" w:eastAsia="Times New Roman" w:hAnsi="Times New Roman" w:cs="Times New Roman"/>
          <w:noProof/>
          <w:sz w:val="24"/>
          <w:szCs w:val="24"/>
          <w:u w:val="single"/>
        </w:rPr>
      </w:pPr>
    </w:p>
    <w:p>
      <w:pPr>
        <w:numPr>
          <w:ilvl w:val="0"/>
          <w:numId w:val="1"/>
        </w:numPr>
        <w:spacing w:after="240" w:line="240" w:lineRule="auto"/>
        <w:ind w:left="714" w:hanging="357"/>
        <w:rPr>
          <w:rFonts w:ascii="Times New Roman" w:hAnsi="Times New Roman" w:cs="Times New Roman"/>
          <w:b/>
          <w:bCs/>
          <w:noProof/>
          <w:sz w:val="24"/>
          <w:szCs w:val="24"/>
        </w:rPr>
      </w:pPr>
      <w:r>
        <w:rPr>
          <w:rFonts w:ascii="Times New Roman" w:hAnsi="Times New Roman"/>
          <w:b/>
          <w:bCs/>
          <w:noProof/>
          <w:sz w:val="24"/>
          <w:szCs w:val="24"/>
        </w:rPr>
        <w:t>AZ EMBERKÖZPONTÚ MESTERSÉGES INTELLIGENCIA IRÁNTI BIZALOM NÖVELÉSE</w:t>
      </w:r>
    </w:p>
    <w:p>
      <w:pPr>
        <w:spacing w:after="120" w:line="240" w:lineRule="auto"/>
        <w:jc w:val="both"/>
        <w:rPr>
          <w:rFonts w:ascii="Times New Roman" w:eastAsia="Times New Roman" w:hAnsi="Times New Roman" w:cs="Times New Roman"/>
          <w:noProof/>
          <w:sz w:val="24"/>
          <w:szCs w:val="20"/>
        </w:rPr>
      </w:pPr>
      <w:r>
        <w:rPr>
          <w:rFonts w:ascii="Times New Roman" w:hAnsi="Times New Roman"/>
          <w:bCs/>
          <w:noProof/>
          <w:sz w:val="24"/>
          <w:szCs w:val="24"/>
        </w:rPr>
        <w:t xml:space="preserve">A mesterséges intelligenciára vonatkozó európai stratégia és az összehangolt terv egyértelművé teszi, </w:t>
      </w:r>
      <w:r>
        <w:rPr>
          <w:rFonts w:ascii="Times New Roman" w:hAnsi="Times New Roman"/>
          <w:b/>
          <w:bCs/>
          <w:noProof/>
          <w:sz w:val="24"/>
          <w:szCs w:val="24"/>
        </w:rPr>
        <w:t>hogy a bizalom előfeltétele a mesterséges intelligencia emberközpontú megközelítésének</w:t>
      </w:r>
      <w:r>
        <w:rPr>
          <w:rFonts w:ascii="Times New Roman" w:hAnsi="Times New Roman"/>
          <w:bCs/>
          <w:noProof/>
          <w:sz w:val="24"/>
          <w:szCs w:val="24"/>
        </w:rPr>
        <w:t xml:space="preserve">: </w:t>
      </w:r>
      <w:r>
        <w:rPr>
          <w:rFonts w:ascii="Times New Roman" w:hAnsi="Times New Roman"/>
          <w:noProof/>
          <w:sz w:val="24"/>
          <w:szCs w:val="20"/>
        </w:rPr>
        <w:t xml:space="preserve">A mesterséges intelligencia nem maga a cél, hanem egy, az embereket szolgáló eszköz, melynek végső célja az emberi jólét növelése. Ennek megvalósítása érdekében </w:t>
      </w:r>
      <w:r>
        <w:rPr>
          <w:rFonts w:ascii="Times New Roman" w:hAnsi="Times New Roman"/>
          <w:b/>
          <w:noProof/>
          <w:sz w:val="24"/>
          <w:szCs w:val="20"/>
        </w:rPr>
        <w:t>gondoskodni kell arról, hogy a mesterséges intelligencia megbízható legyen</w:t>
      </w:r>
      <w:r>
        <w:rPr>
          <w:rFonts w:ascii="Times New Roman" w:hAnsi="Times New Roman"/>
          <w:noProof/>
          <w:sz w:val="24"/>
          <w:szCs w:val="20"/>
        </w:rPr>
        <w:t>. A társadalmaink alapjául szolgáló értékeket teljes mértékben be kell építeni a mesterséges intelligencia fejlesztésébe.</w:t>
      </w:r>
    </w:p>
    <w:p>
      <w:pPr>
        <w:spacing w:after="120" w:line="240" w:lineRule="auto"/>
        <w:jc w:val="both"/>
        <w:rPr>
          <w:rFonts w:ascii="Times New Roman" w:hAnsi="Times New Roman" w:cs="Times New Roman"/>
          <w:bCs/>
          <w:noProof/>
          <w:sz w:val="24"/>
          <w:szCs w:val="24"/>
        </w:rPr>
      </w:pPr>
      <w:r>
        <w:rPr>
          <w:rFonts w:ascii="Times New Roman" w:hAnsi="Times New Roman"/>
          <w:bCs/>
          <w:noProof/>
          <w:sz w:val="24"/>
          <w:szCs w:val="24"/>
        </w:rPr>
        <w:t xml:space="preserve">Az Unió </w:t>
      </w:r>
      <w:r>
        <w:rPr>
          <w:rFonts w:ascii="Times New Roman" w:hAnsi="Times New Roman"/>
          <w:b/>
          <w:bCs/>
          <w:noProof/>
          <w:sz w:val="24"/>
          <w:szCs w:val="24"/>
        </w:rPr>
        <w:t>az emberi méltóság tiszteletben tartása, a szabadság, a demokrácia, az egyenlőség, a jogállamiság, valamint az emberi jogok</w:t>
      </w:r>
      <w:r>
        <w:rPr>
          <w:rFonts w:ascii="Times New Roman" w:hAnsi="Times New Roman"/>
          <w:bCs/>
          <w:noProof/>
          <w:sz w:val="24"/>
          <w:szCs w:val="24"/>
        </w:rPr>
        <w:t xml:space="preserve"> – ezen belül a kisebbségekhez tartozó személyek jogai – tiszteletben tartásának értékein alapul</w:t>
      </w:r>
      <w:r>
        <w:rPr>
          <w:rStyle w:val="FootnoteReference"/>
          <w:rFonts w:ascii="Times New Roman" w:hAnsi="Times New Roman" w:cs="Times New Roman"/>
          <w:bCs/>
          <w:noProof/>
          <w:sz w:val="24"/>
          <w:szCs w:val="24"/>
          <w:lang w:val="en"/>
        </w:rPr>
        <w:footnoteReference w:id="4"/>
      </w:r>
      <w:r>
        <w:rPr>
          <w:rFonts w:ascii="Times New Roman" w:hAnsi="Times New Roman"/>
          <w:bCs/>
          <w:noProof/>
          <w:sz w:val="24"/>
          <w:szCs w:val="24"/>
        </w:rPr>
        <w:t xml:space="preserve">. Ezeken az értékeken az összes olyan tagállam osztozik, amelyet a pluralizmus, a megkülönböztetésmentesség, a tolerancia, az igazságosság, a szolidaritás és az egyenlőség jellemez. Emellett az </w:t>
      </w:r>
      <w:r>
        <w:rPr>
          <w:rFonts w:ascii="Times New Roman" w:hAnsi="Times New Roman"/>
          <w:b/>
          <w:bCs/>
          <w:noProof/>
          <w:sz w:val="24"/>
          <w:szCs w:val="24"/>
        </w:rPr>
        <w:t>Európai Unió Alapjogi Chartája</w:t>
      </w:r>
      <w:r>
        <w:rPr>
          <w:rFonts w:ascii="Times New Roman" w:hAnsi="Times New Roman"/>
          <w:bCs/>
          <w:noProof/>
          <w:sz w:val="24"/>
          <w:szCs w:val="24"/>
        </w:rPr>
        <w:t xml:space="preserve"> egyetlen szövegben határozza meg az EU-ban élő polgárokat megillető személyiségi, polgári, politikai, gazdasági és szociális jogokat. </w:t>
      </w:r>
    </w:p>
    <w:p>
      <w:pPr>
        <w:spacing w:after="120" w:line="240" w:lineRule="auto"/>
        <w:jc w:val="both"/>
        <w:rPr>
          <w:rFonts w:ascii="Times New Roman" w:hAnsi="Times New Roman" w:cs="Times New Roman"/>
          <w:bCs/>
          <w:noProof/>
          <w:sz w:val="24"/>
          <w:szCs w:val="24"/>
        </w:rPr>
      </w:pPr>
      <w:r>
        <w:rPr>
          <w:rFonts w:ascii="Times New Roman" w:hAnsi="Times New Roman"/>
          <w:bCs/>
          <w:noProof/>
          <w:sz w:val="24"/>
          <w:szCs w:val="24"/>
        </w:rPr>
        <w:t xml:space="preserve">Az EU </w:t>
      </w:r>
      <w:r>
        <w:rPr>
          <w:rFonts w:ascii="Times New Roman" w:hAnsi="Times New Roman"/>
          <w:b/>
          <w:bCs/>
          <w:noProof/>
          <w:sz w:val="24"/>
          <w:szCs w:val="24"/>
        </w:rPr>
        <w:t>szigorú keretszabályokkal</w:t>
      </w:r>
      <w:r>
        <w:rPr>
          <w:rFonts w:ascii="Times New Roman" w:hAnsi="Times New Roman"/>
          <w:bCs/>
          <w:noProof/>
          <w:sz w:val="24"/>
          <w:szCs w:val="24"/>
        </w:rPr>
        <w:t xml:space="preserve"> rendelkezik, amelyek meghatározók lesznek az emberközpontú mesterséges intelligenciára vonatkozó globális normák kialakításában. Az általános adatvédelmi rendelet (GDPR) biztosítja a személyes adatok magas szintű védelmét, és olyan intézkedések végrehajtását írja elő, amelyek biztosítják a beépített és alapértelmezett adatvédelmet</w:t>
      </w:r>
      <w:r>
        <w:rPr>
          <w:rStyle w:val="FootnoteReference"/>
          <w:rFonts w:ascii="Times New Roman" w:hAnsi="Times New Roman" w:cs="Times New Roman"/>
          <w:bCs/>
          <w:noProof/>
          <w:sz w:val="24"/>
          <w:szCs w:val="24"/>
        </w:rPr>
        <w:footnoteReference w:id="5"/>
      </w:r>
      <w:r>
        <w:rPr>
          <w:rFonts w:ascii="Times New Roman" w:hAnsi="Times New Roman"/>
          <w:bCs/>
          <w:noProof/>
          <w:sz w:val="24"/>
          <w:szCs w:val="24"/>
        </w:rPr>
        <w:t xml:space="preserve">. </w:t>
      </w:r>
      <w:r>
        <w:rPr>
          <w:rFonts w:ascii="Times New Roman" w:hAnsi="Times New Roman"/>
          <w:noProof/>
          <w:sz w:val="24"/>
          <w:szCs w:val="24"/>
        </w:rPr>
        <w:t>A nem személyes adatok szabad áramlásáról szóló rendelet felszámolja a nem személyes adatok szabad mozgásának akadályait, és Európa-szerte biztosítja valamennyi adatkategória feldolgozását.</w:t>
      </w:r>
      <w:r>
        <w:rPr>
          <w:rFonts w:ascii="Times New Roman" w:hAnsi="Times New Roman"/>
          <w:noProof/>
        </w:rPr>
        <w:t xml:space="preserve"> </w:t>
      </w:r>
      <w:r>
        <w:rPr>
          <w:rFonts w:ascii="Times New Roman" w:hAnsi="Times New Roman"/>
          <w:bCs/>
          <w:noProof/>
          <w:sz w:val="24"/>
          <w:szCs w:val="24"/>
        </w:rPr>
        <w:t>A közelmúltban elfogadott kiberbiztonsági jogszabály pedig hozzá fog járulni az online világba vetett bizalom megerősítéséhez. Ugyanezt a célt szolgálja az elektronikus hírközlési adatvédelmi rendeletre irányuló javaslat</w:t>
      </w:r>
      <w:r>
        <w:rPr>
          <w:rStyle w:val="FootnoteReference"/>
          <w:rFonts w:ascii="Times New Roman" w:hAnsi="Times New Roman" w:cs="Times New Roman"/>
          <w:bCs/>
          <w:noProof/>
          <w:sz w:val="24"/>
          <w:szCs w:val="24"/>
          <w:lang w:val="en"/>
        </w:rPr>
        <w:footnoteReference w:id="6"/>
      </w:r>
      <w:r>
        <w:rPr>
          <w:rFonts w:ascii="Times New Roman" w:hAnsi="Times New Roman"/>
          <w:bCs/>
          <w:noProof/>
          <w:sz w:val="24"/>
          <w:szCs w:val="24"/>
        </w:rPr>
        <w:t xml:space="preserve"> is.</w:t>
      </w:r>
    </w:p>
    <w:p>
      <w:pPr>
        <w:spacing w:after="120" w:line="240" w:lineRule="auto"/>
        <w:jc w:val="both"/>
        <w:rPr>
          <w:rFonts w:ascii="Times New Roman" w:hAnsi="Times New Roman" w:cs="Times New Roman"/>
          <w:bCs/>
          <w:noProof/>
          <w:sz w:val="24"/>
          <w:szCs w:val="24"/>
        </w:rPr>
      </w:pPr>
      <w:r>
        <w:rPr>
          <w:rFonts w:ascii="Times New Roman" w:hAnsi="Times New Roman"/>
          <w:bCs/>
          <w:noProof/>
          <w:sz w:val="24"/>
          <w:szCs w:val="24"/>
        </w:rPr>
        <w:t>Ugyanakkor a mesterséges intelligencia új kihívásokkal is jár, mivel lehetővé teszi a gépek számára a „tanulást”, valamint döntések emberi beavatkozás nélküli meghozatalát és végrehajtását. Az ilyen típusú funkciók hamarosan szabványos részévé válnak az áruk és szolgáltatások számos típusának, az okostelefonoktól kezdve az automatizált autókon és a robotokon át az online alkalmazásokig. Az algoritmusok azonban nem teljes – és ezért nem megbízható – adatok alapján is hozhatnak döntéseket, kibertámadás áldozatává válhatnak, döntéseik pedig torzulhatnak vagy egyszerűen tévesek lehetnek. Az AI-technológiai fejlesztések megfontolatlan, azonnali alkalmazása tehát problémákhoz vezetne, a polgárok pedig vonakodnának elfogadni és használni a technológiát.</w:t>
      </w:r>
    </w:p>
    <w:p>
      <w:pPr>
        <w:spacing w:after="120" w:line="240" w:lineRule="auto"/>
        <w:jc w:val="both"/>
        <w:rPr>
          <w:rFonts w:ascii="Times New Roman" w:hAnsi="Times New Roman" w:cs="Times New Roman"/>
          <w:bCs/>
          <w:noProof/>
          <w:sz w:val="24"/>
          <w:szCs w:val="24"/>
        </w:rPr>
      </w:pPr>
      <w:r>
        <w:rPr>
          <w:rFonts w:ascii="Times New Roman" w:hAnsi="Times New Roman"/>
          <w:bCs/>
          <w:noProof/>
          <w:sz w:val="24"/>
          <w:szCs w:val="24"/>
        </w:rPr>
        <w:t xml:space="preserve">Ehelyett az AI-technológiát emberközpontúan kell fejleszteni, hogy az méltóvá váljon a emberek bizalmára. Ez azt jelenti, hogy a mesterséges intelligencián alapuló alkalmazásoknak nemcsak a jogszabályokkal kell összhangban lenniük, hanem az etikai elveknek is meg kell felelniük, és biztosítaniuk kell, hogy az alkalmazásuk ne okozzon nem kívánt károkat. </w:t>
      </w:r>
      <w:r>
        <w:rPr>
          <w:rFonts w:ascii="Times New Roman" w:hAnsi="Times New Roman"/>
          <w:noProof/>
          <w:sz w:val="24"/>
          <w:szCs w:val="24"/>
        </w:rPr>
        <w:t xml:space="preserve">A mesterséges intelligencia fejlesztésének minden szakaszában figyelemmel kell lenni a nemek, a faji vagy etnikai származás, a </w:t>
      </w:r>
      <w:r>
        <w:rPr>
          <w:rStyle w:val="Emphasis"/>
          <w:rFonts w:ascii="Times New Roman" w:hAnsi="Times New Roman"/>
          <w:bCs/>
          <w:i w:val="0"/>
          <w:noProof/>
          <w:sz w:val="24"/>
          <w:szCs w:val="24"/>
        </w:rPr>
        <w:t>vallás</w:t>
      </w:r>
      <w:r>
        <w:rPr>
          <w:rFonts w:ascii="Times New Roman" w:hAnsi="Times New Roman"/>
          <w:noProof/>
          <w:sz w:val="24"/>
          <w:szCs w:val="24"/>
        </w:rPr>
        <w:t xml:space="preserve"> vagy meggyőződés, a </w:t>
      </w:r>
      <w:r>
        <w:rPr>
          <w:rStyle w:val="Emphasis"/>
          <w:rFonts w:ascii="Times New Roman" w:hAnsi="Times New Roman"/>
          <w:bCs/>
          <w:i w:val="0"/>
          <w:noProof/>
          <w:sz w:val="24"/>
          <w:szCs w:val="24"/>
        </w:rPr>
        <w:t>fogyatékosság</w:t>
      </w:r>
      <w:r>
        <w:rPr>
          <w:rFonts w:ascii="Times New Roman" w:hAnsi="Times New Roman"/>
          <w:noProof/>
          <w:sz w:val="24"/>
          <w:szCs w:val="24"/>
        </w:rPr>
        <w:t xml:space="preserve"> és az életkor szerinti sokféleségre.</w:t>
      </w:r>
      <w:r>
        <w:rPr>
          <w:rFonts w:ascii="Times New Roman" w:hAnsi="Times New Roman"/>
          <w:bCs/>
          <w:noProof/>
          <w:sz w:val="24"/>
          <w:szCs w:val="24"/>
        </w:rPr>
        <w:t xml:space="preserve"> Az AI-alkalmazásoknak a polgárok érdekeit kell szolgálniuk, és tiszteletben kell tartaniuk alapvető jogaikat. Céljuk nem az emberek helyettesítése, hanem az emberi képességek javítása, valamint a fogyatékossággal élők előtti akadályok felszámolása.</w:t>
      </w:r>
      <w:r>
        <w:rPr>
          <w:rFonts w:ascii="Times New Roman" w:hAnsi="Times New Roman"/>
          <w:noProof/>
        </w:rPr>
        <w:t xml:space="preserve"> </w:t>
      </w:r>
    </w:p>
    <w:p>
      <w:pPr>
        <w:spacing w:after="120" w:line="240" w:lineRule="auto"/>
        <w:jc w:val="both"/>
        <w:rPr>
          <w:rFonts w:ascii="Times New Roman" w:hAnsi="Times New Roman" w:cs="Times New Roman"/>
          <w:bCs/>
          <w:noProof/>
          <w:sz w:val="24"/>
          <w:szCs w:val="24"/>
        </w:rPr>
      </w:pPr>
      <w:r>
        <w:rPr>
          <w:rFonts w:ascii="Times New Roman" w:hAnsi="Times New Roman"/>
          <w:noProof/>
          <w:sz w:val="24"/>
          <w:szCs w:val="24"/>
        </w:rPr>
        <w:t xml:space="preserve">Ezért olyan </w:t>
      </w:r>
      <w:r>
        <w:rPr>
          <w:rFonts w:ascii="Times New Roman" w:hAnsi="Times New Roman"/>
          <w:b/>
          <w:noProof/>
          <w:sz w:val="24"/>
          <w:szCs w:val="24"/>
        </w:rPr>
        <w:t>etikai iránymutatásokra</w:t>
      </w:r>
      <w:r>
        <w:rPr>
          <w:rFonts w:ascii="Times New Roman" w:hAnsi="Times New Roman"/>
          <w:noProof/>
          <w:sz w:val="24"/>
          <w:szCs w:val="24"/>
        </w:rPr>
        <w:t xml:space="preserve"> van szükség, amelyek a meglévő szabályozási keretre építenek, valamint a belső piacon tevékenykedő AI-fejlesztők, -beszállítók és -felhasználók számára kötelezően alkalmazandóak, és ezáltal valamennyi tagállamban etikus és egyenlő versenyfeltételeket biztosítanak.</w:t>
      </w:r>
      <w:r>
        <w:rPr>
          <w:rFonts w:ascii="Times New Roman" w:hAnsi="Times New Roman"/>
          <w:bCs/>
          <w:noProof/>
          <w:sz w:val="24"/>
          <w:szCs w:val="24"/>
        </w:rPr>
        <w:t xml:space="preserve"> </w:t>
      </w:r>
      <w:r>
        <w:rPr>
          <w:rFonts w:ascii="Times New Roman" w:hAnsi="Times New Roman"/>
          <w:noProof/>
          <w:sz w:val="24"/>
          <w:szCs w:val="24"/>
        </w:rPr>
        <w:t xml:space="preserve">A Bizottság ezért létrehozott egy, az érdekelt felek széles körét képviselő, </w:t>
      </w:r>
      <w:r>
        <w:rPr>
          <w:rFonts w:ascii="Times New Roman" w:hAnsi="Times New Roman"/>
          <w:b/>
          <w:noProof/>
          <w:sz w:val="24"/>
          <w:szCs w:val="24"/>
        </w:rPr>
        <w:t>mesterséges intelligenciával foglalkozó magas szintű szakértői csoportot</w:t>
      </w:r>
      <w:r>
        <w:rPr>
          <w:rStyle w:val="FootnoteReference"/>
          <w:rFonts w:ascii="Times New Roman" w:hAnsi="Times New Roman" w:cs="Times New Roman"/>
          <w:b/>
          <w:noProof/>
          <w:sz w:val="24"/>
          <w:szCs w:val="24"/>
        </w:rPr>
        <w:footnoteReference w:id="7"/>
      </w:r>
      <w:r>
        <w:rPr>
          <w:rFonts w:ascii="Times New Roman" w:hAnsi="Times New Roman"/>
          <w:noProof/>
          <w:sz w:val="24"/>
          <w:szCs w:val="24"/>
        </w:rPr>
        <w:t>, amelyet a mesterséges intelligenciára vonatkozó etikai iránymutatások összeállításával, illetőleg az átfogóbb mesterségesintelligencia-politikára vonatkozó ajánlások kidolgozásával bízott meg.</w:t>
      </w:r>
      <w:r>
        <w:rPr>
          <w:rFonts w:ascii="Times New Roman" w:hAnsi="Times New Roman"/>
          <w:bCs/>
          <w:noProof/>
          <w:sz w:val="24"/>
          <w:szCs w:val="24"/>
        </w:rPr>
        <w:t xml:space="preserve"> </w:t>
      </w:r>
      <w:r>
        <w:rPr>
          <w:rFonts w:ascii="Times New Roman" w:hAnsi="Times New Roman"/>
          <w:noProof/>
          <w:sz w:val="24"/>
          <w:szCs w:val="24"/>
        </w:rPr>
        <w:t xml:space="preserve">Ezzel párhuzamosan megalakult a </w:t>
      </w:r>
      <w:r>
        <w:rPr>
          <w:rFonts w:ascii="Times New Roman" w:hAnsi="Times New Roman"/>
          <w:b/>
          <w:noProof/>
          <w:sz w:val="24"/>
          <w:szCs w:val="24"/>
        </w:rPr>
        <w:t>mesterséges intelligenciával foglalkozó európai szövetség</w:t>
      </w:r>
      <w:r>
        <w:rPr>
          <w:rStyle w:val="FootnoteReference"/>
          <w:rFonts w:ascii="Times New Roman" w:hAnsi="Times New Roman" w:cs="Times New Roman"/>
          <w:noProof/>
          <w:sz w:val="24"/>
          <w:szCs w:val="24"/>
        </w:rPr>
        <w:footnoteReference w:id="8"/>
      </w:r>
      <w:r>
        <w:rPr>
          <w:rFonts w:ascii="Times New Roman" w:hAnsi="Times New Roman"/>
          <w:noProof/>
          <w:sz w:val="24"/>
          <w:szCs w:val="24"/>
        </w:rPr>
        <w:t xml:space="preserve"> – egy több érdekelt felet tömörítő, több mint 2 700 tagot számláló nyílt platform – azzal a céllal, hogy szélesebb körű támogatást biztosítson a mesterséges intelligenciával foglalkozó magas szintű szakértői csoportnak.</w:t>
      </w:r>
    </w:p>
    <w:p>
      <w:pPr>
        <w:spacing w:after="120" w:line="240" w:lineRule="auto"/>
        <w:jc w:val="both"/>
        <w:rPr>
          <w:rFonts w:ascii="Times New Roman" w:hAnsi="Times New Roman" w:cs="Times New Roman"/>
          <w:bCs/>
          <w:noProof/>
          <w:sz w:val="24"/>
          <w:szCs w:val="24"/>
        </w:rPr>
      </w:pPr>
      <w:r>
        <w:rPr>
          <w:rFonts w:ascii="Times New Roman" w:hAnsi="Times New Roman"/>
          <w:bCs/>
          <w:noProof/>
          <w:sz w:val="24"/>
          <w:szCs w:val="24"/>
        </w:rPr>
        <w:t xml:space="preserve">A mesterséges intelligenciával foglalkozó magas szintű szakértői csoportot 2018 decemberében közzétette az etikai iránymutatások első tervezetét. </w:t>
      </w:r>
      <w:r>
        <w:rPr>
          <w:rFonts w:ascii="Times New Roman" w:hAnsi="Times New Roman"/>
          <w:noProof/>
        </w:rPr>
        <w:t xml:space="preserve">Az </w:t>
      </w:r>
      <w:r>
        <w:rPr>
          <w:rFonts w:ascii="Times New Roman" w:hAnsi="Times New Roman"/>
          <w:b/>
          <w:noProof/>
        </w:rPr>
        <w:t>érdekelt felekkel folytatott konzultációt</w:t>
      </w:r>
      <w:r>
        <w:rPr>
          <w:rStyle w:val="FootnoteReference"/>
          <w:rFonts w:ascii="Times New Roman" w:hAnsi="Times New Roman" w:cs="Times New Roman"/>
          <w:noProof/>
        </w:rPr>
        <w:footnoteReference w:id="9"/>
      </w:r>
      <w:r>
        <w:rPr>
          <w:rFonts w:ascii="Times New Roman" w:hAnsi="Times New Roman"/>
          <w:noProof/>
        </w:rPr>
        <w:t xml:space="preserve">, valamint a </w:t>
      </w:r>
      <w:r>
        <w:rPr>
          <w:rFonts w:ascii="Times New Roman" w:hAnsi="Times New Roman"/>
          <w:b/>
          <w:noProof/>
        </w:rPr>
        <w:t>tagállamok képviselőivel való találkozókat</w:t>
      </w:r>
      <w:r>
        <w:rPr>
          <w:rStyle w:val="FootnoteReference"/>
          <w:rFonts w:ascii="Times New Roman" w:hAnsi="Times New Roman" w:cs="Times New Roman"/>
          <w:noProof/>
        </w:rPr>
        <w:footnoteReference w:id="10"/>
      </w:r>
      <w:r>
        <w:rPr>
          <w:rFonts w:ascii="Times New Roman" w:hAnsi="Times New Roman"/>
          <w:noProof/>
        </w:rPr>
        <w:t xml:space="preserve"> követően a mesterséges intelligenciával foglalkozó szakértői csoportot 2019 márciusában átadta a Bizottságnak az iránymutatások módosított változatát.</w:t>
      </w:r>
      <w:r>
        <w:rPr>
          <w:rFonts w:ascii="Times New Roman" w:hAnsi="Times New Roman"/>
          <w:bCs/>
          <w:noProof/>
          <w:sz w:val="24"/>
          <w:szCs w:val="24"/>
        </w:rPr>
        <w:t xml:space="preserve"> Az eddigi visszajelzések alapján az érdekelt felek általánosságban üdvözölték az iránymutatások gyakorlati jellegét, valamint az AI-fejlesztőknek, -beszállítóknak és -felhasználóknak adott konkrét iránymutatást arra nézve, hogy hogyan gondoskodhatnak a technológia megbízhatóságáról.</w:t>
      </w:r>
    </w:p>
    <w:p>
      <w:pPr>
        <w:spacing w:after="120" w:line="240" w:lineRule="auto"/>
        <w:jc w:val="both"/>
        <w:rPr>
          <w:rFonts w:ascii="Times New Roman" w:hAnsi="Times New Roman" w:cs="Times New Roman"/>
          <w:bCs/>
          <w:noProof/>
          <w:sz w:val="24"/>
          <w:szCs w:val="24"/>
        </w:rPr>
      </w:pPr>
    </w:p>
    <w:p>
      <w:pPr>
        <w:spacing w:after="240" w:line="240" w:lineRule="auto"/>
        <w:rPr>
          <w:rFonts w:ascii="Times New Roman" w:hAnsi="Times New Roman" w:cs="Times New Roman"/>
          <w:b/>
          <w:bCs/>
          <w:noProof/>
          <w:sz w:val="24"/>
          <w:szCs w:val="24"/>
        </w:rPr>
      </w:pPr>
      <w:r>
        <w:rPr>
          <w:rFonts w:ascii="Times New Roman" w:hAnsi="Times New Roman"/>
          <w:b/>
          <w:bCs/>
          <w:noProof/>
          <w:sz w:val="24"/>
          <w:szCs w:val="24"/>
        </w:rPr>
        <w:t>2.1. A mesterséges intelligenciával foglalkozó magas szintű szakértői csoport által kidolgozott, a megbízható mesterséges intelligenciára vonatkozó iránymutatások</w:t>
      </w:r>
    </w:p>
    <w:p>
      <w:pPr>
        <w:spacing w:after="120" w:line="240" w:lineRule="auto"/>
        <w:jc w:val="both"/>
        <w:rPr>
          <w:rFonts w:ascii="Times New Roman" w:eastAsia="Times New Roman" w:hAnsi="Times New Roman" w:cs="Times New Roman"/>
          <w:noProof/>
          <w:sz w:val="24"/>
          <w:szCs w:val="20"/>
        </w:rPr>
      </w:pPr>
      <w:r>
        <w:rPr>
          <w:rFonts w:ascii="Times New Roman" w:hAnsi="Times New Roman"/>
          <w:noProof/>
          <w:sz w:val="24"/>
          <w:szCs w:val="20"/>
        </w:rPr>
        <w:t>Az e közlemény</w:t>
      </w:r>
      <w:r>
        <w:rPr>
          <w:rStyle w:val="FootnoteReference"/>
          <w:rFonts w:ascii="Times New Roman" w:eastAsia="Times New Roman" w:hAnsi="Times New Roman" w:cs="Times New Roman"/>
          <w:noProof/>
          <w:sz w:val="24"/>
          <w:szCs w:val="20"/>
        </w:rPr>
        <w:footnoteReference w:id="11"/>
      </w:r>
      <w:r>
        <w:rPr>
          <w:rFonts w:ascii="Times New Roman" w:hAnsi="Times New Roman"/>
          <w:noProof/>
          <w:sz w:val="24"/>
          <w:szCs w:val="20"/>
        </w:rPr>
        <w:t xml:space="preserve"> tárgyát képező, a mesterséges intelligenciával foglalkozó magas szintű szakértői csoport által kidolgozott iránymutatások elsősorban a tudomány és az új technológiák etikai kérdéseit vizsgáló európai csoportnak és az Európai Unió Alapjogi Ügynökségének munkájára épülnek.</w:t>
      </w:r>
    </w:p>
    <w:p>
      <w:pPr>
        <w:spacing w:after="120" w:line="240" w:lineRule="auto"/>
        <w:jc w:val="both"/>
        <w:rPr>
          <w:rFonts w:ascii="Times New Roman" w:eastAsia="Times New Roman" w:hAnsi="Times New Roman" w:cs="Times New Roman"/>
          <w:noProof/>
          <w:sz w:val="24"/>
          <w:szCs w:val="20"/>
        </w:rPr>
      </w:pPr>
      <w:r>
        <w:rPr>
          <w:rFonts w:ascii="Times New Roman" w:hAnsi="Times New Roman"/>
          <w:noProof/>
          <w:sz w:val="24"/>
          <w:szCs w:val="20"/>
        </w:rPr>
        <w:t>Az iránymutatások értelmében a „megbízható mesterséges intelligencia” megvalósításához három összetevőre van szükség: 1. a mesterséges intelligenciának be kell tartania a jogszabályokat, 2. meg kell felelnie az etikai elveknek és 3. stabilnak kell lennie.</w:t>
      </w:r>
    </w:p>
    <w:p>
      <w:pPr>
        <w:spacing w:after="120" w:line="240" w:lineRule="auto"/>
        <w:jc w:val="both"/>
        <w:rPr>
          <w:rFonts w:ascii="Times New Roman" w:eastAsia="Times New Roman" w:hAnsi="Times New Roman" w:cs="Times New Roman"/>
          <w:noProof/>
          <w:sz w:val="24"/>
          <w:szCs w:val="20"/>
        </w:rPr>
      </w:pPr>
      <w:r>
        <w:rPr>
          <w:rFonts w:ascii="Times New Roman" w:hAnsi="Times New Roman"/>
          <w:noProof/>
          <w:sz w:val="24"/>
          <w:szCs w:val="20"/>
        </w:rPr>
        <w:t>E három összetevő, valamint a 2. szakaszban ismertetett európai értékek alapján az iránymutatások hét olyan kulcsfontosságú követelményt határoznak meg, amelyeket az AI-alkalmazásoknak teljesíteniük kell ahhoz, hogy megbízhatónak minősüljenek. Az iránymutatások tartalmaznak továbbá egy értékelési listát, amely segít annak ellenőrzésében, hogy ezek a követelmények teljesülnek-e.</w:t>
      </w:r>
    </w:p>
    <w:p>
      <w:pPr>
        <w:spacing w:after="120" w:line="240" w:lineRule="auto"/>
        <w:jc w:val="both"/>
        <w:rPr>
          <w:rFonts w:ascii="Times New Roman" w:eastAsia="Times New Roman" w:hAnsi="Times New Roman" w:cs="Times New Roman"/>
          <w:noProof/>
          <w:sz w:val="24"/>
          <w:szCs w:val="20"/>
        </w:rPr>
      </w:pPr>
      <w:r>
        <w:rPr>
          <w:rFonts w:ascii="Times New Roman" w:hAnsi="Times New Roman"/>
          <w:noProof/>
          <w:sz w:val="24"/>
          <w:szCs w:val="20"/>
        </w:rPr>
        <w:t>A hét kulcsfontosságú követelmény a következő:</w:t>
      </w:r>
    </w:p>
    <w:p>
      <w:pPr>
        <w:numPr>
          <w:ilvl w:val="0"/>
          <w:numId w:val="4"/>
        </w:numPr>
        <w:spacing w:after="120" w:line="240" w:lineRule="auto"/>
        <w:ind w:left="714" w:hanging="357"/>
        <w:jc w:val="both"/>
        <w:rPr>
          <w:rFonts w:ascii="Times New Roman" w:eastAsia="Times New Roman" w:hAnsi="Times New Roman" w:cs="Times New Roman"/>
          <w:noProof/>
          <w:sz w:val="24"/>
          <w:szCs w:val="20"/>
        </w:rPr>
      </w:pPr>
      <w:r>
        <w:rPr>
          <w:rFonts w:ascii="Times New Roman" w:hAnsi="Times New Roman"/>
          <w:noProof/>
          <w:sz w:val="24"/>
          <w:szCs w:val="20"/>
        </w:rPr>
        <w:t xml:space="preserve">az emberi cselekvőképesség támogatása és emberi felügyelet; </w:t>
      </w:r>
    </w:p>
    <w:p>
      <w:pPr>
        <w:numPr>
          <w:ilvl w:val="0"/>
          <w:numId w:val="4"/>
        </w:numPr>
        <w:spacing w:after="120" w:line="240" w:lineRule="auto"/>
        <w:ind w:left="714" w:hanging="357"/>
        <w:jc w:val="both"/>
        <w:rPr>
          <w:rFonts w:ascii="Times New Roman" w:eastAsia="Times New Roman" w:hAnsi="Times New Roman" w:cs="Times New Roman"/>
          <w:noProof/>
          <w:sz w:val="24"/>
          <w:szCs w:val="20"/>
        </w:rPr>
      </w:pPr>
      <w:r>
        <w:rPr>
          <w:rFonts w:ascii="Times New Roman" w:hAnsi="Times New Roman"/>
          <w:noProof/>
          <w:sz w:val="24"/>
          <w:szCs w:val="20"/>
        </w:rPr>
        <w:t>műszaki stabilitás és biztonság;</w:t>
      </w:r>
    </w:p>
    <w:p>
      <w:pPr>
        <w:numPr>
          <w:ilvl w:val="0"/>
          <w:numId w:val="4"/>
        </w:numPr>
        <w:spacing w:after="120" w:line="240" w:lineRule="auto"/>
        <w:ind w:left="714" w:hanging="357"/>
        <w:jc w:val="both"/>
        <w:rPr>
          <w:rFonts w:ascii="Times New Roman" w:eastAsia="Times New Roman" w:hAnsi="Times New Roman" w:cs="Times New Roman"/>
          <w:noProof/>
          <w:sz w:val="24"/>
          <w:szCs w:val="20"/>
        </w:rPr>
      </w:pPr>
      <w:r>
        <w:rPr>
          <w:rFonts w:ascii="Times New Roman" w:hAnsi="Times New Roman"/>
          <w:noProof/>
          <w:sz w:val="24"/>
          <w:szCs w:val="20"/>
        </w:rPr>
        <w:t xml:space="preserve">adatvédelem és adatkezelés; </w:t>
      </w:r>
    </w:p>
    <w:p>
      <w:pPr>
        <w:numPr>
          <w:ilvl w:val="0"/>
          <w:numId w:val="4"/>
        </w:numPr>
        <w:spacing w:after="120" w:line="240" w:lineRule="auto"/>
        <w:ind w:left="714" w:hanging="357"/>
        <w:jc w:val="both"/>
        <w:rPr>
          <w:rFonts w:ascii="Times New Roman" w:eastAsia="Times New Roman" w:hAnsi="Times New Roman" w:cs="Times New Roman"/>
          <w:noProof/>
          <w:sz w:val="24"/>
          <w:szCs w:val="20"/>
        </w:rPr>
      </w:pPr>
      <w:r>
        <w:rPr>
          <w:rFonts w:ascii="Times New Roman" w:hAnsi="Times New Roman"/>
          <w:noProof/>
          <w:sz w:val="24"/>
          <w:szCs w:val="20"/>
        </w:rPr>
        <w:t xml:space="preserve">átláthatóság; </w:t>
      </w:r>
    </w:p>
    <w:p>
      <w:pPr>
        <w:numPr>
          <w:ilvl w:val="0"/>
          <w:numId w:val="4"/>
        </w:numPr>
        <w:spacing w:after="120" w:line="240" w:lineRule="auto"/>
        <w:ind w:left="714" w:hanging="357"/>
        <w:jc w:val="both"/>
        <w:rPr>
          <w:rFonts w:ascii="Times New Roman" w:eastAsia="Times New Roman" w:hAnsi="Times New Roman" w:cs="Times New Roman"/>
          <w:noProof/>
          <w:sz w:val="24"/>
          <w:szCs w:val="20"/>
        </w:rPr>
      </w:pPr>
      <w:r>
        <w:rPr>
          <w:rFonts w:ascii="Times New Roman" w:hAnsi="Times New Roman"/>
          <w:noProof/>
          <w:sz w:val="24"/>
          <w:szCs w:val="20"/>
        </w:rPr>
        <w:t>sokféleség, megkülönböztetésmentesség és méltányosság;</w:t>
      </w:r>
    </w:p>
    <w:p>
      <w:pPr>
        <w:numPr>
          <w:ilvl w:val="0"/>
          <w:numId w:val="4"/>
        </w:numPr>
        <w:spacing w:after="120" w:line="240" w:lineRule="auto"/>
        <w:ind w:left="714" w:hanging="357"/>
        <w:jc w:val="both"/>
        <w:rPr>
          <w:rFonts w:ascii="Times New Roman" w:eastAsia="Times New Roman" w:hAnsi="Times New Roman" w:cs="Times New Roman"/>
          <w:noProof/>
          <w:sz w:val="24"/>
          <w:szCs w:val="20"/>
        </w:rPr>
      </w:pPr>
      <w:r>
        <w:rPr>
          <w:rFonts w:ascii="Times New Roman" w:hAnsi="Times New Roman"/>
          <w:noProof/>
          <w:sz w:val="24"/>
          <w:szCs w:val="20"/>
        </w:rPr>
        <w:t>társadalmi és környezeti jólét;</w:t>
      </w:r>
    </w:p>
    <w:p>
      <w:pPr>
        <w:numPr>
          <w:ilvl w:val="0"/>
          <w:numId w:val="4"/>
        </w:numPr>
        <w:spacing w:after="120" w:line="240" w:lineRule="auto"/>
        <w:ind w:left="714" w:hanging="357"/>
        <w:jc w:val="both"/>
        <w:rPr>
          <w:rFonts w:ascii="Times New Roman" w:eastAsia="Times New Roman" w:hAnsi="Times New Roman" w:cs="Times New Roman"/>
          <w:noProof/>
          <w:sz w:val="24"/>
          <w:szCs w:val="20"/>
        </w:rPr>
      </w:pPr>
      <w:r>
        <w:rPr>
          <w:rFonts w:ascii="Times New Roman" w:hAnsi="Times New Roman"/>
          <w:noProof/>
          <w:sz w:val="24"/>
          <w:szCs w:val="20"/>
        </w:rPr>
        <w:t>elszámoltathatóság.</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Noha ezek a követelmények a különböző környezetekben és iparágakban működő valamennyi mesterségesintelligencia-rendszerre vonatkoznak, alkalmazásukkor a konkrét és arányos végrehajtás érdekében – hatásalapú megközelítést követve – figyelembe kell venni az adott környezet sajátosságait. Például sokkal kevésbé veszélyes egy olyan AI-alkalmazás, amely nem megfelelő könyvet ajánl a felhasználónak, mint egy olyan, amely tévesen diagnosztizálja a rákot, ezért az előbbit nem szükséges ugyanolyan szigorú felügyelet alatt tartani. </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A mesterséges intelligenciával foglalkozó magas szintű szakértői csoport által kidolgozott iránymutatások nem kötelező erejűek, így nem jelentenek új jogi kötelezettségeket.</w:t>
      </w:r>
      <w:r>
        <w:rPr>
          <w:rFonts w:ascii="Times New Roman" w:hAnsi="Times New Roman"/>
          <w:noProof/>
          <w:sz w:val="24"/>
          <w:szCs w:val="24"/>
        </w:rPr>
        <w:t xml:space="preserve"> Ugyanakkor az uniós jog számos meglévő (gyakran használat- vagy területspecifikus) rendelkezése természetesen már most is megfogalmaz egyet vagy többet e kulcsfontosságú követelmények közül, például a biztonságra, a személyes adatok védelmére, a magánélet védelmére vagy a környezetvédelemre vonatkozó szabályok formájában.</w:t>
      </w:r>
    </w:p>
    <w:p>
      <w:pPr>
        <w:spacing w:after="120" w:line="240" w:lineRule="auto"/>
        <w:jc w:val="both"/>
        <w:rPr>
          <w:rFonts w:ascii="Times New Roman" w:eastAsia="Times New Roman" w:hAnsi="Times New Roman" w:cs="Times New Roman"/>
          <w:noProof/>
          <w:sz w:val="24"/>
          <w:szCs w:val="20"/>
        </w:rPr>
      </w:pPr>
    </w:p>
    <w:p>
      <w:pPr>
        <w:spacing w:after="120" w:line="240" w:lineRule="auto"/>
        <w:jc w:val="both"/>
        <w:rPr>
          <w:rFonts w:ascii="Times New Roman" w:eastAsia="Times New Roman" w:hAnsi="Times New Roman" w:cs="Times New Roman"/>
          <w:noProof/>
          <w:sz w:val="24"/>
          <w:szCs w:val="20"/>
        </w:rPr>
      </w:pPr>
      <w:r>
        <w:rPr>
          <w:rFonts w:ascii="Times New Roman" w:hAnsi="Times New Roman"/>
          <w:noProof/>
          <w:sz w:val="24"/>
          <w:szCs w:val="20"/>
        </w:rPr>
        <w:t>A Bizottság üdvözli a mesterséges intelligenciával foglalkozó magas szintű szakértői csoport munkáját, és arra értékes támpontként tekint a politikai döntéshozatalban.</w:t>
      </w:r>
    </w:p>
    <w:p>
      <w:pPr>
        <w:spacing w:after="120" w:line="240" w:lineRule="auto"/>
        <w:jc w:val="both"/>
        <w:rPr>
          <w:rFonts w:ascii="Times New Roman" w:eastAsia="Times New Roman" w:hAnsi="Times New Roman" w:cs="Times New Roman"/>
          <w:noProof/>
          <w:sz w:val="24"/>
          <w:szCs w:val="20"/>
        </w:rPr>
      </w:pPr>
    </w:p>
    <w:p>
      <w:pPr>
        <w:spacing w:after="240" w:line="240" w:lineRule="auto"/>
        <w:jc w:val="both"/>
        <w:rPr>
          <w:rFonts w:ascii="Times New Roman" w:eastAsia="Times New Roman" w:hAnsi="Times New Roman" w:cs="Times New Roman"/>
          <w:b/>
          <w:noProof/>
          <w:sz w:val="24"/>
          <w:szCs w:val="20"/>
        </w:rPr>
      </w:pPr>
      <w:r>
        <w:rPr>
          <w:rFonts w:ascii="Times New Roman" w:hAnsi="Times New Roman"/>
          <w:b/>
          <w:noProof/>
          <w:sz w:val="24"/>
          <w:szCs w:val="20"/>
        </w:rPr>
        <w:t xml:space="preserve">2.2. A megbízható mesterséges intelligenciára vonatkozó kulcsfontosságú követelmények </w:t>
      </w:r>
    </w:p>
    <w:p>
      <w:pPr>
        <w:spacing w:after="120" w:line="240" w:lineRule="auto"/>
        <w:jc w:val="both"/>
        <w:rPr>
          <w:rFonts w:ascii="Times New Roman" w:eastAsia="Times New Roman" w:hAnsi="Times New Roman" w:cs="Times New Roman"/>
          <w:noProof/>
          <w:sz w:val="24"/>
          <w:szCs w:val="20"/>
        </w:rPr>
      </w:pPr>
      <w:r>
        <w:rPr>
          <w:rFonts w:ascii="Times New Roman" w:hAnsi="Times New Roman"/>
          <w:noProof/>
          <w:sz w:val="24"/>
          <w:szCs w:val="20"/>
        </w:rPr>
        <w:t xml:space="preserve">A Bizottság az alábbi, európai értékeken alapuló </w:t>
      </w:r>
      <w:r>
        <w:rPr>
          <w:rFonts w:ascii="Times New Roman" w:hAnsi="Times New Roman"/>
          <w:b/>
          <w:noProof/>
          <w:sz w:val="24"/>
          <w:szCs w:val="20"/>
        </w:rPr>
        <w:t>megbízható mesterséges intelligenciára vonatkozó kulcsfontosságú követelményeket támogatja</w:t>
      </w:r>
      <w:r>
        <w:rPr>
          <w:rFonts w:ascii="Times New Roman" w:hAnsi="Times New Roman"/>
          <w:noProof/>
          <w:sz w:val="24"/>
          <w:szCs w:val="20"/>
        </w:rPr>
        <w:t>. Arra ösztönzi az érdekelt feleket, hogy alkalmazzák a követelményeket, és teszteljék az – azok gyakorlatba való átültetését segítő – értékelési listát annak érdekében, hogy megteremtsék a mesterséges intelligencia sikeres fejlesztéséhez és alkalmazásához szükséges megfelelő, bizalmon alapuló környezetet. A Bizottság örömmel fogadja az érdekelt felek visszajelzéseit annak felmérésére, hogy az iránymutatásokban megadott, szóban forgó értékelési lista további módosításokat igényel-e.</w:t>
      </w:r>
    </w:p>
    <w:p>
      <w:pPr>
        <w:spacing w:after="120" w:line="240" w:lineRule="auto"/>
        <w:jc w:val="both"/>
        <w:rPr>
          <w:rFonts w:ascii="Times New Roman" w:eastAsia="Times New Roman" w:hAnsi="Times New Roman" w:cs="Times New Roman"/>
          <w:noProof/>
          <w:sz w:val="24"/>
          <w:szCs w:val="20"/>
        </w:rPr>
      </w:pPr>
    </w:p>
    <w:p>
      <w:pPr>
        <w:numPr>
          <w:ilvl w:val="0"/>
          <w:numId w:val="8"/>
        </w:numPr>
        <w:spacing w:before="120" w:after="120" w:line="240" w:lineRule="auto"/>
        <w:ind w:left="851" w:hanging="491"/>
        <w:jc w:val="both"/>
        <w:rPr>
          <w:rFonts w:ascii="Times New Roman" w:hAnsi="Times New Roman" w:cs="Times New Roman"/>
          <w:bCs/>
          <w:noProof/>
          <w:sz w:val="24"/>
          <w:szCs w:val="24"/>
          <w:u w:val="single"/>
        </w:rPr>
      </w:pPr>
      <w:r>
        <w:rPr>
          <w:rFonts w:ascii="Times New Roman" w:hAnsi="Times New Roman"/>
          <w:bCs/>
          <w:noProof/>
          <w:sz w:val="24"/>
          <w:szCs w:val="24"/>
          <w:u w:val="single"/>
        </w:rPr>
        <w:t>Az emberi cselekvőképesség támogatása és emberi felügyelet</w:t>
      </w:r>
    </w:p>
    <w:p>
      <w:pPr>
        <w:pStyle w:val="Normal1"/>
        <w:widowControl w:val="0"/>
        <w:pBdr>
          <w:top w:val="nil"/>
          <w:left w:val="nil"/>
          <w:bottom w:val="nil"/>
          <w:right w:val="nil"/>
          <w:between w:val="nil"/>
        </w:pBdr>
        <w:spacing w:before="120" w:after="120" w:line="240" w:lineRule="auto"/>
        <w:ind w:left="360"/>
        <w:jc w:val="both"/>
        <w:rPr>
          <w:rFonts w:ascii="Times New Roman" w:hAnsi="Times New Roman" w:cs="Times New Roman"/>
          <w:noProof/>
          <w:sz w:val="24"/>
          <w:szCs w:val="24"/>
        </w:rPr>
      </w:pPr>
      <w:r>
        <w:rPr>
          <w:rFonts w:ascii="Times New Roman" w:hAnsi="Times New Roman"/>
          <w:noProof/>
          <w:sz w:val="24"/>
          <w:szCs w:val="24"/>
        </w:rPr>
        <w:t xml:space="preserve">Az AI-rendszereknek támogatniuk kell az egyéneket abban, hogy a céljaik elérése szempontjából jobb és megalapozottabb döntéseket hozzanak. Az emberi cselekvőképesség és az </w:t>
      </w:r>
      <w:r>
        <w:rPr>
          <w:rFonts w:ascii="Times New Roman" w:hAnsi="Times New Roman"/>
          <w:b/>
          <w:noProof/>
          <w:sz w:val="24"/>
          <w:szCs w:val="24"/>
        </w:rPr>
        <w:t>alapvető jogok</w:t>
      </w:r>
      <w:r>
        <w:rPr>
          <w:rFonts w:ascii="Times New Roman" w:hAnsi="Times New Roman"/>
          <w:noProof/>
          <w:sz w:val="24"/>
          <w:szCs w:val="24"/>
        </w:rPr>
        <w:t xml:space="preserve"> érvényesülésének támogatása révén hozzá kell járulniuk egy virágzó és méltányos társadalom megteremtéséhez, és semmiképpen sem csökkenthetik vagy korlátozhatják az emberek autonómiáját, vagy vezethetik félre az embereket. A rendszernek működés közben elsődleges szempontként kell kezelnie a </w:t>
      </w:r>
      <w:r>
        <w:rPr>
          <w:rFonts w:ascii="Times New Roman" w:hAnsi="Times New Roman"/>
          <w:b/>
          <w:noProof/>
          <w:sz w:val="24"/>
          <w:szCs w:val="24"/>
        </w:rPr>
        <w:t>felhasználó általános jóllétét</w:t>
      </w:r>
      <w:r>
        <w:rPr>
          <w:rFonts w:ascii="Times New Roman" w:hAnsi="Times New Roman"/>
          <w:noProof/>
          <w:sz w:val="24"/>
          <w:szCs w:val="24"/>
        </w:rPr>
        <w:t xml:space="preserve">. </w:t>
      </w:r>
    </w:p>
    <w:p>
      <w:pPr>
        <w:pStyle w:val="Normal1"/>
        <w:widowControl w:val="0"/>
        <w:pBdr>
          <w:top w:val="nil"/>
          <w:left w:val="nil"/>
          <w:bottom w:val="nil"/>
          <w:right w:val="nil"/>
          <w:between w:val="nil"/>
        </w:pBdr>
        <w:spacing w:before="120" w:after="120" w:line="240" w:lineRule="auto"/>
        <w:ind w:left="357"/>
        <w:jc w:val="both"/>
        <w:rPr>
          <w:rFonts w:ascii="Times New Roman" w:eastAsiaTheme="minorHAnsi" w:hAnsi="Times New Roman" w:cs="Times New Roman"/>
          <w:noProof/>
          <w:sz w:val="24"/>
          <w:szCs w:val="24"/>
        </w:rPr>
      </w:pPr>
      <w:r>
        <w:rPr>
          <w:rFonts w:ascii="Times New Roman" w:hAnsi="Times New Roman"/>
          <w:noProof/>
          <w:sz w:val="24"/>
          <w:szCs w:val="24"/>
        </w:rPr>
        <w:t xml:space="preserve">Az emberi felügyelet segít annak biztosításában, hogy az AI-rendszer ne ássa alá az emberi autonómiát, vagy fejtsen ki más káros hatást. Az adott, mesterséges intelligencián alapuló rendszer jellegének és alkalmazási területének figyelembevételével olyan megfelelő </w:t>
      </w:r>
      <w:r>
        <w:rPr>
          <w:rFonts w:ascii="Times New Roman" w:hAnsi="Times New Roman"/>
          <w:b/>
          <w:noProof/>
          <w:sz w:val="24"/>
          <w:szCs w:val="24"/>
        </w:rPr>
        <w:t>ellenőrzési intézkedéseket</w:t>
      </w:r>
      <w:r>
        <w:rPr>
          <w:rFonts w:ascii="Times New Roman" w:hAnsi="Times New Roman"/>
          <w:noProof/>
          <w:sz w:val="24"/>
          <w:szCs w:val="24"/>
        </w:rPr>
        <w:t xml:space="preserve"> kell foganatosítani, amelyek biztosítják a mesterséges intelligencián alapuló rendszerek kiigazíthatóságát, pontosságát és döntéseinek megmagyarázhatóságát</w:t>
      </w:r>
      <w:r>
        <w:rPr>
          <w:rStyle w:val="FootnoteReference"/>
          <w:rFonts w:ascii="Times New Roman" w:eastAsiaTheme="minorHAnsi" w:hAnsi="Times New Roman" w:cs="Times New Roman"/>
          <w:noProof/>
          <w:sz w:val="24"/>
          <w:szCs w:val="24"/>
          <w:lang w:val="en-GB" w:eastAsia="en-US"/>
        </w:rPr>
        <w:footnoteReference w:id="12"/>
      </w:r>
      <w:r>
        <w:rPr>
          <w:rFonts w:ascii="Times New Roman" w:hAnsi="Times New Roman"/>
          <w:noProof/>
          <w:sz w:val="24"/>
          <w:szCs w:val="24"/>
        </w:rPr>
        <w:t xml:space="preserve">. A </w:t>
      </w:r>
      <w:r>
        <w:rPr>
          <w:rFonts w:ascii="Times New Roman" w:hAnsi="Times New Roman"/>
          <w:b/>
          <w:noProof/>
          <w:sz w:val="24"/>
          <w:szCs w:val="24"/>
        </w:rPr>
        <w:t>felügyelet</w:t>
      </w:r>
      <w:r>
        <w:rPr>
          <w:rFonts w:ascii="Times New Roman" w:hAnsi="Times New Roman"/>
          <w:noProof/>
          <w:sz w:val="24"/>
          <w:szCs w:val="24"/>
        </w:rPr>
        <w:t xml:space="preserve"> például emberi beavatkozáson („human-in-the-loop”), emberi felügyeleten („human-on-the-loop”) vagy emberi vezérlésen („human-in-command”) alapuló irányítási mechanizmusok révén valósítható meg</w:t>
      </w:r>
      <w:r>
        <w:rPr>
          <w:rFonts w:ascii="Times New Roman" w:hAnsi="Times New Roman" w:cs="Times New Roman"/>
          <w:noProof/>
          <w:sz w:val="24"/>
          <w:szCs w:val="24"/>
          <w:vertAlign w:val="superscript"/>
        </w:rPr>
        <w:footnoteReference w:id="13"/>
      </w:r>
      <w:r>
        <w:rPr>
          <w:rFonts w:ascii="Times New Roman" w:hAnsi="Times New Roman"/>
          <w:noProof/>
          <w:sz w:val="24"/>
          <w:szCs w:val="24"/>
        </w:rPr>
        <w:t xml:space="preserve">. Biztosítani kell, hogy a hatóságok megbízatásukkal összhangban képesek legyenek gyakorolni felügyeleti hatáskörüket. Minden más szemponttól függetlenül minél kisebb mértékű az emberi felügyelet egy adott mesterségesintelligencia-rendszer felett, annál alaposabb tesztelésre és annál szigorúbb irányításra van szükség. </w:t>
      </w:r>
    </w:p>
    <w:p>
      <w:pPr>
        <w:pStyle w:val="Normal1"/>
        <w:widowControl w:val="0"/>
        <w:pBdr>
          <w:top w:val="nil"/>
          <w:left w:val="nil"/>
          <w:bottom w:val="nil"/>
          <w:right w:val="nil"/>
          <w:between w:val="nil"/>
        </w:pBdr>
        <w:spacing w:before="120" w:after="120" w:line="240" w:lineRule="auto"/>
        <w:ind w:left="357"/>
        <w:jc w:val="both"/>
        <w:rPr>
          <w:rFonts w:ascii="Times New Roman" w:hAnsi="Times New Roman" w:cs="Times New Roman"/>
          <w:noProof/>
          <w:sz w:val="24"/>
          <w:szCs w:val="24"/>
        </w:rPr>
      </w:pPr>
    </w:p>
    <w:p>
      <w:pPr>
        <w:numPr>
          <w:ilvl w:val="0"/>
          <w:numId w:val="8"/>
        </w:numPr>
        <w:spacing w:before="120" w:after="120" w:line="240" w:lineRule="auto"/>
        <w:ind w:left="851" w:hanging="491"/>
        <w:jc w:val="both"/>
        <w:rPr>
          <w:rFonts w:ascii="Times New Roman" w:hAnsi="Times New Roman" w:cs="Times New Roman"/>
          <w:bCs/>
          <w:noProof/>
          <w:sz w:val="24"/>
          <w:szCs w:val="24"/>
          <w:u w:val="single"/>
        </w:rPr>
      </w:pPr>
      <w:r>
        <w:rPr>
          <w:rFonts w:ascii="Times New Roman" w:hAnsi="Times New Roman"/>
          <w:bCs/>
          <w:noProof/>
          <w:sz w:val="24"/>
          <w:szCs w:val="24"/>
          <w:u w:val="single"/>
        </w:rPr>
        <w:t>Műszaki stabilitás és biztonság</w:t>
      </w:r>
    </w:p>
    <w:p>
      <w:pPr>
        <w:spacing w:before="120" w:after="120" w:line="240" w:lineRule="auto"/>
        <w:ind w:left="360"/>
        <w:jc w:val="both"/>
        <w:rPr>
          <w:rFonts w:ascii="Times New Roman" w:hAnsi="Times New Roman" w:cs="Times New Roman"/>
          <w:noProof/>
          <w:sz w:val="24"/>
          <w:szCs w:val="24"/>
        </w:rPr>
      </w:pPr>
      <w:r>
        <w:rPr>
          <w:rFonts w:ascii="Times New Roman" w:hAnsi="Times New Roman"/>
          <w:noProof/>
          <w:sz w:val="24"/>
          <w:szCs w:val="24"/>
        </w:rPr>
        <w:t xml:space="preserve">Ahhoz, hogy a mesterséges intelligencia megbízható legyen, az algoritmusoknak kellően biztonságosaknak, megbízhatóknak és stabilaknak kell lenniük ahhoz, hogy az AI-rendszer teljes életciklusa alatt megbirkózzanak a hibákkal és következetlenségekkel, valamint képesnek kell lenniük a hibás eredmények megfelelő kezelésére. Az AI-rendszereknek </w:t>
      </w:r>
      <w:r>
        <w:rPr>
          <w:rFonts w:ascii="Times New Roman" w:hAnsi="Times New Roman"/>
          <w:b/>
          <w:noProof/>
          <w:sz w:val="24"/>
          <w:szCs w:val="24"/>
        </w:rPr>
        <w:t>megbízhatóaknak</w:t>
      </w:r>
      <w:r>
        <w:rPr>
          <w:rFonts w:ascii="Times New Roman" w:hAnsi="Times New Roman"/>
          <w:noProof/>
          <w:sz w:val="24"/>
          <w:szCs w:val="24"/>
        </w:rPr>
        <w:t xml:space="preserve"> kell lenniük, elég védettnek kell lenniük ahhoz, hogy </w:t>
      </w:r>
      <w:r>
        <w:rPr>
          <w:rFonts w:ascii="Times New Roman" w:hAnsi="Times New Roman"/>
          <w:b/>
          <w:noProof/>
          <w:sz w:val="24"/>
          <w:szCs w:val="24"/>
        </w:rPr>
        <w:t>ellenálljanak</w:t>
      </w:r>
      <w:r>
        <w:rPr>
          <w:rFonts w:ascii="Times New Roman" w:hAnsi="Times New Roman"/>
          <w:noProof/>
          <w:sz w:val="24"/>
          <w:szCs w:val="24"/>
        </w:rPr>
        <w:t xml:space="preserve"> mind a nyílt, mind pedig az adatok vagy közvetlenül az algoritmusok manipulálását célzó kifinomultabb támadásoknak, és problémák esetére rendelkezniük kell egy </w:t>
      </w:r>
      <w:r>
        <w:rPr>
          <w:rFonts w:ascii="Times New Roman" w:hAnsi="Times New Roman"/>
          <w:b/>
          <w:noProof/>
          <w:sz w:val="24"/>
          <w:szCs w:val="24"/>
        </w:rPr>
        <w:t>készenléti tervvel</w:t>
      </w:r>
      <w:r>
        <w:rPr>
          <w:rFonts w:ascii="Times New Roman" w:hAnsi="Times New Roman"/>
          <w:noProof/>
          <w:sz w:val="24"/>
          <w:szCs w:val="24"/>
        </w:rPr>
        <w:t xml:space="preserve">. Döntéseiknek </w:t>
      </w:r>
      <w:r>
        <w:rPr>
          <w:rFonts w:ascii="Times New Roman" w:hAnsi="Times New Roman"/>
          <w:b/>
          <w:noProof/>
          <w:sz w:val="24"/>
          <w:szCs w:val="24"/>
        </w:rPr>
        <w:t>pontosaknak</w:t>
      </w:r>
      <w:r>
        <w:rPr>
          <w:rFonts w:ascii="Times New Roman" w:hAnsi="Times New Roman"/>
          <w:noProof/>
          <w:sz w:val="24"/>
          <w:szCs w:val="24"/>
        </w:rPr>
        <w:t xml:space="preserve"> kell lenniük, vagy legalább megfelelően jelezniük kell a döntés pontosságát, és az eredményeknek </w:t>
      </w:r>
      <w:r>
        <w:rPr>
          <w:rFonts w:ascii="Times New Roman" w:hAnsi="Times New Roman"/>
          <w:b/>
          <w:noProof/>
          <w:sz w:val="24"/>
          <w:szCs w:val="24"/>
        </w:rPr>
        <w:t>megismételhetőeknek</w:t>
      </w:r>
      <w:r>
        <w:rPr>
          <w:rFonts w:ascii="Times New Roman" w:hAnsi="Times New Roman"/>
          <w:noProof/>
          <w:sz w:val="24"/>
          <w:szCs w:val="24"/>
        </w:rPr>
        <w:t xml:space="preserve"> kell lenniük. </w:t>
      </w:r>
    </w:p>
    <w:p>
      <w:pPr>
        <w:spacing w:before="120" w:after="120" w:line="240" w:lineRule="auto"/>
        <w:ind w:left="360"/>
        <w:jc w:val="both"/>
        <w:rPr>
          <w:rFonts w:ascii="Times New Roman" w:hAnsi="Times New Roman" w:cs="Times New Roman"/>
          <w:noProof/>
          <w:sz w:val="24"/>
          <w:szCs w:val="24"/>
        </w:rPr>
      </w:pPr>
      <w:r>
        <w:rPr>
          <w:rFonts w:ascii="Times New Roman" w:hAnsi="Times New Roman"/>
          <w:noProof/>
          <w:sz w:val="24"/>
          <w:szCs w:val="24"/>
        </w:rPr>
        <w:t xml:space="preserve">Emellett az AI-rendszereknek rendelkezniük kell beépített biztonsági és védelmi mechanizmusokkal annak érdekében, hogy az érintett személyek testi és szellemi biztonságának szempontjából a rendszer által végrehajtott minden lépés </w:t>
      </w:r>
      <w:r>
        <w:rPr>
          <w:rFonts w:ascii="Times New Roman" w:hAnsi="Times New Roman"/>
          <w:b/>
          <w:noProof/>
          <w:sz w:val="24"/>
          <w:szCs w:val="24"/>
        </w:rPr>
        <w:t>igazolhatóan biztonságos</w:t>
      </w:r>
      <w:r>
        <w:rPr>
          <w:rFonts w:ascii="Times New Roman" w:hAnsi="Times New Roman"/>
          <w:noProof/>
          <w:sz w:val="24"/>
          <w:szCs w:val="24"/>
        </w:rPr>
        <w:t xml:space="preserve"> legyen. Ez magában foglalja a rendszer működése során előforduló nem kívánt következmények és hibák számának minimalizálását és – ha lehetséges – azok visszafordíthatóságának biztosítását. Emellett olyan eljárásokat kell létrehozni, melyekkel segítségével tisztázhatók és értékelhetők az AI-rendszerek használatához kötődően a különböző alkalmazási területeken felmerülő esetleges kockázatok.</w:t>
      </w:r>
    </w:p>
    <w:p>
      <w:pPr>
        <w:spacing w:before="120" w:after="120" w:line="240" w:lineRule="auto"/>
        <w:ind w:left="360"/>
        <w:jc w:val="both"/>
        <w:rPr>
          <w:rFonts w:ascii="Times New Roman" w:hAnsi="Times New Roman" w:cs="Times New Roman"/>
          <w:noProof/>
          <w:sz w:val="24"/>
          <w:szCs w:val="24"/>
        </w:rPr>
      </w:pPr>
    </w:p>
    <w:p>
      <w:pPr>
        <w:numPr>
          <w:ilvl w:val="0"/>
          <w:numId w:val="8"/>
        </w:numPr>
        <w:spacing w:before="120" w:after="120" w:line="240" w:lineRule="auto"/>
        <w:ind w:left="851" w:hanging="491"/>
        <w:jc w:val="both"/>
        <w:rPr>
          <w:rFonts w:ascii="Times New Roman" w:hAnsi="Times New Roman" w:cs="Times New Roman"/>
          <w:bCs/>
          <w:noProof/>
          <w:sz w:val="24"/>
          <w:szCs w:val="24"/>
          <w:u w:val="single"/>
        </w:rPr>
      </w:pPr>
      <w:r>
        <w:rPr>
          <w:rFonts w:ascii="Times New Roman" w:hAnsi="Times New Roman"/>
          <w:bCs/>
          <w:noProof/>
          <w:sz w:val="24"/>
          <w:szCs w:val="24"/>
          <w:u w:val="single"/>
        </w:rPr>
        <w:t>Adatvédelem és adatkezelés</w:t>
      </w:r>
    </w:p>
    <w:p>
      <w:pPr>
        <w:pStyle w:val="Normal1"/>
        <w:widowControl w:val="0"/>
        <w:pBdr>
          <w:top w:val="nil"/>
          <w:left w:val="nil"/>
          <w:bottom w:val="nil"/>
          <w:right w:val="nil"/>
          <w:between w:val="nil"/>
        </w:pBdr>
        <w:spacing w:before="120" w:after="120" w:line="240" w:lineRule="auto"/>
        <w:ind w:left="360"/>
        <w:jc w:val="both"/>
        <w:rPr>
          <w:rFonts w:ascii="Times New Roman" w:eastAsiaTheme="minorHAnsi" w:hAnsi="Times New Roman" w:cs="Times New Roman"/>
          <w:noProof/>
          <w:sz w:val="24"/>
          <w:szCs w:val="24"/>
        </w:rPr>
      </w:pPr>
      <w:r>
        <w:rPr>
          <w:rFonts w:ascii="Times New Roman" w:hAnsi="Times New Roman"/>
          <w:noProof/>
          <w:sz w:val="24"/>
          <w:szCs w:val="24"/>
        </w:rPr>
        <w:t xml:space="preserve">A magánélet és az </w:t>
      </w:r>
      <w:r>
        <w:rPr>
          <w:rFonts w:ascii="Times New Roman" w:hAnsi="Times New Roman"/>
          <w:b/>
          <w:noProof/>
          <w:sz w:val="24"/>
          <w:szCs w:val="24"/>
        </w:rPr>
        <w:t>adatok védelmét</w:t>
      </w:r>
      <w:r>
        <w:rPr>
          <w:rFonts w:ascii="Times New Roman" w:hAnsi="Times New Roman"/>
          <w:noProof/>
          <w:sz w:val="24"/>
          <w:szCs w:val="24"/>
        </w:rPr>
        <w:t xml:space="preserve"> az AI-rendszer életciklusának </w:t>
      </w:r>
      <w:r>
        <w:rPr>
          <w:rFonts w:ascii="Times New Roman" w:hAnsi="Times New Roman"/>
          <w:b/>
          <w:noProof/>
          <w:sz w:val="24"/>
          <w:szCs w:val="24"/>
        </w:rPr>
        <w:t>valamennyi szakaszában</w:t>
      </w:r>
      <w:r>
        <w:rPr>
          <w:rFonts w:ascii="Times New Roman" w:hAnsi="Times New Roman"/>
          <w:noProof/>
          <w:sz w:val="24"/>
          <w:szCs w:val="24"/>
        </w:rPr>
        <w:t xml:space="preserve"> biztosítani kell. Az emberi viselkedésre vonatkozó digitális adatok lehetővé tehetik az AI-rendszerek számára nemcsak az emberek preferenciáinak, életkorának és nemének visszafejtését, hanem akár szexuális irányultságuk és vallási vagy politikai nézeteik megállapítását is. Annak érdekében, hogy az emberek megbízzanak az adatfeldolgozásban, biztosítani kell, hogy teljes mértékben rendelkezhessenek a saját adataik felett, valamint hogy adataik ne legyenek felhasználhatóak velük szembeni károkozásra vagy hátrányos megkülönböztetésre.</w:t>
      </w:r>
    </w:p>
    <w:p>
      <w:pPr>
        <w:pStyle w:val="Normal1"/>
        <w:widowControl w:val="0"/>
        <w:pBdr>
          <w:top w:val="nil"/>
          <w:left w:val="nil"/>
          <w:bottom w:val="nil"/>
          <w:right w:val="nil"/>
          <w:between w:val="nil"/>
        </w:pBdr>
        <w:spacing w:before="120" w:after="120" w:line="240" w:lineRule="auto"/>
        <w:ind w:left="360"/>
        <w:jc w:val="both"/>
        <w:rPr>
          <w:rFonts w:ascii="Times New Roman" w:eastAsiaTheme="minorHAnsi" w:hAnsi="Times New Roman" w:cs="Times New Roman"/>
          <w:noProof/>
          <w:sz w:val="24"/>
          <w:szCs w:val="24"/>
        </w:rPr>
      </w:pPr>
      <w:r>
        <w:rPr>
          <w:rFonts w:ascii="Times New Roman" w:hAnsi="Times New Roman"/>
          <w:noProof/>
          <w:sz w:val="24"/>
          <w:szCs w:val="24"/>
        </w:rPr>
        <w:t xml:space="preserve">A magánélet és a személyes adatok védelme mellett gondoskodni kell arról is, hogy teljesüljenek az AI-rendszerek magas színvonalú működését lehetővé tevő feltételek. A felhasznált adatkészletek minősége rendkívül fontos az AI-rendszerek teljesítménye szempontjából. Előfordulhat, hogy az összegyűjtött adatok társadalmi előítéleteket tükröznek, hibásak, pontatlanok vagy tévesek. Ezeket a problémákat még azelőtt el kell hárítani, hogy megkezdődne az AI-rendszer tanítása az adott adatkészlet alapján.  Emellett biztosítani kell az adatok </w:t>
      </w:r>
      <w:r>
        <w:rPr>
          <w:rFonts w:ascii="Times New Roman" w:hAnsi="Times New Roman"/>
          <w:b/>
          <w:noProof/>
          <w:sz w:val="24"/>
          <w:szCs w:val="24"/>
        </w:rPr>
        <w:t>sértetlenségét</w:t>
      </w:r>
      <w:r>
        <w:rPr>
          <w:rFonts w:ascii="Times New Roman" w:hAnsi="Times New Roman"/>
          <w:noProof/>
          <w:sz w:val="24"/>
          <w:szCs w:val="24"/>
        </w:rPr>
        <w:t xml:space="preserve"> is. A használt folyamatokat és adatkészleteket minden lépésnél – például tervezéskor, tanításkor, teszteléskor és bevezetéskor – tesztelni és dokumentálni kell. Ez azokra az AI-rendszerekre is vonatkozik, amelyeket nem házon belül fejlesztettek ki, hanem máshonnan szereztek be. Ami pedig az adatokhoz való </w:t>
      </w:r>
      <w:r>
        <w:rPr>
          <w:rFonts w:ascii="Times New Roman" w:hAnsi="Times New Roman"/>
          <w:b/>
          <w:noProof/>
          <w:sz w:val="24"/>
          <w:szCs w:val="24"/>
        </w:rPr>
        <w:t>hozzáférést</w:t>
      </w:r>
      <w:r>
        <w:rPr>
          <w:rFonts w:ascii="Times New Roman" w:hAnsi="Times New Roman"/>
          <w:noProof/>
          <w:sz w:val="24"/>
          <w:szCs w:val="24"/>
        </w:rPr>
        <w:t xml:space="preserve"> illeti, azt megfelelően irányítani és ellenőrizni kell.</w:t>
      </w:r>
    </w:p>
    <w:p>
      <w:pPr>
        <w:pStyle w:val="Normal1"/>
        <w:widowControl w:val="0"/>
        <w:pBdr>
          <w:top w:val="nil"/>
          <w:left w:val="nil"/>
          <w:bottom w:val="nil"/>
          <w:right w:val="nil"/>
          <w:between w:val="nil"/>
        </w:pBdr>
        <w:spacing w:before="120" w:after="120" w:line="240" w:lineRule="auto"/>
        <w:ind w:left="360"/>
        <w:jc w:val="both"/>
        <w:rPr>
          <w:rFonts w:ascii="Times New Roman" w:hAnsi="Times New Roman" w:cs="Times New Roman"/>
          <w:noProof/>
          <w:sz w:val="24"/>
          <w:szCs w:val="24"/>
          <w:lang w:eastAsia="en-US"/>
        </w:rPr>
      </w:pPr>
    </w:p>
    <w:p>
      <w:pPr>
        <w:numPr>
          <w:ilvl w:val="0"/>
          <w:numId w:val="8"/>
        </w:numPr>
        <w:spacing w:before="120" w:after="120" w:line="240" w:lineRule="auto"/>
        <w:ind w:left="851" w:hanging="491"/>
        <w:jc w:val="both"/>
        <w:rPr>
          <w:rFonts w:ascii="Times New Roman" w:hAnsi="Times New Roman" w:cs="Times New Roman"/>
          <w:bCs/>
          <w:noProof/>
          <w:sz w:val="24"/>
          <w:szCs w:val="24"/>
          <w:u w:val="single"/>
        </w:rPr>
      </w:pPr>
      <w:r>
        <w:rPr>
          <w:rFonts w:ascii="Times New Roman" w:hAnsi="Times New Roman"/>
          <w:bCs/>
          <w:noProof/>
          <w:sz w:val="24"/>
          <w:szCs w:val="24"/>
          <w:u w:val="single"/>
        </w:rPr>
        <w:t xml:space="preserve">Átláthatóság </w:t>
      </w:r>
    </w:p>
    <w:p>
      <w:pPr>
        <w:spacing w:before="120" w:after="120" w:line="240" w:lineRule="auto"/>
        <w:ind w:left="360"/>
        <w:jc w:val="both"/>
        <w:rPr>
          <w:rFonts w:ascii="Times New Roman" w:hAnsi="Times New Roman" w:cs="Times New Roman"/>
          <w:noProof/>
          <w:sz w:val="24"/>
          <w:szCs w:val="24"/>
        </w:rPr>
      </w:pPr>
      <w:r>
        <w:rPr>
          <w:rFonts w:ascii="Times New Roman" w:hAnsi="Times New Roman"/>
          <w:noProof/>
          <w:sz w:val="24"/>
          <w:szCs w:val="24"/>
        </w:rPr>
        <w:t xml:space="preserve">Biztosítani kell az AI-rendszerek </w:t>
      </w:r>
      <w:r>
        <w:rPr>
          <w:rFonts w:ascii="Times New Roman" w:hAnsi="Times New Roman"/>
          <w:b/>
          <w:noProof/>
          <w:sz w:val="24"/>
          <w:szCs w:val="24"/>
        </w:rPr>
        <w:t>nyomonkövethetőségét</w:t>
      </w:r>
      <w:r>
        <w:rPr>
          <w:rFonts w:ascii="Times New Roman" w:hAnsi="Times New Roman"/>
          <w:noProof/>
          <w:sz w:val="24"/>
          <w:szCs w:val="24"/>
        </w:rPr>
        <w:t xml:space="preserve">: fontos naplózni és dokumentálni mind a rendszerek által hozott döntéseket, mind pedig a döntésekhez vezető teljes folyamatot (beleértve az adatgyűjtés és címkézés, valamint a használt algoritmus leírását). Ehhez kapcsolódóan a lehető legnagyobb mértékben gondoskodni kell az érintett személyekhez igazított algoritmikus döntéshozatali folyamat </w:t>
      </w:r>
      <w:r>
        <w:rPr>
          <w:rFonts w:ascii="Times New Roman" w:hAnsi="Times New Roman"/>
          <w:b/>
          <w:noProof/>
          <w:sz w:val="24"/>
          <w:szCs w:val="24"/>
        </w:rPr>
        <w:t>megmagyarázhatóságáról</w:t>
      </w:r>
      <w:r>
        <w:rPr>
          <w:rFonts w:ascii="Times New Roman" w:hAnsi="Times New Roman"/>
          <w:noProof/>
          <w:sz w:val="24"/>
          <w:szCs w:val="24"/>
        </w:rPr>
        <w:t xml:space="preserve">. Folytatni kell továbbá az megmagyarázhatósági mechanizmusok kifejlesztésére irányuló, folyamatban lévő kutatásokat. Ezenkívül rendelkezésre kell állnia információnak a rendszer tervezése során meghozott döntésekről, a rendszer bevezetésének létjogosultságáról, valamint arról, hogy egy adott AI-rendszer milyen mértékben befolyásolja és alakítja át a szervezeti döntéshozatali eljárást (ami nem csak az adatok és a rendszer, hanem az üzleti modell átláthatóságát is biztosítja). </w:t>
      </w:r>
    </w:p>
    <w:p>
      <w:pPr>
        <w:spacing w:before="120" w:after="120" w:line="240" w:lineRule="auto"/>
        <w:ind w:left="360"/>
        <w:jc w:val="both"/>
        <w:rPr>
          <w:rFonts w:ascii="Times New Roman" w:hAnsi="Times New Roman" w:cs="Times New Roman"/>
          <w:noProof/>
          <w:sz w:val="24"/>
          <w:szCs w:val="24"/>
        </w:rPr>
      </w:pPr>
      <w:r>
        <w:rPr>
          <w:rFonts w:ascii="Times New Roman" w:hAnsi="Times New Roman"/>
          <w:noProof/>
          <w:sz w:val="24"/>
          <w:szCs w:val="24"/>
        </w:rPr>
        <w:t xml:space="preserve">Végül fontos, hogy – az adott felhasználási esetet figyelembe véve – megfelelően </w:t>
      </w:r>
      <w:r>
        <w:rPr>
          <w:rFonts w:ascii="Times New Roman" w:hAnsi="Times New Roman"/>
          <w:b/>
          <w:noProof/>
          <w:sz w:val="24"/>
          <w:szCs w:val="24"/>
        </w:rPr>
        <w:t>tájékoztassák</w:t>
      </w:r>
      <w:r>
        <w:rPr>
          <w:rFonts w:ascii="Times New Roman" w:hAnsi="Times New Roman"/>
          <w:noProof/>
          <w:sz w:val="24"/>
          <w:szCs w:val="24"/>
        </w:rPr>
        <w:t xml:space="preserve"> a különböző érdekelt feleket az AI-rendszer képességeiről és korlátairól. Ezen túlmenően az AI-rendszereket azonosíthatóvá kell tenni oly módón, hogy a felhasználók felismerjék, hogy egy AI-rendszerrel kommunikálnak, és értesüljenek arról, hogy mely személyek felelősek a rendszerért. </w:t>
      </w:r>
    </w:p>
    <w:p>
      <w:pPr>
        <w:spacing w:after="0" w:line="240" w:lineRule="auto"/>
        <w:ind w:left="513"/>
        <w:jc w:val="both"/>
        <w:rPr>
          <w:rFonts w:ascii="Times New Roman" w:hAnsi="Times New Roman" w:cs="Times New Roman"/>
          <w:noProof/>
          <w:sz w:val="24"/>
          <w:szCs w:val="24"/>
        </w:rPr>
      </w:pPr>
    </w:p>
    <w:p>
      <w:pPr>
        <w:numPr>
          <w:ilvl w:val="0"/>
          <w:numId w:val="8"/>
        </w:numPr>
        <w:spacing w:before="120" w:after="120" w:line="240" w:lineRule="auto"/>
        <w:ind w:left="851" w:hanging="491"/>
        <w:jc w:val="both"/>
        <w:rPr>
          <w:rFonts w:ascii="Times New Roman" w:hAnsi="Times New Roman" w:cs="Times New Roman"/>
          <w:bCs/>
          <w:noProof/>
          <w:sz w:val="24"/>
          <w:szCs w:val="24"/>
          <w:u w:val="single"/>
        </w:rPr>
      </w:pPr>
      <w:r>
        <w:rPr>
          <w:rFonts w:ascii="Times New Roman" w:hAnsi="Times New Roman"/>
          <w:bCs/>
          <w:noProof/>
          <w:sz w:val="24"/>
          <w:szCs w:val="24"/>
          <w:u w:val="single"/>
        </w:rPr>
        <w:t>Sokféleség, megkülönböztetésmentesség és méltányosság;</w:t>
      </w:r>
    </w:p>
    <w:p>
      <w:pPr>
        <w:pStyle w:val="Normal1"/>
        <w:widowControl w:val="0"/>
        <w:pBdr>
          <w:top w:val="nil"/>
          <w:left w:val="nil"/>
          <w:bottom w:val="nil"/>
          <w:right w:val="nil"/>
          <w:between w:val="nil"/>
        </w:pBdr>
        <w:spacing w:before="120" w:after="120" w:line="240" w:lineRule="auto"/>
        <w:ind w:left="360"/>
        <w:jc w:val="both"/>
        <w:rPr>
          <w:rFonts w:ascii="Times New Roman" w:hAnsi="Times New Roman" w:cs="Times New Roman"/>
          <w:noProof/>
          <w:sz w:val="24"/>
          <w:szCs w:val="24"/>
        </w:rPr>
      </w:pPr>
      <w:r>
        <w:rPr>
          <w:rFonts w:ascii="Times New Roman" w:hAnsi="Times New Roman"/>
          <w:noProof/>
          <w:sz w:val="24"/>
          <w:szCs w:val="24"/>
        </w:rPr>
        <w:t>Az AI-rendszerek által (mind a tanulás, mind az üzemelés alatt) használt adatkészletek minőségére negatív hatással lehet a történeti adatok miatti nem szándékos torzulás, az adatok hiányossága, valamint a rossz adatkezelési modellek használata. Az ilyen jellegű torzulás közvetlen vagy közvetett hátrányos megkülönböztetéshez vezethet. Szintén káros hatása lehet a (fogyasztói) szokások szándékos kiaknázásának és a tisztességtelen versenynek. Ezenkívül a torzulás negatív hatással lehet az AI-rendszerek fejlesztése során alkalmazott – például az algoritmusok programkódjának megírásához használt – módszerekre is. Az ilyen problémákat már a rendszer fejlesztésének kezdetétől fogva kezelni kell.</w:t>
      </w:r>
    </w:p>
    <w:p>
      <w:pPr>
        <w:pStyle w:val="Normal1"/>
        <w:widowControl w:val="0"/>
        <w:pBdr>
          <w:top w:val="nil"/>
          <w:left w:val="nil"/>
          <w:bottom w:val="nil"/>
          <w:right w:val="nil"/>
          <w:between w:val="nil"/>
        </w:pBdr>
        <w:spacing w:before="120" w:after="120" w:line="240" w:lineRule="auto"/>
        <w:ind w:left="360"/>
        <w:jc w:val="both"/>
        <w:rPr>
          <w:rFonts w:ascii="Times New Roman" w:hAnsi="Times New Roman" w:cs="Times New Roman"/>
          <w:noProof/>
          <w:sz w:val="24"/>
          <w:szCs w:val="24"/>
        </w:rPr>
      </w:pPr>
      <w:r>
        <w:rPr>
          <w:rFonts w:ascii="Times New Roman" w:hAnsi="Times New Roman"/>
          <w:noProof/>
          <w:sz w:val="24"/>
          <w:szCs w:val="24"/>
        </w:rPr>
        <w:t xml:space="preserve">A megoldáshoz hozzájárulhat a </w:t>
      </w:r>
      <w:r>
        <w:rPr>
          <w:rFonts w:ascii="Times New Roman" w:hAnsi="Times New Roman"/>
          <w:b/>
          <w:noProof/>
          <w:sz w:val="24"/>
          <w:szCs w:val="24"/>
        </w:rPr>
        <w:t>sokszínű fejlesztői csapatok</w:t>
      </w:r>
      <w:r>
        <w:rPr>
          <w:rFonts w:ascii="Times New Roman" w:hAnsi="Times New Roman"/>
          <w:noProof/>
          <w:sz w:val="24"/>
          <w:szCs w:val="24"/>
        </w:rPr>
        <w:t xml:space="preserve"> létrehozása, valamint olyan mechanizmusok megteremtése, melyek kimondottan a polgárok </w:t>
      </w:r>
      <w:r>
        <w:rPr>
          <w:rFonts w:ascii="Times New Roman" w:hAnsi="Times New Roman"/>
          <w:b/>
          <w:noProof/>
          <w:sz w:val="24"/>
          <w:szCs w:val="24"/>
        </w:rPr>
        <w:t>részvételét</w:t>
      </w:r>
      <w:r>
        <w:rPr>
          <w:rFonts w:ascii="Times New Roman" w:hAnsi="Times New Roman"/>
          <w:noProof/>
          <w:sz w:val="24"/>
          <w:szCs w:val="24"/>
        </w:rPr>
        <w:t xml:space="preserve"> hivatottak biztosítani a mesterséges intelligencia fejlesztésében. </w:t>
      </w:r>
      <w:r>
        <w:rPr>
          <w:rFonts w:ascii="Times New Roman" w:hAnsi="Times New Roman"/>
          <w:noProof/>
        </w:rPr>
        <w:t>Ajánlott továbbá konzultálni azokkal az érdekelt felekkel, akikre a rendszer az életciklusa során közvetlen vagy közvetett hatással lehet.</w:t>
      </w:r>
      <w:r>
        <w:rPr>
          <w:rFonts w:ascii="Times New Roman" w:hAnsi="Times New Roman"/>
          <w:noProof/>
          <w:sz w:val="20"/>
          <w:szCs w:val="20"/>
        </w:rPr>
        <w:t xml:space="preserve"> </w:t>
      </w:r>
      <w:r>
        <w:rPr>
          <w:rFonts w:ascii="Times New Roman" w:hAnsi="Times New Roman"/>
          <w:noProof/>
          <w:sz w:val="24"/>
          <w:szCs w:val="24"/>
        </w:rPr>
        <w:t xml:space="preserve">Az AI-rendszereknek az emberi képességek, készségek és szükségletek teljes skáláját figyelembe kell venniük, és egyetemes tervezési megközelítések alkalmazásával törekedniük kell a rendszerekhez való egyenlő hozzáférés biztosítására a fogyatékossággal élők számára. </w:t>
      </w:r>
    </w:p>
    <w:p>
      <w:pPr>
        <w:pStyle w:val="Normal1"/>
        <w:widowControl w:val="0"/>
        <w:pBdr>
          <w:top w:val="nil"/>
          <w:left w:val="nil"/>
          <w:bottom w:val="nil"/>
          <w:right w:val="nil"/>
          <w:between w:val="nil"/>
        </w:pBdr>
        <w:spacing w:before="120" w:after="120" w:line="240" w:lineRule="auto"/>
        <w:ind w:left="357"/>
        <w:jc w:val="both"/>
        <w:rPr>
          <w:rFonts w:ascii="Times New Roman" w:hAnsi="Times New Roman" w:cs="Times New Roman"/>
          <w:noProof/>
          <w:sz w:val="24"/>
          <w:szCs w:val="24"/>
        </w:rPr>
      </w:pPr>
    </w:p>
    <w:p>
      <w:pPr>
        <w:numPr>
          <w:ilvl w:val="0"/>
          <w:numId w:val="8"/>
        </w:numPr>
        <w:spacing w:before="120" w:after="120" w:line="240" w:lineRule="auto"/>
        <w:ind w:left="851" w:hanging="491"/>
        <w:jc w:val="both"/>
        <w:rPr>
          <w:rFonts w:ascii="Times New Roman" w:hAnsi="Times New Roman" w:cs="Times New Roman"/>
          <w:bCs/>
          <w:noProof/>
          <w:sz w:val="24"/>
          <w:szCs w:val="24"/>
          <w:u w:val="single"/>
        </w:rPr>
      </w:pPr>
      <w:r>
        <w:rPr>
          <w:rFonts w:ascii="Times New Roman" w:hAnsi="Times New Roman"/>
          <w:bCs/>
          <w:noProof/>
          <w:sz w:val="24"/>
          <w:szCs w:val="24"/>
          <w:u w:val="single"/>
        </w:rPr>
        <w:t>Társadalmi és környezeti jólét</w:t>
      </w:r>
    </w:p>
    <w:p>
      <w:pPr>
        <w:pStyle w:val="Normal1"/>
        <w:widowControl w:val="0"/>
        <w:pBdr>
          <w:top w:val="nil"/>
          <w:left w:val="nil"/>
          <w:bottom w:val="nil"/>
          <w:right w:val="nil"/>
          <w:between w:val="nil"/>
        </w:pBdr>
        <w:spacing w:before="120" w:after="120" w:line="240" w:lineRule="auto"/>
        <w:ind w:left="360"/>
        <w:jc w:val="both"/>
        <w:rPr>
          <w:rFonts w:ascii="Times New Roman" w:hAnsi="Times New Roman" w:cs="Times New Roman"/>
          <w:noProof/>
          <w:sz w:val="24"/>
          <w:szCs w:val="24"/>
        </w:rPr>
      </w:pPr>
      <w:r>
        <w:rPr>
          <w:rFonts w:ascii="Times New Roman" w:hAnsi="Times New Roman"/>
          <w:noProof/>
          <w:sz w:val="24"/>
          <w:szCs w:val="24"/>
        </w:rPr>
        <w:t xml:space="preserve">Ahhoz, hogy a mesterséges intelligencia megbízható legyen, figyelembe kell venni a </w:t>
      </w:r>
      <w:r>
        <w:rPr>
          <w:rFonts w:ascii="Times New Roman" w:hAnsi="Times New Roman"/>
          <w:b/>
          <w:noProof/>
          <w:sz w:val="24"/>
          <w:szCs w:val="24"/>
        </w:rPr>
        <w:t>környezetre és más érző lényekre</w:t>
      </w:r>
      <w:r>
        <w:rPr>
          <w:rFonts w:ascii="Times New Roman" w:hAnsi="Times New Roman"/>
          <w:noProof/>
          <w:sz w:val="24"/>
          <w:szCs w:val="24"/>
        </w:rPr>
        <w:t xml:space="preserve"> gyakorolt hatását. Ideális esetben minden embert – beleértve a jövő generációit is – megilleti, hogy élvezze a biológiai sokféleség és a lakható környezet előnyeit. Ezért ösztönözni kell az AI-rendszerek fenntartható és </w:t>
      </w:r>
      <w:r>
        <w:rPr>
          <w:rFonts w:ascii="Times New Roman" w:hAnsi="Times New Roman"/>
          <w:b/>
          <w:noProof/>
          <w:sz w:val="24"/>
          <w:szCs w:val="24"/>
        </w:rPr>
        <w:t>ökológiailag felelősségteljes</w:t>
      </w:r>
      <w:r>
        <w:rPr>
          <w:rFonts w:ascii="Times New Roman" w:hAnsi="Times New Roman"/>
          <w:noProof/>
          <w:sz w:val="24"/>
          <w:szCs w:val="24"/>
        </w:rPr>
        <w:t xml:space="preserve"> üzemeltetését. Ugyanez vonatkozik a globális aggodalomra okot adó területekre – például az ENSZ fenntartható fejlődési céljaira – irányuló AI-megoldásokra. </w:t>
      </w:r>
    </w:p>
    <w:p>
      <w:pPr>
        <w:pStyle w:val="Normal1"/>
        <w:widowControl w:val="0"/>
        <w:pBdr>
          <w:top w:val="nil"/>
          <w:left w:val="nil"/>
          <w:bottom w:val="nil"/>
          <w:right w:val="nil"/>
          <w:between w:val="nil"/>
        </w:pBdr>
        <w:spacing w:before="120" w:after="120" w:line="240" w:lineRule="auto"/>
        <w:ind w:left="360"/>
        <w:jc w:val="both"/>
        <w:rPr>
          <w:rFonts w:ascii="Times New Roman" w:hAnsi="Times New Roman" w:cs="Times New Roman"/>
          <w:noProof/>
          <w:sz w:val="24"/>
          <w:szCs w:val="24"/>
        </w:rPr>
      </w:pPr>
      <w:r>
        <w:rPr>
          <w:rFonts w:ascii="Times New Roman" w:hAnsi="Times New Roman"/>
          <w:noProof/>
          <w:sz w:val="24"/>
          <w:szCs w:val="24"/>
        </w:rPr>
        <w:t xml:space="preserve">Emellett az AI-rendszerek hatását nemcsak az egyén szempontjából, hanem a </w:t>
      </w:r>
      <w:r>
        <w:rPr>
          <w:rFonts w:ascii="Times New Roman" w:hAnsi="Times New Roman"/>
          <w:b/>
          <w:noProof/>
          <w:sz w:val="24"/>
          <w:szCs w:val="24"/>
        </w:rPr>
        <w:t>társadalom egésze</w:t>
      </w:r>
      <w:r>
        <w:rPr>
          <w:rFonts w:ascii="Times New Roman" w:hAnsi="Times New Roman"/>
          <w:noProof/>
          <w:sz w:val="24"/>
          <w:szCs w:val="24"/>
        </w:rPr>
        <w:t xml:space="preserve"> szempontjából is meg kell vizsgálni. Az AI-rendszerek használatát különös alapossággal kell megfontolni a demokratikus folyamatokat érintő – például véleményformálással, politikai döntéshozatallal vagy választásokkal kapcsolatos – esetekben. Figyelembe kell venni továbbá a mesterséges intelligencia </w:t>
      </w:r>
      <w:r>
        <w:rPr>
          <w:rFonts w:ascii="Times New Roman" w:hAnsi="Times New Roman"/>
          <w:b/>
          <w:noProof/>
          <w:sz w:val="24"/>
          <w:szCs w:val="24"/>
        </w:rPr>
        <w:t>szociális hatását</w:t>
      </w:r>
      <w:r>
        <w:rPr>
          <w:rFonts w:ascii="Times New Roman" w:hAnsi="Times New Roman"/>
          <w:noProof/>
          <w:sz w:val="24"/>
          <w:szCs w:val="24"/>
        </w:rPr>
        <w:t xml:space="preserve"> is. Bár az AI-rendszerek felhasználhatók a szociális készségek fejlesztésére, e készségek romlásához is hozzájárulhatnak.</w:t>
      </w:r>
    </w:p>
    <w:p>
      <w:pPr>
        <w:pStyle w:val="Normal1"/>
        <w:widowControl w:val="0"/>
        <w:pBdr>
          <w:top w:val="nil"/>
          <w:left w:val="nil"/>
          <w:bottom w:val="nil"/>
          <w:right w:val="nil"/>
          <w:between w:val="nil"/>
        </w:pBdr>
        <w:spacing w:before="120" w:after="120" w:line="240" w:lineRule="auto"/>
        <w:ind w:left="360"/>
        <w:jc w:val="both"/>
        <w:rPr>
          <w:rFonts w:ascii="Times New Roman" w:hAnsi="Times New Roman" w:cs="Times New Roman"/>
          <w:noProof/>
          <w:sz w:val="24"/>
          <w:szCs w:val="24"/>
        </w:rPr>
      </w:pPr>
    </w:p>
    <w:p>
      <w:pPr>
        <w:numPr>
          <w:ilvl w:val="0"/>
          <w:numId w:val="8"/>
        </w:numPr>
        <w:spacing w:before="120" w:after="120" w:line="240" w:lineRule="auto"/>
        <w:ind w:left="851" w:hanging="491"/>
        <w:jc w:val="both"/>
        <w:rPr>
          <w:rFonts w:ascii="Times New Roman" w:hAnsi="Times New Roman" w:cs="Times New Roman"/>
          <w:bCs/>
          <w:noProof/>
          <w:sz w:val="24"/>
          <w:szCs w:val="24"/>
          <w:u w:val="single"/>
        </w:rPr>
      </w:pPr>
      <w:r>
        <w:rPr>
          <w:rFonts w:ascii="Times New Roman" w:hAnsi="Times New Roman"/>
          <w:bCs/>
          <w:noProof/>
          <w:sz w:val="24"/>
          <w:szCs w:val="24"/>
          <w:u w:val="single"/>
        </w:rPr>
        <w:t>Elszámoltathatóság</w:t>
      </w:r>
    </w:p>
    <w:p>
      <w:pPr>
        <w:pStyle w:val="Normal1"/>
        <w:widowControl w:val="0"/>
        <w:pBdr>
          <w:top w:val="nil"/>
          <w:left w:val="nil"/>
          <w:bottom w:val="nil"/>
          <w:right w:val="nil"/>
          <w:between w:val="nil"/>
        </w:pBdr>
        <w:spacing w:before="120" w:after="120" w:line="240" w:lineRule="auto"/>
        <w:ind w:left="360"/>
        <w:jc w:val="both"/>
        <w:rPr>
          <w:rFonts w:ascii="Times New Roman" w:hAnsi="Times New Roman" w:cs="Times New Roman"/>
          <w:bCs/>
          <w:noProof/>
          <w:sz w:val="24"/>
          <w:szCs w:val="24"/>
        </w:rPr>
      </w:pPr>
      <w:r>
        <w:rPr>
          <w:rFonts w:ascii="Times New Roman" w:hAnsi="Times New Roman"/>
          <w:bCs/>
          <w:noProof/>
          <w:sz w:val="24"/>
          <w:szCs w:val="24"/>
        </w:rPr>
        <w:t xml:space="preserve">Létre kell hozni olyan mechanizmusokat, amelyek rendezik az AI-rendszerekre és az általuk generált eredményekre vonatkozó, a felelősségvállalással és elszámoltathatósággal kapcsolatban – az adott rendszer bevezetése előtt és után – felmerülő kérdéseket. E tekintetben kulcsfontosságú az AI-rendszerek </w:t>
      </w:r>
      <w:r>
        <w:rPr>
          <w:rFonts w:ascii="Times New Roman" w:hAnsi="Times New Roman"/>
          <w:b/>
          <w:bCs/>
          <w:noProof/>
          <w:sz w:val="24"/>
          <w:szCs w:val="24"/>
        </w:rPr>
        <w:t>ellenőrizhetősége</w:t>
      </w:r>
      <w:r>
        <w:rPr>
          <w:rFonts w:ascii="Times New Roman" w:hAnsi="Times New Roman"/>
          <w:bCs/>
          <w:noProof/>
          <w:sz w:val="24"/>
          <w:szCs w:val="24"/>
        </w:rPr>
        <w:t xml:space="preserve">, mivel az AI-rendszerek belső és külső ellenőrök általi értékelése és az ebből születő értékelési jelentések rendelkezésre állása nagy mértékben hozzájárul a technológia megbízhatóságának igazolásához. A külső ellenőrzést különösen az alapvető jogokat érintő – köztük a biztonsági szempontból kritikus – alkalmazások esetében kell biztosítani. </w:t>
      </w:r>
    </w:p>
    <w:p>
      <w:pPr>
        <w:pStyle w:val="Normal1"/>
        <w:widowControl w:val="0"/>
        <w:pBdr>
          <w:top w:val="nil"/>
          <w:left w:val="nil"/>
          <w:bottom w:val="nil"/>
          <w:right w:val="nil"/>
          <w:between w:val="nil"/>
        </w:pBdr>
        <w:spacing w:before="120" w:after="120" w:line="240" w:lineRule="auto"/>
        <w:ind w:left="360"/>
        <w:jc w:val="both"/>
        <w:rPr>
          <w:rFonts w:ascii="Times New Roman" w:hAnsi="Times New Roman" w:cs="Times New Roman"/>
          <w:bCs/>
          <w:noProof/>
          <w:sz w:val="24"/>
          <w:szCs w:val="24"/>
        </w:rPr>
      </w:pPr>
      <w:r>
        <w:rPr>
          <w:rFonts w:ascii="Times New Roman" w:hAnsi="Times New Roman"/>
          <w:bCs/>
          <w:noProof/>
          <w:sz w:val="24"/>
          <w:szCs w:val="24"/>
        </w:rPr>
        <w:t xml:space="preserve">Az AI-rendszerek </w:t>
      </w:r>
      <w:r>
        <w:rPr>
          <w:rFonts w:ascii="Times New Roman" w:hAnsi="Times New Roman"/>
          <w:b/>
          <w:bCs/>
          <w:noProof/>
          <w:sz w:val="24"/>
          <w:szCs w:val="24"/>
        </w:rPr>
        <w:t>lehetséges negatív hatásait</w:t>
      </w:r>
      <w:r>
        <w:rPr>
          <w:rFonts w:ascii="Times New Roman" w:hAnsi="Times New Roman"/>
          <w:bCs/>
          <w:noProof/>
          <w:sz w:val="24"/>
          <w:szCs w:val="24"/>
        </w:rPr>
        <w:t xml:space="preserve"> azonosítani, értékelni, dokumentálni és minimalizálni kell. Ez a folyamat hatásvizsgálatok használatával megkönnyíthető. A hatásvizsgálatok mélységének arányosnak kell lennie az adott AI-rendszer jelentette kockázat mértékével. A különböző követelményeknek való megfelelés miatti </w:t>
      </w:r>
      <w:r>
        <w:rPr>
          <w:rFonts w:ascii="Times New Roman" w:hAnsi="Times New Roman"/>
          <w:b/>
          <w:bCs/>
          <w:noProof/>
          <w:sz w:val="24"/>
          <w:szCs w:val="24"/>
        </w:rPr>
        <w:t>kompromisszumokat</w:t>
      </w:r>
      <w:r>
        <w:rPr>
          <w:rFonts w:ascii="Times New Roman" w:hAnsi="Times New Roman"/>
          <w:bCs/>
          <w:noProof/>
          <w:sz w:val="24"/>
          <w:szCs w:val="24"/>
        </w:rPr>
        <w:t xml:space="preserve"> – melyek gyakran elkerülhetetlenek – észszerűen és módszeresen kell meghozni, és azokat mindig figyelembe kell venni. Végezetül arra az esetre, ha az AI-rendszer méltánytalan negatív hatás fejt ki, gondoskodni kell olyan mechanizmusokról, amelyek lehetőséget biztosítanak a </w:t>
      </w:r>
      <w:r>
        <w:rPr>
          <w:rFonts w:ascii="Times New Roman" w:hAnsi="Times New Roman"/>
          <w:b/>
          <w:bCs/>
          <w:noProof/>
          <w:sz w:val="24"/>
          <w:szCs w:val="24"/>
        </w:rPr>
        <w:t>megfelelő jogorvoslatra</w:t>
      </w:r>
      <w:r>
        <w:rPr>
          <w:rFonts w:ascii="Times New Roman" w:hAnsi="Times New Roman"/>
          <w:bCs/>
          <w:noProof/>
          <w:sz w:val="24"/>
          <w:szCs w:val="24"/>
        </w:rPr>
        <w:t>.</w:t>
      </w:r>
      <w:r>
        <w:rPr>
          <w:rFonts w:ascii="Times New Roman" w:hAnsi="Times New Roman"/>
          <w:noProof/>
          <w:sz w:val="20"/>
          <w:szCs w:val="20"/>
        </w:rPr>
        <w:t xml:space="preserve"> </w:t>
      </w:r>
    </w:p>
    <w:p>
      <w:pPr>
        <w:spacing w:before="120" w:after="120" w:line="240" w:lineRule="auto"/>
        <w:ind w:left="1080"/>
        <w:jc w:val="both"/>
        <w:rPr>
          <w:rFonts w:ascii="Times New Roman" w:hAnsi="Times New Roman" w:cs="Times New Roman"/>
          <w:noProof/>
          <w:sz w:val="24"/>
          <w:szCs w:val="24"/>
          <w:lang w:eastAsia="en-GB"/>
        </w:rPr>
      </w:pPr>
    </w:p>
    <w:p>
      <w:pPr>
        <w:spacing w:after="240" w:line="240" w:lineRule="auto"/>
        <w:jc w:val="both"/>
        <w:rPr>
          <w:rFonts w:ascii="Times New Roman" w:eastAsia="Times New Roman" w:hAnsi="Times New Roman" w:cs="Times New Roman"/>
          <w:b/>
          <w:noProof/>
          <w:sz w:val="24"/>
          <w:szCs w:val="20"/>
        </w:rPr>
      </w:pPr>
      <w:r>
        <w:rPr>
          <w:rFonts w:ascii="Times New Roman" w:hAnsi="Times New Roman"/>
          <w:b/>
          <w:noProof/>
          <w:sz w:val="24"/>
          <w:szCs w:val="20"/>
        </w:rPr>
        <w:t>2.3. Következő lépések: az érdeket felek legszélesebb körét bevonó kísérleti időszak</w:t>
      </w:r>
    </w:p>
    <w:p>
      <w:pPr>
        <w:spacing w:after="120" w:line="240" w:lineRule="auto"/>
        <w:jc w:val="both"/>
        <w:rPr>
          <w:rFonts w:ascii="Times New Roman" w:hAnsi="Times New Roman" w:cs="Times New Roman"/>
          <w:bCs/>
          <w:noProof/>
          <w:sz w:val="24"/>
          <w:szCs w:val="24"/>
        </w:rPr>
      </w:pPr>
      <w:r>
        <w:rPr>
          <w:rFonts w:ascii="Times New Roman" w:hAnsi="Times New Roman"/>
          <w:bCs/>
          <w:noProof/>
          <w:sz w:val="24"/>
          <w:szCs w:val="24"/>
        </w:rPr>
        <w:t>A fenti, AI-rendszerekre vonatkozó kulcsfontosságú követelményekről kialakult konszenzus csupán az első mérföldkő az etikus mesterséges intelligenciára vonatkozó iránymutatások felé vezető úton. Következő lépésként a Bizottság lehetőséget biztosít az iránymutatások gyakorlati tesztelésére és végrehajtására.</w:t>
      </w:r>
    </w:p>
    <w:p>
      <w:pPr>
        <w:spacing w:after="120" w:line="240" w:lineRule="auto"/>
        <w:jc w:val="both"/>
        <w:rPr>
          <w:rFonts w:ascii="Times New Roman" w:hAnsi="Times New Roman" w:cs="Times New Roman"/>
          <w:bCs/>
          <w:noProof/>
          <w:sz w:val="24"/>
          <w:szCs w:val="24"/>
        </w:rPr>
      </w:pPr>
      <w:r>
        <w:rPr>
          <w:rFonts w:ascii="Times New Roman" w:hAnsi="Times New Roman"/>
          <w:bCs/>
          <w:noProof/>
          <w:sz w:val="24"/>
          <w:szCs w:val="24"/>
        </w:rPr>
        <w:t>E célból most elindít egy célzott kísérleti időszakot, amelynek során strukturált visszajelzéseket vár az érdekelt felektől. A mostani kísérleti időszak központi kérdése az értékelési lista lesz, amelyet a magas szintű szakértői csoport állított össze az egyes kulcsfontosságú követelmény teljesülésének ellenőrzése céljából.</w:t>
      </w:r>
    </w:p>
    <w:p>
      <w:pPr>
        <w:spacing w:after="120" w:line="240" w:lineRule="auto"/>
        <w:jc w:val="both"/>
        <w:rPr>
          <w:rFonts w:ascii="Times New Roman" w:eastAsia="Times New Roman" w:hAnsi="Times New Roman" w:cs="Times New Roman"/>
          <w:noProof/>
          <w:sz w:val="24"/>
          <w:szCs w:val="20"/>
        </w:rPr>
      </w:pPr>
      <w:r>
        <w:rPr>
          <w:rFonts w:ascii="Times New Roman" w:hAnsi="Times New Roman"/>
          <w:noProof/>
          <w:sz w:val="24"/>
          <w:szCs w:val="20"/>
        </w:rPr>
        <w:t>A munka két vonalon folyik majd: i. a mesterséges intelligenciát fejlesztő vagy használó érdekelt felek, köztük a közigazgatási szervek bevonásával zajló, az iránymutatások vizsgálatára szolgáló kísérleti időszak, valamint ii. az érdekelt felekkel folytatott folyamatos konzultáció, valamint a tagállamokra és az érdekelt felek különböző csoportjaira, köztük az ipari és a szolgáltatási ágazatokra kiterjedő figyelemfelkeltési folyamat keretében:</w:t>
      </w:r>
    </w:p>
    <w:p>
      <w:pPr>
        <w:numPr>
          <w:ilvl w:val="0"/>
          <w:numId w:val="3"/>
        </w:numPr>
        <w:spacing w:after="120" w:line="240" w:lineRule="auto"/>
        <w:ind w:left="851" w:hanging="501"/>
        <w:jc w:val="both"/>
        <w:rPr>
          <w:rFonts w:ascii="Times New Roman" w:eastAsia="Times New Roman" w:hAnsi="Times New Roman" w:cs="Times New Roman"/>
          <w:noProof/>
          <w:sz w:val="24"/>
          <w:szCs w:val="20"/>
        </w:rPr>
      </w:pPr>
      <w:r>
        <w:rPr>
          <w:rFonts w:ascii="Times New Roman" w:hAnsi="Times New Roman"/>
          <w:noProof/>
          <w:sz w:val="24"/>
          <w:szCs w:val="20"/>
        </w:rPr>
        <w:t xml:space="preserve">2019 júniusától kezdődően minden érdekelt félnek és egyénnek lehetősége lesz tesztelni az értékelési listát, és visszajelzést adnia a javítási javaslatairól. Ezen túlmenően a mesterséges intelligenciával foglalkozó magas szintű szakértői csoport a magán- és a közszférát képviselő érdekelt felek bevonásával részletes vizsgálatot fog szervezni annak érdekében, hogy pontosabb visszajelzéseket kapjon arról, hogy az iránymutatásokat hogyan lehet az alkalmazási területek széles skáláján végrehajtani. Az iránymutatások alkalmazhatóságára és megvalósíthatóságára vonatkozó visszajelzéseket 2019 végéig értékelni fogják.   </w:t>
      </w:r>
    </w:p>
    <w:p>
      <w:pPr>
        <w:numPr>
          <w:ilvl w:val="0"/>
          <w:numId w:val="3"/>
        </w:numPr>
        <w:spacing w:after="120" w:line="240" w:lineRule="auto"/>
        <w:ind w:left="851" w:hanging="567"/>
        <w:jc w:val="both"/>
        <w:rPr>
          <w:rFonts w:ascii="Times New Roman" w:eastAsia="Times New Roman" w:hAnsi="Times New Roman" w:cs="Times New Roman"/>
          <w:noProof/>
          <w:sz w:val="24"/>
          <w:szCs w:val="20"/>
        </w:rPr>
      </w:pPr>
      <w:r>
        <w:rPr>
          <w:rFonts w:ascii="Times New Roman" w:hAnsi="Times New Roman"/>
          <w:noProof/>
          <w:sz w:val="24"/>
          <w:szCs w:val="20"/>
        </w:rPr>
        <w:t xml:space="preserve">Ezzel párhuzamosan a Bizottság további tájékoztatási tevékenységeket fog szervezni, amelyek keretében lehetőséget biztosít a mesterséges intelligenciával foglalkozó magas szintű szakértői csoport képviselőinek arra, hogy az iránymutatásokat ismertessék a tagállamok érdekelt feleivel, többek között az ipari és szolgáltatási ágazatokkal, és további lehetőséget biztosítsanak az említett érdekelt feleknek, hogy hozzájáruljanak a mesterséges intelligenciára vonatkozó iránymutatások javításához, illetőleg megosszák azokkal kapcsolatos észrevételeiket. </w:t>
      </w:r>
    </w:p>
    <w:p>
      <w:pPr>
        <w:spacing w:after="120" w:line="240" w:lineRule="auto"/>
        <w:jc w:val="both"/>
        <w:rPr>
          <w:rFonts w:ascii="Times New Roman" w:eastAsia="Times New Roman" w:hAnsi="Times New Roman" w:cs="Times New Roman"/>
          <w:noProof/>
          <w:sz w:val="24"/>
          <w:szCs w:val="20"/>
        </w:rPr>
      </w:pPr>
      <w:r>
        <w:rPr>
          <w:rFonts w:ascii="Times New Roman" w:hAnsi="Times New Roman"/>
          <w:noProof/>
          <w:sz w:val="24"/>
          <w:szCs w:val="20"/>
        </w:rPr>
        <w:t>A Bizottság figyelembe fogja venni az összekapcsolt és automatizált járművezetés etikájával foglalkozó szakértői csoport munkáját</w:t>
      </w:r>
      <w:r>
        <w:rPr>
          <w:rStyle w:val="FootnoteReference"/>
          <w:rFonts w:ascii="Times New Roman" w:eastAsia="Times New Roman" w:hAnsi="Times New Roman" w:cs="Times New Roman"/>
          <w:noProof/>
          <w:sz w:val="24"/>
          <w:szCs w:val="20"/>
        </w:rPr>
        <w:footnoteReference w:id="14"/>
      </w:r>
      <w:r>
        <w:rPr>
          <w:rFonts w:ascii="Times New Roman" w:hAnsi="Times New Roman"/>
          <w:noProof/>
          <w:sz w:val="24"/>
          <w:szCs w:val="20"/>
        </w:rPr>
        <w:t>, és a kulcsfontosságú követelmények végrehajtása tekintetében együtt fog működni az uniós finanszírozású, mesterséges intelligenciával foglalkozó kutatási projektekkel és az érintett köz-magán társulásokkal</w:t>
      </w:r>
      <w:r>
        <w:rPr>
          <w:rStyle w:val="FootnoteReference"/>
          <w:rFonts w:ascii="Times New Roman" w:eastAsia="Times New Roman" w:hAnsi="Times New Roman" w:cs="Times New Roman"/>
          <w:noProof/>
          <w:sz w:val="24"/>
          <w:szCs w:val="20"/>
        </w:rPr>
        <w:footnoteReference w:id="15"/>
      </w:r>
      <w:r>
        <w:rPr>
          <w:rFonts w:ascii="Times New Roman" w:hAnsi="Times New Roman"/>
          <w:noProof/>
          <w:sz w:val="24"/>
          <w:szCs w:val="20"/>
        </w:rPr>
        <w:t>. A Bizottság a tagállamokkal együttműködve például támogatni fogja az orvosi képek közös adatbázisának fejlesztését (melyet kezdetben a rák leggyakrabban előforduló típusairól készített képek tárolására terveztek) annak érdekében, hogy az algoritmusok betaníthatóak legyenek a tünetek nagyon nagy pontosságú diagnosztizálására. Hasonlóképpen a Bizottság és a tagállamok együttműködése egyre több, határokon átnyúló folyosón teszi lehetővé az összekapcsolt és automatizált járművek tesztelését. Az iránymutatásokat alkalmazni és tesztelni fogják ezen projektek keretében, az eredményeket pedig figyelembe fogják venni az értékelési folyamat során.</w:t>
      </w:r>
    </w:p>
    <w:p>
      <w:pPr>
        <w:spacing w:after="120" w:line="240" w:lineRule="auto"/>
        <w:jc w:val="both"/>
        <w:rPr>
          <w:rFonts w:ascii="Times New Roman" w:eastAsia="Times New Roman" w:hAnsi="Times New Roman" w:cs="Times New Roman"/>
          <w:noProof/>
          <w:sz w:val="24"/>
          <w:szCs w:val="20"/>
        </w:rPr>
      </w:pPr>
      <w:r>
        <w:rPr>
          <w:rFonts w:ascii="Times New Roman" w:hAnsi="Times New Roman"/>
          <w:noProof/>
          <w:sz w:val="24"/>
          <w:szCs w:val="20"/>
        </w:rPr>
        <w:t>A kísérleti szakasz és az érdekelt felekkel folytatott konzultációk során segítséget fognak jelenteni a mesterséges intelligenciával foglalkozó európai szövetség és az AI4EU, egy lekérhető mesterséges intelligenciát nyújtó platform tapasztalatai. A 2019 januárjában indított AI4EU projekt</w:t>
      </w:r>
      <w:r>
        <w:rPr>
          <w:rStyle w:val="FootnoteReference"/>
          <w:rFonts w:ascii="Times New Roman" w:eastAsia="Times New Roman" w:hAnsi="Times New Roman" w:cs="Times New Roman"/>
          <w:noProof/>
          <w:sz w:val="24"/>
          <w:szCs w:val="20"/>
        </w:rPr>
        <w:footnoteReference w:id="16"/>
      </w:r>
      <w:r>
        <w:rPr>
          <w:rFonts w:ascii="Times New Roman" w:hAnsi="Times New Roman"/>
          <w:noProof/>
          <w:sz w:val="24"/>
          <w:szCs w:val="20"/>
        </w:rPr>
        <w:t xml:space="preserve"> az algoritmusok, eszközök, adatállományok és szolgáltatások összefogásával segítséget nyújt a szervezeteknek – különösen a kis- és középvállalkozásoknak – az AI-megoldások bevezetésében. A mesterséges intelligenciával foglalkozó európai szövetség és az AI4EU folytatni fogja az európai AI-ökoszisztéma mozgósítását, többek között a mesterséges intelligenciára vonatkozó etikai iránymutatások tesztelése és az emberközpontú mesterséges intelligencia megbecsülésének előmozdítása érdekében.</w:t>
      </w:r>
    </w:p>
    <w:p>
      <w:pPr>
        <w:spacing w:after="120" w:line="240" w:lineRule="auto"/>
        <w:jc w:val="both"/>
        <w:rPr>
          <w:rFonts w:ascii="Times New Roman" w:eastAsia="Times New Roman" w:hAnsi="Times New Roman" w:cs="Times New Roman"/>
          <w:noProof/>
          <w:sz w:val="24"/>
          <w:szCs w:val="20"/>
        </w:rPr>
      </w:pPr>
      <w:r>
        <w:rPr>
          <w:rFonts w:ascii="Times New Roman" w:hAnsi="Times New Roman"/>
          <w:b/>
          <w:noProof/>
          <w:sz w:val="24"/>
          <w:szCs w:val="20"/>
        </w:rPr>
        <w:t>2020 elején</w:t>
      </w:r>
      <w:r>
        <w:rPr>
          <w:rFonts w:ascii="Times New Roman" w:hAnsi="Times New Roman"/>
          <w:noProof/>
          <w:sz w:val="24"/>
          <w:szCs w:val="20"/>
        </w:rPr>
        <w:t xml:space="preserve"> a kísérleti időszak alatt kapott visszajelzések értékelése alapján a </w:t>
      </w:r>
      <w:r>
        <w:rPr>
          <w:rFonts w:ascii="Times New Roman" w:hAnsi="Times New Roman"/>
          <w:b/>
          <w:noProof/>
          <w:sz w:val="24"/>
          <w:szCs w:val="20"/>
        </w:rPr>
        <w:t>mesterséges intelligenciával foglalkozó magas szintű szakértői csoport felülvizsgálja és frissíti az iránymutatásokat</w:t>
      </w:r>
      <w:r>
        <w:rPr>
          <w:rFonts w:ascii="Times New Roman" w:hAnsi="Times New Roman"/>
          <w:noProof/>
          <w:sz w:val="24"/>
          <w:szCs w:val="20"/>
        </w:rPr>
        <w:t xml:space="preserve">. A felülvizsgálat és a szerzett tapasztalatok tükrében </w:t>
      </w:r>
      <w:r>
        <w:rPr>
          <w:rFonts w:ascii="Times New Roman" w:hAnsi="Times New Roman"/>
          <w:b/>
          <w:noProof/>
          <w:sz w:val="24"/>
          <w:szCs w:val="20"/>
        </w:rPr>
        <w:t xml:space="preserve">a Bizottság értékeli az eredményeket, és javaslatot tesz a következő lépésekre. </w:t>
      </w:r>
    </w:p>
    <w:p>
      <w:pPr>
        <w:spacing w:after="120" w:line="240" w:lineRule="auto"/>
        <w:jc w:val="both"/>
        <w:rPr>
          <w:rFonts w:ascii="Times New Roman" w:eastAsia="Times New Roman" w:hAnsi="Times New Roman" w:cs="Times New Roman"/>
          <w:noProof/>
          <w:sz w:val="24"/>
          <w:szCs w:val="20"/>
        </w:rPr>
      </w:pPr>
      <w:r>
        <w:rPr>
          <w:rFonts w:ascii="Times New Roman" w:hAnsi="Times New Roman"/>
          <w:noProof/>
          <w:sz w:val="24"/>
          <w:szCs w:val="20"/>
        </w:rPr>
        <w:t>Az etikus mesterséges intelligencia mindenki számára előnyös megoldás. Az alapvető értékek és jogok tiszteletben tartásának biztosítása pedig nemcsak önmagában fontos: hozzájárul ahhoz is, hogy a nyilvánosság nyitottabb legyen a technológia iránt, valamint az etikus és biztonságos termékekről ismert, emberközpontú és megbízható mesterséges intelligencia mint védjegy megteremtésével növeli a mesterséges intelligenciával foglalkozó európai vállalatok versenyelőnyét. Ez az elképzelés általánosságban az európai vállalatok jó hírnévére épül, melyekről köztudott, hogy jó minőségű és biztonságos termékek gyártanak. A kísérleti időszak hozzá fog járulni ahhoz, hogy az AI-termékek megfeleljenek ezeknek az elvárásoknak.</w:t>
      </w:r>
    </w:p>
    <w:p>
      <w:pPr>
        <w:spacing w:after="120" w:line="240" w:lineRule="auto"/>
        <w:jc w:val="both"/>
        <w:rPr>
          <w:rFonts w:ascii="Times New Roman" w:eastAsia="Times New Roman" w:hAnsi="Times New Roman" w:cs="Times New Roman"/>
          <w:noProof/>
          <w:sz w:val="24"/>
          <w:szCs w:val="20"/>
        </w:rPr>
      </w:pPr>
    </w:p>
    <w:p>
      <w:pPr>
        <w:spacing w:after="240" w:line="240" w:lineRule="auto"/>
        <w:jc w:val="both"/>
        <w:rPr>
          <w:rFonts w:ascii="Times New Roman" w:hAnsi="Times New Roman" w:cs="Times New Roman"/>
          <w:b/>
          <w:bCs/>
          <w:noProof/>
          <w:sz w:val="24"/>
          <w:szCs w:val="24"/>
        </w:rPr>
      </w:pPr>
      <w:r>
        <w:rPr>
          <w:rFonts w:ascii="Times New Roman" w:hAnsi="Times New Roman"/>
          <w:b/>
          <w:bCs/>
          <w:noProof/>
          <w:sz w:val="24"/>
          <w:szCs w:val="24"/>
        </w:rPr>
        <w:t>2.4. A mesterséges intelligenciára vonatkozó etikai iránymutatások nemzetközi érvényesítése felé vezető út</w:t>
      </w:r>
    </w:p>
    <w:p>
      <w:pPr>
        <w:spacing w:after="120" w:line="240" w:lineRule="auto"/>
        <w:jc w:val="both"/>
        <w:rPr>
          <w:rFonts w:ascii="Times New Roman" w:hAnsi="Times New Roman" w:cs="Times New Roman"/>
          <w:bCs/>
          <w:noProof/>
          <w:sz w:val="24"/>
          <w:szCs w:val="24"/>
        </w:rPr>
      </w:pPr>
      <w:r>
        <w:rPr>
          <w:rFonts w:ascii="Times New Roman" w:hAnsi="Times New Roman"/>
          <w:bCs/>
          <w:noProof/>
          <w:sz w:val="24"/>
          <w:szCs w:val="24"/>
        </w:rPr>
        <w:t xml:space="preserve">A mesterséges intelligencia etikai kérdéseiről folytatott nemzetközi tárgyalások intenzívebbé váltak azután, hogy 2016-ban a G7-ek japán elnöksége napirendre tűzte ezt a témakört. Tekintettel az AI-fejlesztés területét jellemző nemzetközi összefonódásokra az adatok áramlása, az algoritmusfejlesztés és a kutatási beruházások tekintetében, </w:t>
      </w:r>
      <w:r>
        <w:rPr>
          <w:rFonts w:ascii="Times New Roman" w:hAnsi="Times New Roman"/>
          <w:b/>
          <w:bCs/>
          <w:noProof/>
          <w:sz w:val="24"/>
          <w:szCs w:val="24"/>
        </w:rPr>
        <w:t>a Bizottság további erőfeszítéseket fog tenni annak érdekében, hogy érvényesítse az EU megközelítését a nemzetközi színtéren és konszenzust alakítson ki az emberközpontú mesterséges intelligenciára vonatkozóan</w:t>
      </w:r>
      <w:r>
        <w:rPr>
          <w:rStyle w:val="FootnoteReference"/>
          <w:rFonts w:ascii="Times New Roman" w:hAnsi="Times New Roman" w:cs="Times New Roman"/>
          <w:b/>
          <w:bCs/>
          <w:noProof/>
          <w:sz w:val="24"/>
          <w:szCs w:val="24"/>
        </w:rPr>
        <w:footnoteReference w:id="17"/>
      </w:r>
      <w:r>
        <w:rPr>
          <w:rFonts w:ascii="Times New Roman" w:hAnsi="Times New Roman"/>
          <w:bCs/>
          <w:noProof/>
          <w:sz w:val="24"/>
          <w:szCs w:val="24"/>
        </w:rPr>
        <w:t>.</w:t>
      </w:r>
    </w:p>
    <w:p>
      <w:pPr>
        <w:spacing w:after="120" w:line="240" w:lineRule="auto"/>
        <w:jc w:val="both"/>
        <w:rPr>
          <w:rFonts w:ascii="Times New Roman" w:hAnsi="Times New Roman" w:cs="Times New Roman"/>
          <w:bCs/>
          <w:noProof/>
          <w:sz w:val="24"/>
          <w:szCs w:val="24"/>
        </w:rPr>
      </w:pPr>
      <w:r>
        <w:rPr>
          <w:rFonts w:ascii="Times New Roman" w:hAnsi="Times New Roman"/>
          <w:bCs/>
          <w:noProof/>
          <w:sz w:val="24"/>
          <w:szCs w:val="24"/>
        </w:rPr>
        <w:t>A mesterséges intelligenciával foglalkozó magas szintű szakértői csoport által végzett munka, valamint elsősorban a követelménylista és az érdekelt felekkel folytatott együttműködés olyan további értékes tapasztalatokhoz juttatják a Bizottságot, amelyekkel érdemben hozzájárulhat a nemzetközi tárgyalásokhoz. Az Európai Uniónak lehetősége van vezető szerepet játszani a mesterséges intelligenciára vonatkozó nemzetközi iránymutatások és – adott esetben – a hozzájuk kapcsolódó értékelési mechanizmus kidolgozásában.</w:t>
      </w:r>
    </w:p>
    <w:p>
      <w:pPr>
        <w:spacing w:after="120" w:line="240" w:lineRule="auto"/>
        <w:jc w:val="both"/>
        <w:rPr>
          <w:rFonts w:ascii="Times New Roman" w:hAnsi="Times New Roman" w:cs="Times New Roman"/>
          <w:bCs/>
          <w:noProof/>
          <w:sz w:val="24"/>
          <w:szCs w:val="24"/>
        </w:rPr>
      </w:pPr>
      <w:r>
        <w:rPr>
          <w:rFonts w:ascii="Times New Roman" w:hAnsi="Times New Roman"/>
          <w:bCs/>
          <w:noProof/>
          <w:sz w:val="24"/>
          <w:szCs w:val="24"/>
        </w:rPr>
        <w:t>A Bizottság ezért:</w:t>
      </w:r>
    </w:p>
    <w:p>
      <w:pPr>
        <w:spacing w:after="120" w:line="240" w:lineRule="auto"/>
        <w:jc w:val="both"/>
        <w:rPr>
          <w:rFonts w:ascii="Times New Roman" w:hAnsi="Times New Roman" w:cs="Times New Roman"/>
          <w:bCs/>
          <w:noProof/>
          <w:sz w:val="24"/>
          <w:szCs w:val="24"/>
        </w:rPr>
      </w:pPr>
      <w:r>
        <w:rPr>
          <w:rFonts w:ascii="Times New Roman" w:hAnsi="Times New Roman"/>
          <w:b/>
          <w:bCs/>
          <w:noProof/>
          <w:sz w:val="24"/>
          <w:szCs w:val="24"/>
        </w:rPr>
        <w:t>szorosabban együtt fog működni hasonlóan gondolkodó partnereivel:</w:t>
      </w:r>
    </w:p>
    <w:p>
      <w:pPr>
        <w:numPr>
          <w:ilvl w:val="0"/>
          <w:numId w:val="2"/>
        </w:numPr>
        <w:spacing w:after="120" w:line="240" w:lineRule="auto"/>
        <w:ind w:left="567"/>
        <w:jc w:val="both"/>
        <w:rPr>
          <w:rFonts w:ascii="Times New Roman" w:hAnsi="Times New Roman" w:cs="Times New Roman"/>
          <w:bCs/>
          <w:noProof/>
          <w:sz w:val="24"/>
          <w:szCs w:val="24"/>
        </w:rPr>
      </w:pPr>
      <w:r>
        <w:rPr>
          <w:rFonts w:ascii="Times New Roman" w:hAnsi="Times New Roman"/>
          <w:noProof/>
        </w:rPr>
        <w:t>meg fogja vizsgálni, hogy az uniós iránymutatások milyen mértékben hangolhatók össze a harmadik országok (pl. Japán, Kanada és Szingapúr) etikai iránymutatás-tervezeteivel, valamint a hasonlóan gondolkodó országok e csoportjára és a harmadik országokkal folytatott együttműködésre irányuló Partnerségi Eszköz</w:t>
      </w:r>
      <w:r>
        <w:rPr>
          <w:rStyle w:val="FootnoteReference"/>
          <w:rFonts w:ascii="Times New Roman" w:hAnsi="Times New Roman" w:cs="Times New Roman"/>
          <w:noProof/>
        </w:rPr>
        <w:footnoteReference w:id="18"/>
      </w:r>
      <w:r>
        <w:rPr>
          <w:rFonts w:ascii="Times New Roman" w:hAnsi="Times New Roman"/>
          <w:noProof/>
        </w:rPr>
        <w:t xml:space="preserve"> végrehajtására irányuló intézkedésekre támaszkodva felkészül a szélesebb körű tárgyalásokra;</w:t>
      </w:r>
      <w:r>
        <w:rPr>
          <w:rFonts w:ascii="Times New Roman" w:hAnsi="Times New Roman"/>
          <w:bCs/>
          <w:noProof/>
          <w:sz w:val="24"/>
          <w:szCs w:val="24"/>
        </w:rPr>
        <w:t xml:space="preserve"> valamint</w:t>
      </w:r>
    </w:p>
    <w:p>
      <w:pPr>
        <w:numPr>
          <w:ilvl w:val="0"/>
          <w:numId w:val="2"/>
        </w:numPr>
        <w:spacing w:after="120" w:line="240" w:lineRule="auto"/>
        <w:ind w:left="567"/>
        <w:jc w:val="both"/>
        <w:rPr>
          <w:rFonts w:ascii="Times New Roman" w:hAnsi="Times New Roman" w:cs="Times New Roman"/>
          <w:b/>
          <w:bCs/>
          <w:noProof/>
          <w:sz w:val="24"/>
          <w:szCs w:val="24"/>
        </w:rPr>
      </w:pPr>
      <w:r>
        <w:rPr>
          <w:rFonts w:ascii="Times New Roman" w:hAnsi="Times New Roman"/>
          <w:bCs/>
          <w:noProof/>
          <w:sz w:val="24"/>
          <w:szCs w:val="24"/>
        </w:rPr>
        <w:t>fel fogja méri, hogy a nem uniós országbeli vállalatok és a nemzetközi szervezetek hogyan járulhatnak hozzá az iránymutatások teszteléséhez és ellenőrzéséhez a kísérleti időszak alatt.</w:t>
      </w:r>
    </w:p>
    <w:p>
      <w:pPr>
        <w:spacing w:after="120" w:line="240" w:lineRule="auto"/>
        <w:jc w:val="both"/>
        <w:rPr>
          <w:rFonts w:ascii="Times New Roman" w:hAnsi="Times New Roman" w:cs="Times New Roman"/>
          <w:b/>
          <w:bCs/>
          <w:noProof/>
          <w:sz w:val="24"/>
          <w:szCs w:val="24"/>
        </w:rPr>
      </w:pPr>
      <w:r>
        <w:rPr>
          <w:rFonts w:ascii="Times New Roman" w:hAnsi="Times New Roman"/>
          <w:b/>
          <w:bCs/>
          <w:noProof/>
          <w:sz w:val="24"/>
          <w:szCs w:val="24"/>
        </w:rPr>
        <w:t>továbbra is aktívan részt fog venni a nemzetközi tárgyalásokon és kezdeményezésekben:</w:t>
      </w:r>
    </w:p>
    <w:p>
      <w:pPr>
        <w:numPr>
          <w:ilvl w:val="0"/>
          <w:numId w:val="2"/>
        </w:numPr>
        <w:spacing w:after="120" w:line="240" w:lineRule="auto"/>
        <w:ind w:left="567"/>
        <w:jc w:val="both"/>
        <w:rPr>
          <w:rFonts w:ascii="Times New Roman" w:hAnsi="Times New Roman" w:cs="Times New Roman"/>
          <w:b/>
          <w:bCs/>
          <w:noProof/>
          <w:sz w:val="24"/>
          <w:szCs w:val="24"/>
        </w:rPr>
      </w:pPr>
      <w:r>
        <w:rPr>
          <w:rFonts w:ascii="Times New Roman" w:hAnsi="Times New Roman"/>
          <w:bCs/>
          <w:noProof/>
          <w:sz w:val="24"/>
          <w:szCs w:val="24"/>
        </w:rPr>
        <w:t>hozzájárul a munkájukhoz a többoldalú fórumokon, például a G7-ekkel és a G20-akkal;</w:t>
      </w:r>
    </w:p>
    <w:p>
      <w:pPr>
        <w:numPr>
          <w:ilvl w:val="0"/>
          <w:numId w:val="2"/>
        </w:numPr>
        <w:spacing w:after="120" w:line="240" w:lineRule="auto"/>
        <w:ind w:left="567"/>
        <w:jc w:val="both"/>
        <w:rPr>
          <w:rFonts w:ascii="Times New Roman" w:hAnsi="Times New Roman" w:cs="Times New Roman"/>
          <w:b/>
          <w:bCs/>
          <w:noProof/>
          <w:sz w:val="24"/>
          <w:szCs w:val="24"/>
        </w:rPr>
      </w:pPr>
      <w:r>
        <w:rPr>
          <w:rFonts w:ascii="Times New Roman" w:hAnsi="Times New Roman"/>
          <w:bCs/>
          <w:noProof/>
          <w:sz w:val="24"/>
          <w:szCs w:val="24"/>
        </w:rPr>
        <w:t>párbeszédet folytat a nem uniós országokkal, valamint kétoldalú és többoldalú találkozókat szervez az emberközpontú mesterséges intelligenciára vonatkozó konszenzus kialakítása érdekében;</w:t>
      </w:r>
    </w:p>
    <w:p>
      <w:pPr>
        <w:numPr>
          <w:ilvl w:val="0"/>
          <w:numId w:val="2"/>
        </w:numPr>
        <w:spacing w:after="120" w:line="240" w:lineRule="auto"/>
        <w:ind w:left="567"/>
        <w:jc w:val="both"/>
        <w:rPr>
          <w:rFonts w:ascii="Times New Roman" w:hAnsi="Times New Roman" w:cs="Times New Roman"/>
          <w:b/>
          <w:bCs/>
          <w:noProof/>
          <w:sz w:val="24"/>
          <w:szCs w:val="24"/>
        </w:rPr>
      </w:pPr>
      <w:r>
        <w:rPr>
          <w:rFonts w:ascii="Times New Roman" w:hAnsi="Times New Roman"/>
          <w:bCs/>
          <w:noProof/>
          <w:sz w:val="24"/>
          <w:szCs w:val="24"/>
        </w:rPr>
        <w:t>e jövőkép előmozdítása érdekében részt vesz a nemzetközi szabványügyi szervezetek vonatkozó szabványosítási tevékenységeiben; valamint</w:t>
      </w:r>
    </w:p>
    <w:p>
      <w:pPr>
        <w:numPr>
          <w:ilvl w:val="0"/>
          <w:numId w:val="2"/>
        </w:numPr>
        <w:spacing w:after="120" w:line="240" w:lineRule="auto"/>
        <w:ind w:left="567"/>
        <w:jc w:val="both"/>
        <w:rPr>
          <w:rFonts w:ascii="Times New Roman" w:hAnsi="Times New Roman" w:cs="Times New Roman"/>
          <w:b/>
          <w:bCs/>
          <w:noProof/>
          <w:sz w:val="24"/>
          <w:szCs w:val="24"/>
        </w:rPr>
      </w:pPr>
      <w:r>
        <w:rPr>
          <w:rFonts w:ascii="Times New Roman" w:hAnsi="Times New Roman"/>
          <w:bCs/>
          <w:noProof/>
          <w:sz w:val="24"/>
          <w:szCs w:val="24"/>
        </w:rPr>
        <w:t>az érintett nemzetközi szervezetekkel együttműködve serkenti a közpolitikákkal kapcsolatos ismeretek összegyűjtését és terjesztését.</w:t>
      </w:r>
    </w:p>
    <w:p>
      <w:pPr>
        <w:spacing w:before="120" w:after="0" w:line="240" w:lineRule="auto"/>
        <w:jc w:val="both"/>
        <w:rPr>
          <w:rFonts w:ascii="Times New Roman" w:hAnsi="Times New Roman" w:cs="Times New Roman"/>
          <w:b/>
          <w:bCs/>
          <w:noProof/>
          <w:sz w:val="24"/>
          <w:szCs w:val="24"/>
        </w:rPr>
      </w:pPr>
    </w:p>
    <w:p>
      <w:pPr>
        <w:numPr>
          <w:ilvl w:val="0"/>
          <w:numId w:val="1"/>
        </w:numPr>
        <w:spacing w:after="240" w:line="240" w:lineRule="auto"/>
        <w:ind w:left="714" w:hanging="357"/>
        <w:rPr>
          <w:rFonts w:ascii="Times New Roman" w:hAnsi="Times New Roman" w:cs="Times New Roman"/>
          <w:b/>
          <w:bCs/>
          <w:noProof/>
          <w:sz w:val="24"/>
          <w:szCs w:val="24"/>
        </w:rPr>
      </w:pPr>
      <w:r>
        <w:rPr>
          <w:rFonts w:ascii="Times New Roman" w:hAnsi="Times New Roman"/>
          <w:b/>
          <w:bCs/>
          <w:noProof/>
          <w:sz w:val="24"/>
          <w:szCs w:val="24"/>
        </w:rPr>
        <w:t>KÖVETKEZTETÉSEK</w:t>
      </w:r>
    </w:p>
    <w:p>
      <w:pPr>
        <w:spacing w:after="120" w:line="240" w:lineRule="auto"/>
        <w:jc w:val="both"/>
        <w:rPr>
          <w:rFonts w:ascii="Times New Roman" w:hAnsi="Times New Roman" w:cs="Times New Roman"/>
          <w:bCs/>
          <w:noProof/>
          <w:sz w:val="24"/>
          <w:szCs w:val="24"/>
        </w:rPr>
      </w:pPr>
      <w:r>
        <w:rPr>
          <w:rFonts w:ascii="Times New Roman" w:hAnsi="Times New Roman"/>
          <w:bCs/>
          <w:noProof/>
          <w:sz w:val="24"/>
          <w:szCs w:val="24"/>
        </w:rPr>
        <w:t>Az Európai Unió alapvető értékek rendszerén alapul, melyekre erős és kiegyensúlyozott szabályozási keretet épített fel. A mesterséges intelligencia új jellege és a vele kapcsolatban felmerülő speciális kihívások azonban szükségessé teszik olyan, az említett szabályozási kereten alapuló etikai iránymutatásokat kidolgozását, amelyek a technológia fejlesztésére és használatára vonatkoznak. A mesterséges intelligencia csak akkor tekinthető megbízhatónak, ha azt a széles körben elfogadott etikai értékeket tiszteletben tartva fejlesztik ki és használják.</w:t>
      </w:r>
    </w:p>
    <w:p>
      <w:pPr>
        <w:spacing w:after="120" w:line="240" w:lineRule="auto"/>
        <w:jc w:val="both"/>
        <w:rPr>
          <w:rFonts w:ascii="Times New Roman" w:hAnsi="Times New Roman" w:cs="Times New Roman"/>
          <w:bCs/>
          <w:noProof/>
          <w:sz w:val="24"/>
          <w:szCs w:val="24"/>
        </w:rPr>
      </w:pPr>
      <w:r>
        <w:rPr>
          <w:rFonts w:ascii="Times New Roman" w:hAnsi="Times New Roman"/>
          <w:bCs/>
          <w:noProof/>
          <w:sz w:val="24"/>
          <w:szCs w:val="24"/>
        </w:rPr>
        <w:t>E célkitűzésra való tekintettel a Bizottság üdvözli a mesterséges intelligenciával foglalkozó magas szintű szakértői csoport által összeállított információkat. A mesterséges intelligencia megbízhatóságával kapcsolatos kulcsfontosságú követelmények alapján a Bizottság most elindít egy célzott kísérleti időszakot annak biztosítása érdekében, hogy a követelményekből kiindulva meghatározott, a mesterséges intelligencia fejlesztésére és használatára vonatkozó etikai iránymutatások a gyakorlatban is végrehajthatók legyenek. A Bizottság továbbá arra is törekedni fog, hogy széles körű társadalmi konszenzust alakítson ki az emberközpontú mesterséges intelligenciával kapcsolatban többek között az összes érintett érdekelt fél és nemzetközi partnerei között.</w:t>
      </w:r>
    </w:p>
    <w:p>
      <w:pPr>
        <w:spacing w:after="120" w:line="240" w:lineRule="auto"/>
        <w:jc w:val="both"/>
        <w:rPr>
          <w:rFonts w:ascii="Times New Roman" w:hAnsi="Times New Roman" w:cs="Times New Roman"/>
          <w:bCs/>
          <w:noProof/>
          <w:sz w:val="24"/>
          <w:szCs w:val="24"/>
        </w:rPr>
      </w:pPr>
      <w:r>
        <w:rPr>
          <w:rFonts w:ascii="Times New Roman" w:hAnsi="Times New Roman"/>
          <w:bCs/>
          <w:noProof/>
          <w:sz w:val="24"/>
          <w:szCs w:val="24"/>
        </w:rPr>
        <w:t>A mesterséges intelligencia esetében az etikai szempontok nem tekinthetők csupán luxusnak és nem szorulhatnak a háttérbe: a mesterséges intelligencia fejlesztésének a részévé kell válniuk. A megbízhatóságon alapuló, emberközpontú mesterséges intelligenciára való törekvés révén biztosítjuk alapvető társadalmi értékeink tiszteletben tartását, valamint hogy Európa és ipara világszerte a megbízható, élvonalbeli AI-termékek egyedülálló gyártójaként legyen számontartva.</w:t>
      </w:r>
    </w:p>
    <w:p>
      <w:pPr>
        <w:spacing w:after="120" w:line="240" w:lineRule="auto"/>
        <w:jc w:val="both"/>
        <w:rPr>
          <w:rFonts w:ascii="Times New Roman" w:hAnsi="Times New Roman" w:cs="Times New Roman"/>
          <w:bCs/>
          <w:noProof/>
          <w:sz w:val="24"/>
          <w:szCs w:val="24"/>
        </w:rPr>
      </w:pPr>
      <w:r>
        <w:rPr>
          <w:rFonts w:ascii="Times New Roman" w:hAnsi="Times New Roman"/>
          <w:bCs/>
          <w:noProof/>
          <w:sz w:val="24"/>
          <w:szCs w:val="24"/>
        </w:rPr>
        <w:t xml:space="preserve">Annak érdekében, hogy Európában a mesterséges intelligencia fejlesztése tágabb értelemben is etikusan történjen, a Bizottság egy átfogó megközelítés kidolgozására törekszik, melynek keretében 2019 harmadik negyedévéig konkrétan a következő intézkedéseket hajtja végre: </w:t>
      </w:r>
    </w:p>
    <w:p>
      <w:pPr>
        <w:pStyle w:val="ListParagraph"/>
        <w:numPr>
          <w:ilvl w:val="0"/>
          <w:numId w:val="12"/>
        </w:numPr>
        <w:spacing w:after="120" w:line="240" w:lineRule="auto"/>
        <w:ind w:left="567" w:hanging="425"/>
        <w:contextualSpacing w:val="0"/>
        <w:jc w:val="both"/>
        <w:rPr>
          <w:rFonts w:ascii="Times New Roman" w:eastAsia="Times New Roman" w:hAnsi="Times New Roman" w:cs="Times New Roman"/>
          <w:noProof/>
          <w:sz w:val="24"/>
          <w:szCs w:val="20"/>
        </w:rPr>
      </w:pPr>
      <w:r>
        <w:rPr>
          <w:rFonts w:ascii="Times New Roman" w:hAnsi="Times New Roman"/>
          <w:noProof/>
          <w:sz w:val="24"/>
          <w:szCs w:val="20"/>
        </w:rPr>
        <w:t xml:space="preserve">a „Horizont 2020” keretprogramon keresztül megkezdi a </w:t>
      </w:r>
      <w:r>
        <w:rPr>
          <w:rFonts w:ascii="Times New Roman" w:hAnsi="Times New Roman"/>
          <w:b/>
          <w:noProof/>
          <w:sz w:val="24"/>
          <w:szCs w:val="20"/>
        </w:rPr>
        <w:t>mesterséges intelligenciával foglalkozó kutatási kiválósági központokból álló hálózatcsoportok</w:t>
      </w:r>
      <w:r>
        <w:rPr>
          <w:rFonts w:ascii="Times New Roman" w:hAnsi="Times New Roman"/>
          <w:noProof/>
          <w:sz w:val="24"/>
          <w:szCs w:val="20"/>
        </w:rPr>
        <w:t xml:space="preserve"> létrehozását. A jelentős tudományos vagy technológiai kihívásokra, például a – mesterséges intelligencia megbízhatóságához elengedhetetlen – megmagyarázhatóságra és fejlett ember–gép interakcióra összpontosítva kiválaszt legfeljebb négy hálózatot;</w:t>
      </w:r>
    </w:p>
    <w:p>
      <w:pPr>
        <w:pStyle w:val="ListParagraph"/>
        <w:numPr>
          <w:ilvl w:val="0"/>
          <w:numId w:val="12"/>
        </w:numPr>
        <w:spacing w:after="120" w:line="240" w:lineRule="auto"/>
        <w:ind w:left="567" w:hanging="425"/>
        <w:contextualSpacing w:val="0"/>
        <w:jc w:val="both"/>
        <w:rPr>
          <w:rFonts w:ascii="Times New Roman" w:eastAsia="Times New Roman" w:hAnsi="Times New Roman" w:cs="Times New Roman"/>
          <w:noProof/>
          <w:sz w:val="24"/>
          <w:szCs w:val="20"/>
        </w:rPr>
      </w:pPr>
      <w:r>
        <w:rPr>
          <w:rFonts w:ascii="Times New Roman" w:hAnsi="Times New Roman"/>
          <w:noProof/>
          <w:sz w:val="24"/>
          <w:szCs w:val="20"/>
        </w:rPr>
        <w:t xml:space="preserve">megkezdi olyan </w:t>
      </w:r>
      <w:r>
        <w:rPr>
          <w:rFonts w:ascii="Times New Roman" w:hAnsi="Times New Roman"/>
          <w:b/>
          <w:noProof/>
          <w:sz w:val="24"/>
          <w:szCs w:val="20"/>
        </w:rPr>
        <w:t>digitális innovációs központok hálózatainak</w:t>
      </w:r>
      <w:r>
        <w:rPr>
          <w:rStyle w:val="FootnoteReference"/>
          <w:rFonts w:ascii="Times New Roman" w:eastAsia="Times New Roman" w:hAnsi="Times New Roman" w:cs="Times New Roman"/>
          <w:b/>
          <w:noProof/>
          <w:sz w:val="24"/>
          <w:szCs w:val="20"/>
        </w:rPr>
        <w:footnoteReference w:id="19"/>
      </w:r>
      <w:r>
        <w:rPr>
          <w:rFonts w:ascii="Times New Roman" w:hAnsi="Times New Roman"/>
          <w:noProof/>
          <w:sz w:val="24"/>
          <w:szCs w:val="20"/>
        </w:rPr>
        <w:t xml:space="preserve"> létrehozását, amelyek a gyártásban használt mesterséges intelligenciára és a big data jellegű adatokra fókuszálnak;</w:t>
      </w:r>
    </w:p>
    <w:p>
      <w:pPr>
        <w:pStyle w:val="ListParagraph"/>
        <w:numPr>
          <w:ilvl w:val="0"/>
          <w:numId w:val="12"/>
        </w:numPr>
        <w:spacing w:after="120" w:line="240" w:lineRule="auto"/>
        <w:ind w:left="567" w:hanging="425"/>
        <w:contextualSpacing w:val="0"/>
        <w:jc w:val="both"/>
        <w:rPr>
          <w:rFonts w:ascii="Times New Roman" w:eastAsia="Times New Roman" w:hAnsi="Times New Roman" w:cs="Times New Roman"/>
          <w:noProof/>
          <w:sz w:val="24"/>
          <w:szCs w:val="20"/>
        </w:rPr>
      </w:pPr>
      <w:r>
        <w:rPr>
          <w:rFonts w:ascii="Times New Roman" w:hAnsi="Times New Roman"/>
          <w:noProof/>
          <w:sz w:val="24"/>
          <w:szCs w:val="24"/>
        </w:rPr>
        <w:t xml:space="preserve">a tagállamokkal és az érdekelt felekkel együtt megkezdi az előkészítő tárgyalásokat egy, az </w:t>
      </w:r>
      <w:r>
        <w:rPr>
          <w:rFonts w:ascii="Times New Roman" w:hAnsi="Times New Roman"/>
          <w:b/>
          <w:noProof/>
          <w:sz w:val="24"/>
          <w:szCs w:val="24"/>
        </w:rPr>
        <w:t>adatmegosztásra és a közös adatterek optimális felhasználására vonatkozó modell</w:t>
      </w:r>
      <w:r>
        <w:rPr>
          <w:rFonts w:ascii="Times New Roman" w:hAnsi="Times New Roman"/>
          <w:noProof/>
          <w:sz w:val="24"/>
          <w:szCs w:val="24"/>
        </w:rPr>
        <w:t xml:space="preserve"> kidolgozása és végrehajtása érdekében, különös figyelmet fordítva a közlekedés, az egészségügy és az ipari gyártás igényeire</w:t>
      </w:r>
      <w:r>
        <w:rPr>
          <w:rStyle w:val="FootnoteReference"/>
          <w:rFonts w:ascii="Times New Roman" w:eastAsia="Times New Roman" w:hAnsi="Times New Roman" w:cs="Times New Roman"/>
          <w:noProof/>
          <w:sz w:val="24"/>
          <w:szCs w:val="24"/>
        </w:rPr>
        <w:footnoteReference w:id="20"/>
      </w:r>
      <w:r>
        <w:rPr>
          <w:rFonts w:ascii="Times New Roman" w:hAnsi="Times New Roman"/>
          <w:noProof/>
          <w:sz w:val="24"/>
          <w:szCs w:val="24"/>
        </w:rPr>
        <w:t xml:space="preserve">. </w:t>
      </w:r>
    </w:p>
    <w:p>
      <w:pPr>
        <w:pStyle w:val="ListParagraph"/>
        <w:spacing w:after="120" w:line="240" w:lineRule="auto"/>
        <w:ind w:left="0"/>
        <w:jc w:val="both"/>
        <w:rPr>
          <w:rFonts w:ascii="Times New Roman" w:hAnsi="Times New Roman" w:cs="Times New Roman"/>
          <w:bCs/>
          <w:noProof/>
          <w:sz w:val="24"/>
          <w:szCs w:val="24"/>
        </w:rPr>
      </w:pPr>
      <w:r>
        <w:rPr>
          <w:rFonts w:ascii="Times New Roman" w:hAnsi="Times New Roman"/>
          <w:noProof/>
          <w:sz w:val="24"/>
          <w:szCs w:val="20"/>
        </w:rPr>
        <w:t>Emellett a Bizottság jelenleg egy jelentésen dolgozik, melyben ismerteti, hogy a mesterséges intelligencia milyen problémákat vet fel a biztonsági és a felelősségre vonatkozó keretekkel kapcsolatban, valamint a termékfelelősségről szóló irányelv</w:t>
      </w:r>
      <w:r>
        <w:rPr>
          <w:rStyle w:val="FootnoteReference"/>
          <w:rFonts w:ascii="Times New Roman" w:eastAsia="Times New Roman" w:hAnsi="Times New Roman" w:cs="Times New Roman"/>
          <w:noProof/>
          <w:sz w:val="24"/>
          <w:szCs w:val="20"/>
        </w:rPr>
        <w:footnoteReference w:id="21"/>
      </w:r>
      <w:r>
        <w:rPr>
          <w:rFonts w:ascii="Times New Roman" w:hAnsi="Times New Roman"/>
          <w:noProof/>
          <w:sz w:val="24"/>
          <w:szCs w:val="20"/>
        </w:rPr>
        <w:t xml:space="preserve"> végrehajtására vonatkozó iránymutatásokat tartalmazó dokumentumot állít össze. </w:t>
      </w:r>
      <w:r>
        <w:rPr>
          <w:rFonts w:ascii="Times New Roman" w:hAnsi="Times New Roman"/>
          <w:noProof/>
          <w:sz w:val="24"/>
        </w:rPr>
        <w:t>Ezzel párhuzamosan az európai nagy teljesítményű számítástechnika közös vállalkozás (az EuroHPC)</w:t>
      </w:r>
      <w:r>
        <w:rPr>
          <w:rStyle w:val="FootnoteReference"/>
          <w:rFonts w:ascii="Times New Roman" w:hAnsi="Times New Roman" w:cs="Times New Roman"/>
          <w:bCs/>
          <w:noProof/>
          <w:sz w:val="24"/>
          <w:szCs w:val="24"/>
        </w:rPr>
        <w:footnoteReference w:id="22"/>
      </w:r>
      <w:r>
        <w:rPr>
          <w:rFonts w:ascii="Times New Roman" w:hAnsi="Times New Roman"/>
          <w:noProof/>
          <w:sz w:val="24"/>
        </w:rPr>
        <w:t xml:space="preserve"> a szuperszámítógépek új generációját fejleszti, mivel a számítási kapacitás alapvető fontosságú az adatok feldolgozása és a mesterséges intelligencia tanítása szempontjából, és fontos, hogy Európa a digitális értéklánc minden szegmensében önellátó legyen.</w:t>
      </w:r>
      <w:r>
        <w:rPr>
          <w:rFonts w:ascii="Times New Roman" w:hAnsi="Times New Roman"/>
          <w:bCs/>
          <w:noProof/>
          <w:sz w:val="24"/>
          <w:szCs w:val="24"/>
        </w:rPr>
        <w:t xml:space="preserve"> A tagállamokkal és az iparral a mikroelektronikai alkatrészek és rendszerek terén fennálló partnerség (ECSEL)</w:t>
      </w:r>
      <w:r>
        <w:rPr>
          <w:rStyle w:val="FootnoteReference"/>
          <w:rFonts w:ascii="Times New Roman" w:hAnsi="Times New Roman" w:cs="Times New Roman"/>
          <w:bCs/>
          <w:noProof/>
          <w:sz w:val="24"/>
          <w:szCs w:val="24"/>
        </w:rPr>
        <w:footnoteReference w:id="23"/>
      </w:r>
      <w:r>
        <w:rPr>
          <w:rFonts w:ascii="Times New Roman" w:hAnsi="Times New Roman"/>
          <w:bCs/>
          <w:noProof/>
          <w:sz w:val="24"/>
          <w:szCs w:val="24"/>
        </w:rPr>
        <w:t>, valamint az európai adatfeldolgozó kezdeményezés</w:t>
      </w:r>
      <w:r>
        <w:rPr>
          <w:rStyle w:val="FootnoteReference"/>
          <w:rFonts w:ascii="Times New Roman" w:hAnsi="Times New Roman" w:cs="Times New Roman"/>
          <w:bCs/>
          <w:noProof/>
          <w:sz w:val="24"/>
          <w:szCs w:val="24"/>
        </w:rPr>
        <w:footnoteReference w:id="24"/>
      </w:r>
      <w:r>
        <w:rPr>
          <w:rFonts w:ascii="Times New Roman" w:hAnsi="Times New Roman"/>
          <w:bCs/>
          <w:noProof/>
          <w:sz w:val="24"/>
          <w:szCs w:val="24"/>
        </w:rPr>
        <w:t xml:space="preserve"> hozzá fog járulni a megbízható és biztonságos, nagy teljesítményű élvonalbeli számítástechnikai termékekben felhasználható, alacsony energiafelhasználású processzortechnológia kifejlesztéséhez.  </w:t>
      </w:r>
    </w:p>
    <w:p>
      <w:pPr>
        <w:spacing w:after="120" w:line="240" w:lineRule="auto"/>
        <w:jc w:val="both"/>
        <w:rPr>
          <w:rFonts w:ascii="Times New Roman" w:hAnsi="Times New Roman" w:cs="Times New Roman"/>
          <w:bCs/>
          <w:noProof/>
          <w:sz w:val="24"/>
          <w:szCs w:val="24"/>
        </w:rPr>
      </w:pPr>
      <w:r>
        <w:rPr>
          <w:rFonts w:ascii="Times New Roman" w:hAnsi="Times New Roman"/>
          <w:bCs/>
          <w:noProof/>
          <w:sz w:val="24"/>
          <w:szCs w:val="24"/>
        </w:rPr>
        <w:t xml:space="preserve">Akárcsak a mesterséges intelligenciára vonatkozó etikai iránymutatásokkal kapcsolatos munka, ezek a kezdeményezések is </w:t>
      </w:r>
      <w:r>
        <w:rPr>
          <w:rFonts w:ascii="Times New Roman" w:hAnsi="Times New Roman"/>
          <w:b/>
          <w:bCs/>
          <w:noProof/>
          <w:sz w:val="24"/>
          <w:szCs w:val="24"/>
        </w:rPr>
        <w:t>az összes érintett fél</w:t>
      </w:r>
      <w:r>
        <w:rPr>
          <w:rFonts w:ascii="Times New Roman" w:hAnsi="Times New Roman"/>
          <w:bCs/>
          <w:noProof/>
          <w:sz w:val="24"/>
          <w:szCs w:val="24"/>
        </w:rPr>
        <w:t xml:space="preserve">, a tagállamok, az ipar, a társadalmi szereplők és a polgárok </w:t>
      </w:r>
      <w:r>
        <w:rPr>
          <w:rFonts w:ascii="Times New Roman" w:hAnsi="Times New Roman"/>
          <w:b/>
          <w:bCs/>
          <w:noProof/>
          <w:sz w:val="24"/>
          <w:szCs w:val="24"/>
        </w:rPr>
        <w:t>szoros együttműködésére</w:t>
      </w:r>
      <w:r>
        <w:rPr>
          <w:rFonts w:ascii="Times New Roman" w:hAnsi="Times New Roman"/>
          <w:bCs/>
          <w:noProof/>
          <w:sz w:val="24"/>
          <w:szCs w:val="24"/>
        </w:rPr>
        <w:t xml:space="preserve"> épülnek. A mesterséges intelligenciával kapcsolatos európai megközelítés összességében azt mutatja meg, hogy a gazdasági versenyképesség és a társadalmi bizalom miként fakadhat ugyanazon alapvető értékekből, és erősítheti kölcsönösen egymást.</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409079"/>
      <w:docPartObj>
        <w:docPartGallery w:val="Page Numbers (Bottom of Page)"/>
        <w:docPartUnique/>
      </w:docPartObj>
    </w:sdtPr>
    <w:sdtEndPr>
      <w:rPr>
        <w:rFonts w:ascii="Times New Roman" w:hAnsi="Times New Roman" w:cs="Times New Roman"/>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tabs>
          <w:tab w:val="left" w:pos="426"/>
        </w:tabs>
        <w:spacing w:before="40"/>
        <w:ind w:left="510" w:hanging="510"/>
        <w:jc w:val="both"/>
        <w:rPr>
          <w:rStyle w:val="FootnoteReference"/>
          <w:rFonts w:ascii="Times New Roman" w:hAnsi="Times New Roman" w:cs="Times New Roman"/>
          <w:vertAlign w:val="baseline"/>
        </w:rPr>
      </w:pPr>
      <w:r>
        <w:rPr>
          <w:rStyle w:val="FootnoteReference"/>
          <w:rFonts w:ascii="Times New Roman" w:hAnsi="Times New Roman" w:cs="Times New Roman"/>
        </w:rPr>
        <w:footnoteRef/>
      </w:r>
      <w:r>
        <w:rPr>
          <w:rStyle w:val="FootnoteReference"/>
          <w:rFonts w:ascii="Times New Roman" w:hAnsi="Times New Roman" w:cs="Times New Roman"/>
        </w:rPr>
        <w:t xml:space="preserve"> </w:t>
      </w:r>
      <w:r>
        <w:rPr>
          <w:rStyle w:val="FootnoteReference"/>
          <w:rFonts w:ascii="Times New Roman" w:hAnsi="Times New Roman" w:cs="Times New Roman"/>
        </w:rPr>
        <w:tab/>
      </w:r>
      <w:r>
        <w:rPr>
          <w:rFonts w:ascii="Times New Roman" w:hAnsi="Times New Roman"/>
        </w:rPr>
        <w:tab/>
        <w:t>.</w:t>
      </w:r>
    </w:p>
  </w:footnote>
  <w:footnote w:id="2">
    <w:p>
      <w:pPr>
        <w:pStyle w:val="FootnoteText"/>
        <w:tabs>
          <w:tab w:val="left" w:pos="426"/>
        </w:tabs>
        <w:spacing w:before="40"/>
        <w:ind w:left="510" w:hanging="51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r>
        <w:rPr>
          <w:rFonts w:ascii="Times New Roman" w:hAnsi="Times New Roman"/>
        </w:rPr>
        <w:tab/>
        <w:t>COM(2018) 795.</w:t>
      </w:r>
    </w:p>
  </w:footnote>
  <w:footnote w:id="3">
    <w:p>
      <w:pPr>
        <w:pStyle w:val="Typedudocument"/>
        <w:spacing w:before="40"/>
        <w:ind w:left="510" w:hanging="510"/>
        <w:jc w:val="both"/>
        <w:rPr>
          <w:b w:val="0"/>
          <w:color w:val="000000" w:themeColor="text1"/>
          <w:sz w:val="20"/>
          <w:szCs w:val="20"/>
        </w:rPr>
      </w:pPr>
      <w:r>
        <w:rPr>
          <w:rStyle w:val="FootnoteReference"/>
          <w:b w:val="0"/>
          <w:sz w:val="20"/>
          <w:szCs w:val="20"/>
        </w:rPr>
        <w:footnoteRef/>
      </w:r>
      <w:r>
        <w:rPr>
          <w:b w:val="0"/>
          <w:sz w:val="20"/>
          <w:szCs w:val="20"/>
        </w:rPr>
        <w:t xml:space="preserve"> </w:t>
      </w:r>
      <w:r>
        <w:rPr>
          <w:b w:val="0"/>
          <w:sz w:val="20"/>
          <w:szCs w:val="20"/>
        </w:rPr>
        <w:tab/>
        <w:t>E cél elérése érdekében a Bizottság a következő, 2021 és 2027 közötti programozási időszakra vonatkozóan azt javasolta, hogy az Unió évente legalább 1 milliárd eurót különítsen el az Európai horizont és a Digitális Európa programok költségvetéséből a mesterséges intelligencia területén történő beruházásokra.</w:t>
      </w:r>
    </w:p>
  </w:footnote>
  <w:footnote w:id="4">
    <w:p>
      <w:pPr>
        <w:pStyle w:val="FootnoteText"/>
        <w:ind w:left="510" w:hanging="510"/>
      </w:pPr>
      <w:r>
        <w:rPr>
          <w:rStyle w:val="FootnoteReference"/>
        </w:rPr>
        <w:footnoteRef/>
      </w:r>
      <w:r>
        <w:t xml:space="preserve"> </w:t>
      </w:r>
      <w:r>
        <w:tab/>
      </w:r>
      <w:r>
        <w:rPr>
          <w:rFonts w:ascii="Times New Roman" w:hAnsi="Times New Roman"/>
        </w:rPr>
        <w:t>Az EU a fogyatékossággal élő személyek jogairól szóló ENSZ-egyezményhez is csatlakozott.</w:t>
      </w:r>
    </w:p>
  </w:footnote>
  <w:footnote w:id="5">
    <w:p>
      <w:pPr>
        <w:pStyle w:val="FootnoteText"/>
        <w:ind w:left="510" w:hanging="510"/>
        <w:jc w:val="both"/>
      </w:pPr>
      <w:r>
        <w:rPr>
          <w:rStyle w:val="FootnoteReference"/>
        </w:rPr>
        <w:footnoteRef/>
      </w:r>
      <w:r>
        <w:t xml:space="preserve"> </w:t>
      </w:r>
      <w:r>
        <w:tab/>
      </w:r>
      <w:r>
        <w:rPr>
          <w:rFonts w:ascii="Times New Roman" w:hAnsi="Times New Roman"/>
          <w:bCs/>
          <w:color w:val="000000" w:themeColor="text1"/>
        </w:rPr>
        <w:t>(EU) 2016/679 rendelet. Az általános adatvédelmi rendelet (GDPR) biztosítja a személyes adatok szabad áramlását az Unión belül. Rendelkezéseket határoz meg a kizárólag automatizált feldolgozáson alapuló döntéshozatalra vonatkozóan, ideértve a profilalkotást is. Az érintett személyeknek joguk van ahhoz, hogy tájékoztatást kapjanak az automatizált döntéshozatal létezéséről, illetőleg ahhoz, hogy érdemi tájékoztatást kapjanak az automatizált döntéshozatal során alkalmazott logikáról, valamint adataik feldolgozásának jelentőségéről és várható következményeiről a saját szempontjukból. Ezekben az esetekben joguk van emberi beavatkozást kérni, álláspontjukat kifejteni és a döntést vitatni.</w:t>
      </w:r>
      <w:r>
        <w:rPr>
          <w:rFonts w:ascii="Times New Roman" w:hAnsi="Times New Roman"/>
          <w:bCs/>
          <w:color w:val="000000" w:themeColor="text1"/>
          <w:sz w:val="24"/>
          <w:szCs w:val="24"/>
        </w:rPr>
        <w:t xml:space="preserve"> </w:t>
      </w:r>
    </w:p>
  </w:footnote>
  <w:footnote w:id="6">
    <w:p>
      <w:pPr>
        <w:pStyle w:val="FootnoteText"/>
        <w:ind w:left="510" w:hanging="510"/>
      </w:pPr>
      <w:r>
        <w:rPr>
          <w:rStyle w:val="FootnoteReference"/>
        </w:rPr>
        <w:footnoteRef/>
      </w:r>
      <w:r>
        <w:t xml:space="preserve"> </w:t>
      </w:r>
      <w:r>
        <w:tab/>
      </w:r>
      <w:r>
        <w:rPr>
          <w:rFonts w:ascii="Times New Roman" w:hAnsi="Times New Roman"/>
        </w:rPr>
        <w:t>COM(2017) 10.</w:t>
      </w:r>
    </w:p>
  </w:footnote>
  <w:footnote w:id="7">
    <w:p>
      <w:pPr>
        <w:pStyle w:val="FootnoteText"/>
        <w:ind w:left="510" w:hanging="510"/>
      </w:pPr>
      <w:r>
        <w:rPr>
          <w:rStyle w:val="FootnoteReference"/>
        </w:rPr>
        <w:footnoteRef/>
      </w:r>
      <w:r>
        <w:t xml:space="preserve"> </w:t>
      </w:r>
      <w:r>
        <w:tab/>
      </w:r>
      <w:hyperlink r:id="rId1" w:history="1">
        <w:r>
          <w:rPr>
            <w:rStyle w:val="Hyperlink"/>
            <w:rFonts w:ascii="Times New Roman" w:hAnsi="Times New Roman"/>
          </w:rPr>
          <w:t>https://ec.europa.eu/digital-single-market/en/high-level-expert-group-artificial-intelligence</w:t>
        </w:r>
      </w:hyperlink>
    </w:p>
  </w:footnote>
  <w:footnote w:id="8">
    <w:p>
      <w:pPr>
        <w:pStyle w:val="FootnoteText"/>
        <w:ind w:left="510" w:hanging="510"/>
      </w:pPr>
      <w:r>
        <w:rPr>
          <w:rStyle w:val="FootnoteReference"/>
        </w:rPr>
        <w:footnoteRef/>
      </w:r>
      <w:r>
        <w:t xml:space="preserve"> </w:t>
      </w:r>
      <w:r>
        <w:tab/>
      </w:r>
      <w:hyperlink r:id="rId2" w:history="1">
        <w:r>
          <w:rPr>
            <w:rStyle w:val="Hyperlink"/>
            <w:rFonts w:ascii="Times New Roman" w:hAnsi="Times New Roman"/>
          </w:rPr>
          <w:t>https://ec.europa.eu/digital-single-market/en/european-ai-alliance</w:t>
        </w:r>
      </w:hyperlink>
    </w:p>
  </w:footnote>
  <w:footnote w:id="9">
    <w:p>
      <w:pPr>
        <w:pStyle w:val="Typedudocument"/>
        <w:spacing w:before="0"/>
        <w:ind w:left="510" w:hanging="510"/>
        <w:jc w:val="both"/>
        <w:rPr>
          <w:sz w:val="20"/>
          <w:szCs w:val="20"/>
        </w:rPr>
      </w:pPr>
      <w:r>
        <w:rPr>
          <w:rStyle w:val="FootnoteReference"/>
          <w:b w:val="0"/>
          <w:sz w:val="20"/>
          <w:szCs w:val="20"/>
        </w:rPr>
        <w:footnoteRef/>
      </w:r>
      <w:r>
        <w:rPr>
          <w:sz w:val="20"/>
          <w:szCs w:val="20"/>
        </w:rPr>
        <w:t xml:space="preserve"> </w:t>
      </w:r>
      <w:r>
        <w:rPr>
          <w:sz w:val="20"/>
          <w:szCs w:val="20"/>
        </w:rPr>
        <w:tab/>
      </w:r>
      <w:r>
        <w:rPr>
          <w:b w:val="0"/>
          <w:color w:val="000000" w:themeColor="text1"/>
          <w:sz w:val="20"/>
          <w:szCs w:val="20"/>
        </w:rPr>
        <w:t>A konzultáció keretében többek között 511 szervezet, szövetség, vállalat, kutatóintézet, egyén és más érdekelt fél nyújtotta be észrevételeit.</w:t>
      </w:r>
      <w:r>
        <w:rPr>
          <w:color w:val="000000" w:themeColor="text1"/>
          <w:sz w:val="20"/>
          <w:szCs w:val="20"/>
        </w:rPr>
        <w:t xml:space="preserve"> </w:t>
      </w:r>
      <w:r>
        <w:rPr>
          <w:b w:val="0"/>
          <w:color w:val="000000" w:themeColor="text1"/>
          <w:sz w:val="20"/>
          <w:szCs w:val="20"/>
        </w:rPr>
        <w:t xml:space="preserve">A beérkezett visszajelzések összefoglalója a következő címen érhető el: </w:t>
      </w:r>
      <w:hyperlink r:id="rId3" w:history="1">
        <w:r>
          <w:rPr>
            <w:rStyle w:val="Hyperlink"/>
            <w:b w:val="0"/>
            <w:sz w:val="20"/>
            <w:szCs w:val="20"/>
          </w:rPr>
          <w:t>https://ec.europa.eu/futurium/en/system/files/ged/consultation_feedback_on_draft_ai_ethics_guidelines_4.pdf</w:t>
        </w:r>
      </w:hyperlink>
    </w:p>
  </w:footnote>
  <w:footnote w:id="10">
    <w:p>
      <w:pPr>
        <w:pStyle w:val="Typedudocument"/>
        <w:spacing w:before="0"/>
        <w:ind w:left="510" w:hanging="510"/>
        <w:jc w:val="both"/>
      </w:pPr>
      <w:r>
        <w:rPr>
          <w:rStyle w:val="FootnoteReference"/>
          <w:b w:val="0"/>
          <w:sz w:val="20"/>
          <w:szCs w:val="20"/>
        </w:rPr>
        <w:footnoteRef/>
      </w:r>
      <w:r>
        <w:rPr>
          <w:b w:val="0"/>
          <w:sz w:val="20"/>
          <w:szCs w:val="20"/>
        </w:rPr>
        <w:t xml:space="preserve"> </w:t>
      </w:r>
      <w:r>
        <w:rPr>
          <w:sz w:val="20"/>
          <w:szCs w:val="20"/>
        </w:rPr>
        <w:tab/>
      </w:r>
      <w:r>
        <w:rPr>
          <w:b w:val="0"/>
          <w:color w:val="000000" w:themeColor="text1"/>
          <w:sz w:val="20"/>
          <w:szCs w:val="20"/>
        </w:rPr>
        <w:t>A tagállamok pozitívan fogadták a szakértői csoport munkáját, melynek nyomán a Tanács a 2019. február 18-i következtetéseiben egyebek mellett nyugtázta az etikai iránymutatások közelgő megjelenését, és támogatta a Bizottság arra irányuló törekvését, hogy az EU etikai megközelítését a globális színtéren is érvényesítse:</w:t>
      </w:r>
      <w:r>
        <w:t xml:space="preserve"> </w:t>
      </w:r>
      <w:hyperlink r:id="rId4" w:history="1">
        <w:r>
          <w:rPr>
            <w:rStyle w:val="Hyperlink"/>
            <w:b w:val="0"/>
            <w:sz w:val="20"/>
            <w:szCs w:val="20"/>
          </w:rPr>
          <w:t>https://data.consilium.europa.eu/doc/document/ST-6177-2019-INIT/hu/pdf</w:t>
        </w:r>
      </w:hyperlink>
    </w:p>
  </w:footnote>
  <w:footnote w:id="11">
    <w:p>
      <w:pPr>
        <w:rPr>
          <w:rStyle w:val="Hyperlink"/>
          <w:rFonts w:ascii="Times New Roman" w:hAnsi="Times New Roman" w:cs="Times New Roman"/>
          <w:bCs/>
          <w:sz w:val="20"/>
          <w:szCs w:val="20"/>
        </w:rPr>
      </w:pPr>
      <w:r>
        <w:rPr>
          <w:rStyle w:val="FootnoteReference"/>
        </w:rPr>
        <w:footnoteRef/>
      </w:r>
      <w:r>
        <w:t xml:space="preserve"> </w:t>
      </w:r>
      <w:r>
        <w:rPr>
          <w:rFonts w:ascii="Times New Roman" w:hAnsi="Times New Roman"/>
          <w:b/>
          <w:bCs/>
          <w:sz w:val="20"/>
          <w:szCs w:val="20"/>
        </w:rPr>
        <w:tab/>
      </w:r>
      <w:hyperlink r:id="rId5" w:anchor="Top" w:history="1">
        <w:r>
          <w:rPr>
            <w:rStyle w:val="Hyperlink"/>
            <w:rFonts w:ascii="Times New Roman" w:hAnsi="Times New Roman"/>
            <w:bCs/>
            <w:sz w:val="20"/>
            <w:szCs w:val="20"/>
          </w:rPr>
          <w:t>https://ec.europa.eu/futurium/en/ai-alliance-consultation/guidelines#Top</w:t>
        </w:r>
      </w:hyperlink>
    </w:p>
    <w:p>
      <w:pPr>
        <w:pStyle w:val="FootnoteText"/>
        <w:ind w:left="510" w:hanging="510"/>
        <w:rPr>
          <w:rStyle w:val="Hyperlink"/>
          <w:rFonts w:ascii="Times New Roman" w:hAnsi="Times New Roman" w:cs="Times New Roman"/>
          <w:bCs/>
        </w:rPr>
      </w:pPr>
    </w:p>
  </w:footnote>
  <w:footnote w:id="12">
    <w:p>
      <w:pPr>
        <w:pStyle w:val="FootnoteText"/>
        <w:ind w:left="426" w:hanging="426"/>
        <w:jc w:val="both"/>
        <w:rPr>
          <w:rFonts w:ascii="Times New Roman" w:hAnsi="Times New Roman" w:cs="Times New Roman"/>
        </w:rPr>
      </w:pPr>
      <w:r>
        <w:rPr>
          <w:rStyle w:val="FootnoteReference"/>
        </w:rPr>
        <w:footnoteRef/>
      </w:r>
      <w:r>
        <w:t xml:space="preserve"> </w:t>
      </w:r>
      <w:r>
        <w:tab/>
      </w:r>
      <w:r>
        <w:rPr>
          <w:rFonts w:ascii="Times New Roman" w:hAnsi="Times New Roman"/>
        </w:rPr>
        <w:t>Az általános adatvédelmi rendelet felruházza a magánszemélyeket a kizárólag automatizált adatkezelésen alapuló döntések alóli mentesüléshez való joggal, amennyiben a döntésnek joghatása vagy hasonlóan jelentős hatása van a felhasználókra nézve (általános adatvédelmi rendelet, 22. cikk).</w:t>
      </w:r>
    </w:p>
  </w:footnote>
  <w:footnote w:id="13">
    <w:p>
      <w:pPr>
        <w:pStyle w:val="FootnoteText"/>
        <w:ind w:left="426" w:hanging="426"/>
        <w:jc w:val="both"/>
        <w:rPr>
          <w:rFonts w:ascii="Times New Roman" w:hAnsi="Times New Roman" w:cs="Times New Roman"/>
          <w:sz w:val="18"/>
        </w:rPr>
      </w:pPr>
      <w:r>
        <w:rPr>
          <w:rStyle w:val="FootnoteReference"/>
          <w:rFonts w:ascii="Times New Roman" w:hAnsi="Times New Roman" w:cs="Times New Roman"/>
          <w:sz w:val="18"/>
        </w:rPr>
        <w:footnoteRef/>
      </w:r>
      <w:r>
        <w:rPr>
          <w:rFonts w:ascii="Times New Roman" w:hAnsi="Times New Roman"/>
          <w:sz w:val="18"/>
        </w:rPr>
        <w:t xml:space="preserve"> </w:t>
      </w:r>
      <w:r>
        <w:rPr>
          <w:rFonts w:ascii="Times New Roman" w:hAnsi="Times New Roman"/>
          <w:sz w:val="18"/>
        </w:rPr>
        <w:tab/>
      </w:r>
      <w:r>
        <w:rPr>
          <w:rFonts w:ascii="Times New Roman" w:hAnsi="Times New Roman"/>
        </w:rPr>
        <w:t>A „human-in-the-loop” (emberi beavatkozás, HITL) megközelítés a rendszer minden egyes döntési ciklusában emberi beavatkozást feltételez, ami sok esetben nem lehetséges és nem is elvárás.</w:t>
      </w:r>
      <w:r>
        <w:rPr>
          <w:rFonts w:ascii="Times New Roman" w:hAnsi="Times New Roman"/>
          <w:color w:val="000000"/>
        </w:rPr>
        <w:t xml:space="preserve"> A „human-on-the-loop” (emberi felügyelet, HOTL) megközelítés a rendszer tervezési ciklusa alatti emberi beavatkozás lehetőségét, valamint a rendszer működésének figyelemmel kísérését jelenti. A „human-in-command” (emberi vezérlés, HIC) megközelítés értelmében ember felügyeli az AI-rendszer általános tevékenységét (beleértve annak tágabb értelemben vett gazdasági, társadalmi, jogi és etikai hatásait), és dönthet arról, hogy a rendszert mikor és hogyan használja fel egy adott helyzetben. Ez lehetőséget biztosíthat arra is, hogy egy adott helyzetben ne használják az AI-rendszert, a rendszer használata során megállapítsák az emberi döntést igénylő szinteket, illetve hogy felülbírálják a rendszer által hozott döntéseket.</w:t>
      </w:r>
    </w:p>
  </w:footnote>
  <w:footnote w:id="14">
    <w:p>
      <w:pPr>
        <w:pStyle w:val="FootnoteText"/>
        <w:ind w:left="510" w:hanging="510"/>
      </w:pPr>
      <w:r>
        <w:rPr>
          <w:rStyle w:val="FootnoteReference"/>
        </w:rPr>
        <w:footnoteRef/>
      </w:r>
      <w:r>
        <w:t xml:space="preserve"> </w:t>
      </w:r>
      <w:r>
        <w:tab/>
      </w:r>
      <w:r>
        <w:rPr>
          <w:rFonts w:ascii="Times New Roman" w:hAnsi="Times New Roman"/>
        </w:rPr>
        <w:t>Lásd az összekapcsolt és automatizált mobilitásról szóló bizottsági közleményt, COM(2018) 283.</w:t>
      </w:r>
    </w:p>
  </w:footnote>
  <w:footnote w:id="15">
    <w:p>
      <w:pPr>
        <w:pStyle w:val="FootnoteText"/>
        <w:ind w:left="510" w:hanging="510"/>
        <w:jc w:val="both"/>
        <w:rPr>
          <w:rFonts w:ascii="Times New Roman" w:hAnsi="Times New Roman" w:cs="Times New Roman"/>
        </w:rPr>
      </w:pPr>
      <w:r>
        <w:rPr>
          <w:rStyle w:val="FootnoteReference"/>
        </w:rPr>
        <w:footnoteRef/>
      </w:r>
      <w:r>
        <w:t xml:space="preserve"> </w:t>
      </w:r>
      <w:r>
        <w:rPr>
          <w:rFonts w:ascii="Times New Roman" w:hAnsi="Times New Roman"/>
        </w:rPr>
        <w:tab/>
        <w:t>Az Európai Védelmi Alap keretében a Bizottság külön etikai iránymutatást fog kidolgozni a védelmi célú mesterséges intelligenciával kapcsolatos projektjavaslatok értékelésére.</w:t>
      </w:r>
    </w:p>
  </w:footnote>
  <w:footnote w:id="16">
    <w:p>
      <w:pPr>
        <w:spacing w:after="0" w:line="240" w:lineRule="auto"/>
        <w:ind w:left="510" w:hanging="510"/>
      </w:pPr>
      <w:r>
        <w:rPr>
          <w:rStyle w:val="FootnoteReference"/>
        </w:rPr>
        <w:footnoteRef/>
      </w:r>
      <w:r>
        <w:t xml:space="preserve"> </w:t>
      </w:r>
      <w:r>
        <w:tab/>
      </w:r>
      <w:hyperlink r:id="rId6" w:history="1">
        <w:r>
          <w:rPr>
            <w:rStyle w:val="Hyperlink"/>
            <w:rFonts w:ascii="Times New Roman" w:hAnsi="Times New Roman"/>
            <w:sz w:val="20"/>
            <w:szCs w:val="20"/>
          </w:rPr>
          <w:t>https://ec.europa.eu/digital-single-market/en/news/artificial-intelligence-ai4eu-project-launches-1-january-2019</w:t>
        </w:r>
      </w:hyperlink>
    </w:p>
  </w:footnote>
  <w:footnote w:id="17">
    <w:p>
      <w:pPr>
        <w:pStyle w:val="FootnoteText"/>
        <w:spacing w:before="40"/>
        <w:ind w:left="510" w:hanging="510"/>
        <w:jc w:val="both"/>
      </w:pPr>
      <w:r>
        <w:rPr>
          <w:rStyle w:val="FootnoteReference"/>
        </w:rPr>
        <w:footnoteRef/>
      </w:r>
      <w:r>
        <w:rPr>
          <w:rFonts w:ascii="Times New Roman" w:hAnsi="Times New Roman"/>
          <w:bCs/>
          <w:color w:val="000000" w:themeColor="text1"/>
        </w:rPr>
        <w:t xml:space="preserve"> </w:t>
      </w:r>
      <w:r>
        <w:rPr>
          <w:rFonts w:ascii="Times New Roman" w:hAnsi="Times New Roman"/>
          <w:bCs/>
          <w:color w:val="000000" w:themeColor="text1"/>
        </w:rPr>
        <w:tab/>
        <w:t>Az Unió külügyi és biztonságpolitikai főképviselője a munka során a Bizottság támogatásával az ENSZ, a Globális Technológiai Bizottság és egyéb többoldalú fórumok keretében folytatott konzultációkból fog kiindulni, és mindenekelőtt koordinálni fogja a felmerülő összetett biztonsági kihívások kezelésével kapcsolatos javaslatokat.</w:t>
      </w:r>
      <w:r>
        <w:rPr>
          <w:rFonts w:ascii="Times New Roman" w:hAnsi="Times New Roman"/>
          <w:bCs/>
          <w:color w:val="000000" w:themeColor="text1"/>
          <w:sz w:val="24"/>
          <w:szCs w:val="24"/>
        </w:rPr>
        <w:t xml:space="preserve">   </w:t>
      </w:r>
      <w:r>
        <w:t xml:space="preserve"> </w:t>
      </w:r>
    </w:p>
  </w:footnote>
  <w:footnote w:id="18">
    <w:p>
      <w:pPr>
        <w:pStyle w:val="FootnoteText"/>
        <w:ind w:left="510" w:hanging="51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r>
        <w:rPr>
          <w:rFonts w:ascii="Times New Roman" w:hAnsi="Times New Roman"/>
          <w:bCs/>
          <w:color w:val="000000"/>
        </w:rPr>
        <w:t>Az Európai Parlament és a Tanács 234/2014/EU rendelete (2014. március 11.) a harmadik országokkal folytatott együttműködésre irányuló Partnerségi Eszköz létrehozásáról (HL L 77., 2014.3.15., 77. o.).</w:t>
      </w:r>
      <w:r>
        <w:rPr>
          <w:rFonts w:ascii="Times New Roman" w:hAnsi="Times New Roman"/>
        </w:rPr>
        <w:t xml:space="preserve"> Tervben van például egy projekt, melynek célja egy, a mesterséges intelligencia emberközpontú megközelítését előmozdító nemzetközi szövetség létrehozása, és amely meg fogja könnyíteni a hasonlóan gondolkodó partnerek számára az etikai iránymutatások népszerűsítésére, valamint a közös elvek és operatív következtetések elfogadására irányuló közös kezdeményezéseket indítását. A projekt lehetővé fogja tenni az EU és a hasonlóan gondolkodó országok számára, hogy egy közös megközelítés kialakítása érdekében megvitassák a szakértői csoport által javasolt, mesterséges intelligenciára vonatkozó etikai iránymutatásokból levont operatív következtetéseket. Ezenkívül lehetőséget fog biztosítani az AI-technológiák globális terjedésének nyomon követésére. Végezetül a tervek szerint a projekt keretében nemzetközi rendezvényeket – például a G7-ek, a G20-ak és az OECD üléseit – kísérő társadalmi diplomáciai tevékenységek is megrendezésre kerülnek. </w:t>
      </w:r>
    </w:p>
  </w:footnote>
  <w:footnote w:id="19">
    <w:p>
      <w:pPr>
        <w:pStyle w:val="FootnoteText"/>
        <w:ind w:left="532" w:hanging="532"/>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hyperlink r:id="rId7" w:history="1">
        <w:r>
          <w:rPr>
            <w:rStyle w:val="Hyperlink"/>
            <w:rFonts w:ascii="Times New Roman" w:hAnsi="Times New Roman"/>
          </w:rPr>
          <w:t>http://s3platform.jrc.ec.europa.eu/digital-innovation-hubs</w:t>
        </w:r>
      </w:hyperlink>
    </w:p>
  </w:footnote>
  <w:footnote w:id="20">
    <w:p>
      <w:pPr>
        <w:pStyle w:val="FootnoteText"/>
        <w:ind w:left="532" w:hanging="532"/>
        <w:jc w:val="both"/>
        <w:rPr>
          <w:rFonts w:ascii="Times New Roman" w:hAnsi="Times New Roman" w:cs="Times New Roman"/>
        </w:rPr>
      </w:pPr>
      <w:r>
        <w:rPr>
          <w:rStyle w:val="FootnoteReference"/>
        </w:rPr>
        <w:footnoteRef/>
      </w:r>
      <w:r>
        <w:t xml:space="preserve"> </w:t>
      </w:r>
      <w:r>
        <w:tab/>
      </w:r>
      <w:r>
        <w:rPr>
          <w:rFonts w:ascii="Times New Roman" w:hAnsi="Times New Roman"/>
        </w:rPr>
        <w:t>A szükséges forrásokat a „Horizont 2020” program (amelynek keretében a 2018 és 2020 közötti időszakban közel 1,5 milliárd EUR jut a mesterséges intelligenciára), tervezett utódprogramja, az Európai horizont, az Európai Hálózatfinanszírozási Eszköz digitális része és különösen a jövőbeli Digitális Európa program fogja biztosítani. A projektek finanszírozásához a magánszektorból és a tagállami programokból származó források is hozzá fognak járulni.</w:t>
      </w:r>
      <w:r>
        <w:t xml:space="preserve"> </w:t>
      </w:r>
    </w:p>
  </w:footnote>
  <w:footnote w:id="21">
    <w:p>
      <w:pPr>
        <w:pStyle w:val="FootnoteText"/>
        <w:ind w:left="532" w:hanging="532"/>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Lásd a „Mesterséges intelligencia Európa számára” című bizottsági közleményt, COM(2018) 237.</w:t>
      </w:r>
    </w:p>
  </w:footnote>
  <w:footnote w:id="22">
    <w:p>
      <w:pPr>
        <w:pStyle w:val="FootnoteText"/>
        <w:tabs>
          <w:tab w:val="left" w:pos="567"/>
        </w:tabs>
        <w:ind w:left="532" w:hanging="532"/>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hyperlink r:id="rId8" w:history="1">
        <w:r>
          <w:rPr>
            <w:rStyle w:val="Hyperlink"/>
            <w:rFonts w:ascii="Times New Roman" w:hAnsi="Times New Roman"/>
          </w:rPr>
          <w:t>https://eurohpc-ju.europa.eu</w:t>
        </w:r>
      </w:hyperlink>
    </w:p>
  </w:footnote>
  <w:footnote w:id="23">
    <w:p>
      <w:pPr>
        <w:pStyle w:val="FootnoteText"/>
        <w:tabs>
          <w:tab w:val="left" w:pos="567"/>
        </w:tabs>
        <w:ind w:left="532" w:hanging="532"/>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hyperlink r:id="rId9" w:history="1">
        <w:r>
          <w:rPr>
            <w:rStyle w:val="Hyperlink"/>
            <w:rFonts w:ascii="Times New Roman" w:hAnsi="Times New Roman"/>
          </w:rPr>
          <w:t>www.ecsel.eu</w:t>
        </w:r>
      </w:hyperlink>
    </w:p>
  </w:footnote>
  <w:footnote w:id="24">
    <w:p>
      <w:pPr>
        <w:pStyle w:val="FootnoteText"/>
        <w:ind w:left="532" w:hanging="532"/>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hyperlink r:id="rId10" w:history="1">
        <w:r>
          <w:rPr>
            <w:rStyle w:val="Hyperlink"/>
            <w:rFonts w:ascii="Times New Roman" w:hAnsi="Times New Roman"/>
          </w:rPr>
          <w:t>www.european-processor-initiative.eu</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6D12"/>
    <w:multiLevelType w:val="hybridMultilevel"/>
    <w:tmpl w:val="89A62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0126DB"/>
    <w:multiLevelType w:val="hybridMultilevel"/>
    <w:tmpl w:val="D23E34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54058B"/>
    <w:multiLevelType w:val="hybridMultilevel"/>
    <w:tmpl w:val="A686CDE4"/>
    <w:lvl w:ilvl="0" w:tplc="8072398C">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E25D64"/>
    <w:multiLevelType w:val="hybridMultilevel"/>
    <w:tmpl w:val="FBD830AA"/>
    <w:name w:val="CPSNumberingScheme"/>
    <w:lvl w:ilvl="0" w:tplc="693488F2">
      <w:start w:val="1"/>
      <w:numFmt w:val="decimal"/>
      <w:lvlText w:val="%1."/>
      <w:lvlJc w:val="right"/>
      <w:pPr>
        <w:ind w:left="500" w:hanging="180"/>
      </w:pPr>
    </w:lvl>
    <w:lvl w:ilvl="1" w:tplc="1B002B66">
      <w:start w:val="1"/>
      <w:numFmt w:val="decimal"/>
      <w:lvlText w:val="%2."/>
      <w:lvlJc w:val="right"/>
      <w:pPr>
        <w:ind w:left="1000" w:hanging="180"/>
      </w:pPr>
    </w:lvl>
    <w:lvl w:ilvl="2" w:tplc="71E28308">
      <w:start w:val="1"/>
      <w:numFmt w:val="decimal"/>
      <w:lvlText w:val="%3."/>
      <w:lvlJc w:val="right"/>
      <w:pPr>
        <w:ind w:left="1500" w:hanging="180"/>
      </w:pPr>
    </w:lvl>
    <w:lvl w:ilvl="3" w:tplc="6CF6B8D6">
      <w:start w:val="1"/>
      <w:numFmt w:val="decimal"/>
      <w:lvlText w:val="%4."/>
      <w:lvlJc w:val="right"/>
      <w:pPr>
        <w:ind w:left="2000" w:hanging="180"/>
      </w:pPr>
    </w:lvl>
    <w:lvl w:ilvl="4" w:tplc="5A4A32B6">
      <w:start w:val="1"/>
      <w:numFmt w:val="decimal"/>
      <w:lvlText w:val="%5."/>
      <w:lvlJc w:val="right"/>
      <w:pPr>
        <w:ind w:left="2500" w:hanging="180"/>
      </w:pPr>
    </w:lvl>
    <w:lvl w:ilvl="5" w:tplc="BB9001BC">
      <w:start w:val="1"/>
      <w:numFmt w:val="decimal"/>
      <w:lvlText w:val="%6."/>
      <w:lvlJc w:val="right"/>
      <w:pPr>
        <w:ind w:left="3000" w:hanging="180"/>
      </w:pPr>
    </w:lvl>
    <w:lvl w:ilvl="6" w:tplc="D7B24302">
      <w:start w:val="1"/>
      <w:numFmt w:val="decimal"/>
      <w:lvlText w:val="%7."/>
      <w:lvlJc w:val="right"/>
      <w:pPr>
        <w:ind w:left="3500" w:hanging="180"/>
      </w:pPr>
    </w:lvl>
    <w:lvl w:ilvl="7" w:tplc="1046D4F8">
      <w:start w:val="1"/>
      <w:numFmt w:val="decimal"/>
      <w:lvlText w:val="%8."/>
      <w:lvlJc w:val="right"/>
      <w:pPr>
        <w:ind w:left="4000" w:hanging="180"/>
      </w:pPr>
    </w:lvl>
    <w:lvl w:ilvl="8" w:tplc="C96A7890">
      <w:start w:val="1"/>
      <w:numFmt w:val="decimal"/>
      <w:lvlText w:val="%9."/>
      <w:lvlJc w:val="right"/>
      <w:pPr>
        <w:ind w:left="4500" w:hanging="180"/>
      </w:pPr>
    </w:lvl>
  </w:abstractNum>
  <w:abstractNum w:abstractNumId="4">
    <w:nsid w:val="20EF1DDD"/>
    <w:multiLevelType w:val="hybridMultilevel"/>
    <w:tmpl w:val="C65AF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9F6B68"/>
    <w:multiLevelType w:val="hybridMultilevel"/>
    <w:tmpl w:val="8F682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1B1282"/>
    <w:multiLevelType w:val="hybridMultilevel"/>
    <w:tmpl w:val="89A62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90D1D6C"/>
    <w:multiLevelType w:val="hybridMultilevel"/>
    <w:tmpl w:val="D0C23DDA"/>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59C05152"/>
    <w:multiLevelType w:val="hybridMultilevel"/>
    <w:tmpl w:val="20CA3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5D53441"/>
    <w:multiLevelType w:val="hybridMultilevel"/>
    <w:tmpl w:val="DE1422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89F2CB9"/>
    <w:multiLevelType w:val="hybridMultilevel"/>
    <w:tmpl w:val="79D42972"/>
    <w:lvl w:ilvl="0" w:tplc="09E8449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7C3B25A8"/>
    <w:multiLevelType w:val="hybridMultilevel"/>
    <w:tmpl w:val="A38CBC06"/>
    <w:lvl w:ilvl="0" w:tplc="8072398C">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8"/>
  </w:num>
  <w:num w:numId="3">
    <w:abstractNumId w:val="10"/>
  </w:num>
  <w:num w:numId="4">
    <w:abstractNumId w:val="4"/>
  </w:num>
  <w:num w:numId="5">
    <w:abstractNumId w:val="7"/>
  </w:num>
  <w:num w:numId="6">
    <w:abstractNumId w:val="2"/>
  </w:num>
  <w:num w:numId="7">
    <w:abstractNumId w:val="0"/>
  </w:num>
  <w:num w:numId="8">
    <w:abstractNumId w:val="11"/>
  </w:num>
  <w:num w:numId="9">
    <w:abstractNumId w:val="3"/>
    <w:lvlOverride w:ilvl="0">
      <w:startOverride w:val="1"/>
      <w:lvl w:ilvl="0" w:tplc="693488F2">
        <w:start w:val="1"/>
        <w:numFmt w:val="bullet"/>
        <w:lvlText w:val=""/>
        <w:lvlJc w:val="right"/>
        <w:pPr>
          <w:ind w:left="500" w:hanging="180"/>
        </w:pPr>
        <w:rPr>
          <w:rFonts w:ascii="Symbol" w:hAnsi="Symbol" w:hint="default"/>
        </w:rPr>
      </w:lvl>
    </w:lvlOverride>
    <w:lvlOverride w:ilvl="1">
      <w:startOverride w:val="1"/>
      <w:lvl w:ilvl="1" w:tplc="1B002B66">
        <w:start w:val="1"/>
        <w:numFmt w:val="decimal"/>
        <w:lvlText w:val="%2."/>
        <w:lvlJc w:val="right"/>
        <w:pPr>
          <w:ind w:left="1000" w:hanging="180"/>
        </w:pPr>
      </w:lvl>
    </w:lvlOverride>
    <w:lvlOverride w:ilvl="2">
      <w:startOverride w:val="1"/>
      <w:lvl w:ilvl="2" w:tplc="71E28308">
        <w:start w:val="1"/>
        <w:numFmt w:val="decimal"/>
        <w:lvlText w:val="%3."/>
        <w:lvlJc w:val="right"/>
        <w:pPr>
          <w:ind w:left="1500" w:hanging="180"/>
        </w:pPr>
      </w:lvl>
    </w:lvlOverride>
    <w:lvlOverride w:ilvl="3">
      <w:startOverride w:val="1"/>
      <w:lvl w:ilvl="3" w:tplc="6CF6B8D6">
        <w:start w:val="1"/>
        <w:numFmt w:val="decimal"/>
        <w:lvlText w:val="%4."/>
        <w:lvlJc w:val="right"/>
        <w:pPr>
          <w:ind w:left="2000" w:hanging="180"/>
        </w:pPr>
      </w:lvl>
    </w:lvlOverride>
    <w:lvlOverride w:ilvl="4">
      <w:startOverride w:val="1"/>
      <w:lvl w:ilvl="4" w:tplc="5A4A32B6">
        <w:start w:val="1"/>
        <w:numFmt w:val="decimal"/>
        <w:lvlText w:val="%5."/>
        <w:lvlJc w:val="right"/>
        <w:pPr>
          <w:ind w:left="2500" w:hanging="180"/>
        </w:pPr>
      </w:lvl>
    </w:lvlOverride>
    <w:lvlOverride w:ilvl="5">
      <w:startOverride w:val="1"/>
      <w:lvl w:ilvl="5" w:tplc="BB9001BC">
        <w:start w:val="1"/>
        <w:numFmt w:val="decimal"/>
        <w:lvlText w:val="%6."/>
        <w:lvlJc w:val="right"/>
        <w:pPr>
          <w:ind w:left="3000" w:hanging="180"/>
        </w:pPr>
      </w:lvl>
    </w:lvlOverride>
    <w:lvlOverride w:ilvl="6">
      <w:startOverride w:val="1"/>
      <w:lvl w:ilvl="6" w:tplc="D7B24302">
        <w:start w:val="1"/>
        <w:numFmt w:val="decimal"/>
        <w:lvlText w:val="%7."/>
        <w:lvlJc w:val="right"/>
        <w:pPr>
          <w:ind w:left="3500" w:hanging="180"/>
        </w:pPr>
      </w:lvl>
    </w:lvlOverride>
    <w:lvlOverride w:ilvl="7">
      <w:startOverride w:val="1"/>
      <w:lvl w:ilvl="7" w:tplc="1046D4F8">
        <w:start w:val="1"/>
        <w:numFmt w:val="decimal"/>
        <w:lvlText w:val="%8."/>
        <w:lvlJc w:val="right"/>
        <w:pPr>
          <w:ind w:left="4000" w:hanging="180"/>
        </w:pPr>
      </w:lvl>
    </w:lvlOverride>
    <w:lvlOverride w:ilvl="8">
      <w:startOverride w:val="1"/>
      <w:lvl w:ilvl="8" w:tplc="C96A7890">
        <w:start w:val="1"/>
        <w:numFmt w:val="decimal"/>
        <w:lvlText w:val="%9."/>
        <w:lvlJc w:val="right"/>
        <w:pPr>
          <w:ind w:left="4500" w:hanging="180"/>
        </w:pPr>
      </w:lvl>
    </w:lvlOverride>
  </w:num>
  <w:num w:numId="10">
    <w:abstractNumId w:val="1"/>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revisionView w:markup="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46BA6586-567E-4443-85BD-A6CF0188F4C3"/>
    <w:docVar w:name="LW_COVERPAGE_TYPE" w:val="1"/>
    <w:docVar w:name="LW_CROSSREFERENCE" w:val="&lt;UNUSED&gt;"/>
    <w:docVar w:name="LW_DocType" w:val="NORMAL"/>
    <w:docVar w:name="LW_EMISSION" w:val="2019.4.8."/>
    <w:docVar w:name="LW_EMISSION_ISODATE" w:val="2019-04-08"/>
    <w:docVar w:name="LW_EMISSION_LOCATION" w:val="BRX"/>
    <w:docVar w:name="LW_EMISSION_PREFIX" w:val="Brüsszel, "/>
    <w:docVar w:name="LW_EMISSION_SUFFIX" w:val=" "/>
    <w:docVar w:name="LW_ID_DOCTYPE_NONLW" w:val="CP-014"/>
    <w:docVar w:name="LW_LANGUE" w:val="HU"/>
    <w:docVar w:name="LW_LEVEL_OF_SENSITIVITY" w:val="Standard treatment"/>
    <w:docVar w:name="LW_NOM.INST" w:val="EURÓPAI BIZOTTSÁG"/>
    <w:docVar w:name="LW_NOM.INST_JOINTDOC" w:val="&lt;EMPTY&gt;"/>
    <w:docVar w:name="LW_PART_NBR" w:val="1"/>
    <w:docVar w:name="LW_PART_NBR_TOTAL" w:val="1"/>
    <w:docVar w:name="LW_REF.INST.NEW" w:val="COM"/>
    <w:docVar w:name="LW_REF.INST.NEW_ADOPTED" w:val="final"/>
    <w:docVar w:name="LW_REF.INST.NEW_TEXT" w:val="(2019) 16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Az emberközpontú mesterséges intelligencia iránti bizalom növelése&lt;/FMT&gt;"/>
    <w:docVar w:name="LW_TYPE.DOC.CP" w:val="A BIZOTTSÁG KÖZLEMÉNYE AZ EURÓPAI PARLAMENTNEK, A TANÁCSNAK, AZ EURÓPAI GAZDASÁGI ÉS SZOCIÁLIS BIZOTTSÁGNAK ÉS A RÉGIÓK BIZOTTSÁGÁNAK"/>
    <w:docVar w:name="LW_TYPE.DOC.CP.USERTEXT" w:val="&lt;EMPTY&gt;"/>
    <w:docVar w:name="Stamp" w:val="\\dossiers.dgt.cec.eu.int\dossiers\CNECT\CNECT-2019-00118\CNECT-2019-00118-00-00-EN-EDT-00.201903120915467957681.DOCX"/>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Typedudocument">
    <w:name w:val="Type du document"/>
    <w:basedOn w:val="Normal"/>
    <w:link w:val="TypedudocumentChar"/>
    <w:pPr>
      <w:spacing w:before="360" w:after="0" w:line="240" w:lineRule="auto"/>
      <w:jc w:val="center"/>
    </w:pPr>
    <w:rPr>
      <w:rFonts w:ascii="Times New Roman" w:hAnsi="Times New Roman" w:cs="Times New Roman"/>
      <w:b/>
      <w:bCs/>
      <w:sz w:val="24"/>
      <w:szCs w:val="24"/>
    </w:rPr>
  </w:style>
  <w:style w:type="paragraph" w:styleId="FootnoteText">
    <w:name w:val="footnote text"/>
    <w:basedOn w:val="Normal"/>
    <w:uiPriority w:val="99"/>
    <w:unhideWhenUsed/>
    <w:pPr>
      <w:spacing w:after="0" w:line="240" w:lineRule="auto"/>
    </w:pPr>
    <w:rPr>
      <w:sz w:val="20"/>
      <w:szCs w:val="20"/>
    </w:rPr>
  </w:style>
  <w:style w:type="character" w:customStyle="1" w:styleId="FootnoteTextChar">
    <w:name w:val="Footnote Text Char"/>
    <w:basedOn w:val="DefaultParagraphFont"/>
    <w:uiPriority w:val="99"/>
    <w:rPr>
      <w:sz w:val="20"/>
      <w:szCs w:val="20"/>
    </w:rPr>
  </w:style>
  <w:style w:type="character" w:styleId="FootnoteReference">
    <w:name w:val="footnote reference"/>
    <w:basedOn w:val="DefaultParagraphFont"/>
    <w:uiPriority w:val="99"/>
    <w:unhideWhenUsed/>
    <w:rPr>
      <w:vertAlign w:val="superscript"/>
    </w:rPr>
  </w:style>
  <w:style w:type="character" w:customStyle="1" w:styleId="TypedudocumentChar">
    <w:name w:val="Type du document Char"/>
    <w:basedOn w:val="DefaultParagraphFont"/>
    <w:link w:val="Typedudocument"/>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white-space">
    <w:name w:val="white-space"/>
    <w:basedOn w:val="DefaultParagraphFont"/>
  </w:style>
  <w:style w:type="character" w:customStyle="1" w:styleId="st">
    <w:name w:val="st"/>
    <w:basedOn w:val="DefaultParagraphFont"/>
  </w:style>
  <w:style w:type="character" w:styleId="Hyperlink">
    <w:name w:val="Hyperlink"/>
    <w:basedOn w:val="DefaultParagraphFont"/>
    <w:uiPriority w:val="99"/>
    <w:unhideWhenUsed/>
    <w:rPr>
      <w:color w:val="0000FF" w:themeColor="hyperlink"/>
      <w:u w:val="single"/>
    </w:rPr>
  </w:style>
  <w:style w:type="character" w:customStyle="1" w:styleId="update1">
    <w:name w:val="update1"/>
    <w:basedOn w:val="DefaultParagraphFont"/>
    <w:rPr>
      <w:color w:val="006666"/>
    </w:rPr>
  </w:style>
  <w:style w:type="character" w:customStyle="1" w:styleId="bold1">
    <w:name w:val="bold1"/>
    <w:basedOn w:val="DefaultParagraphFont"/>
    <w:rPr>
      <w:b/>
      <w:bCs/>
    </w:rPr>
  </w:style>
  <w:style w:type="paragraph" w:styleId="Revision">
    <w:name w:val="Revision"/>
    <w:hidden/>
    <w:uiPriority w:val="99"/>
    <w:semiHidden/>
    <w:pPr>
      <w:spacing w:after="0" w:line="240" w:lineRule="auto"/>
    </w:pPr>
  </w:style>
  <w:style w:type="paragraph" w:styleId="ListParagraph">
    <w:name w:val="List Paragraph"/>
    <w:basedOn w:val="Normal"/>
    <w:link w:val="ListParagraphChar"/>
    <w:uiPriority w:val="34"/>
    <w:qFormat/>
    <w:pPr>
      <w:ind w:left="720"/>
      <w:contextualSpacing/>
    </w:pPr>
  </w:style>
  <w:style w:type="paragraph" w:customStyle="1" w:styleId="Normal1">
    <w:name w:val="Normal1"/>
    <w:rPr>
      <w:rFonts w:ascii="Calibri" w:eastAsia="Calibri" w:hAnsi="Calibri" w:cs="Calibri"/>
      <w:lang w:eastAsia="fr-FR"/>
    </w:rPr>
  </w:style>
  <w:style w:type="character" w:customStyle="1" w:styleId="ListParagraphChar">
    <w:name w:val="List Paragraph Char"/>
    <w:basedOn w:val="DefaultParagraphFont"/>
    <w:link w:val="ListParagraph"/>
    <w:uiPriority w:val="34"/>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Typedudocument">
    <w:name w:val="Type du document"/>
    <w:basedOn w:val="Normal"/>
    <w:link w:val="TypedudocumentChar"/>
    <w:pPr>
      <w:spacing w:before="360" w:after="0" w:line="240" w:lineRule="auto"/>
      <w:jc w:val="center"/>
    </w:pPr>
    <w:rPr>
      <w:rFonts w:ascii="Times New Roman" w:hAnsi="Times New Roman" w:cs="Times New Roman"/>
      <w:b/>
      <w:bCs/>
      <w:sz w:val="24"/>
      <w:szCs w:val="24"/>
    </w:rPr>
  </w:style>
  <w:style w:type="paragraph" w:styleId="FootnoteText">
    <w:name w:val="footnote text"/>
    <w:basedOn w:val="Normal"/>
    <w:uiPriority w:val="99"/>
    <w:unhideWhenUsed/>
    <w:pPr>
      <w:spacing w:after="0" w:line="240" w:lineRule="auto"/>
    </w:pPr>
    <w:rPr>
      <w:sz w:val="20"/>
      <w:szCs w:val="20"/>
    </w:rPr>
  </w:style>
  <w:style w:type="character" w:customStyle="1" w:styleId="FootnoteTextChar">
    <w:name w:val="Footnote Text Char"/>
    <w:basedOn w:val="DefaultParagraphFont"/>
    <w:uiPriority w:val="99"/>
    <w:rPr>
      <w:sz w:val="20"/>
      <w:szCs w:val="20"/>
    </w:rPr>
  </w:style>
  <w:style w:type="character" w:styleId="FootnoteReference">
    <w:name w:val="footnote reference"/>
    <w:basedOn w:val="DefaultParagraphFont"/>
    <w:uiPriority w:val="99"/>
    <w:unhideWhenUsed/>
    <w:rPr>
      <w:vertAlign w:val="superscript"/>
    </w:rPr>
  </w:style>
  <w:style w:type="character" w:customStyle="1" w:styleId="TypedudocumentChar">
    <w:name w:val="Type du document Char"/>
    <w:basedOn w:val="DefaultParagraphFont"/>
    <w:link w:val="Typedudocument"/>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white-space">
    <w:name w:val="white-space"/>
    <w:basedOn w:val="DefaultParagraphFont"/>
  </w:style>
  <w:style w:type="character" w:customStyle="1" w:styleId="st">
    <w:name w:val="st"/>
    <w:basedOn w:val="DefaultParagraphFont"/>
  </w:style>
  <w:style w:type="character" w:styleId="Hyperlink">
    <w:name w:val="Hyperlink"/>
    <w:basedOn w:val="DefaultParagraphFont"/>
    <w:uiPriority w:val="99"/>
    <w:unhideWhenUsed/>
    <w:rPr>
      <w:color w:val="0000FF" w:themeColor="hyperlink"/>
      <w:u w:val="single"/>
    </w:rPr>
  </w:style>
  <w:style w:type="character" w:customStyle="1" w:styleId="update1">
    <w:name w:val="update1"/>
    <w:basedOn w:val="DefaultParagraphFont"/>
    <w:rPr>
      <w:color w:val="006666"/>
    </w:rPr>
  </w:style>
  <w:style w:type="character" w:customStyle="1" w:styleId="bold1">
    <w:name w:val="bold1"/>
    <w:basedOn w:val="DefaultParagraphFont"/>
    <w:rPr>
      <w:b/>
      <w:bCs/>
    </w:rPr>
  </w:style>
  <w:style w:type="paragraph" w:styleId="Revision">
    <w:name w:val="Revision"/>
    <w:hidden/>
    <w:uiPriority w:val="99"/>
    <w:semiHidden/>
    <w:pPr>
      <w:spacing w:after="0" w:line="240" w:lineRule="auto"/>
    </w:pPr>
  </w:style>
  <w:style w:type="paragraph" w:styleId="ListParagraph">
    <w:name w:val="List Paragraph"/>
    <w:basedOn w:val="Normal"/>
    <w:link w:val="ListParagraphChar"/>
    <w:uiPriority w:val="34"/>
    <w:qFormat/>
    <w:pPr>
      <w:ind w:left="720"/>
      <w:contextualSpacing/>
    </w:pPr>
  </w:style>
  <w:style w:type="paragraph" w:customStyle="1" w:styleId="Normal1">
    <w:name w:val="Normal1"/>
    <w:rPr>
      <w:rFonts w:ascii="Calibri" w:eastAsia="Calibri" w:hAnsi="Calibri" w:cs="Calibri"/>
      <w:lang w:eastAsia="fr-FR"/>
    </w:rPr>
  </w:style>
  <w:style w:type="character" w:customStyle="1" w:styleId="ListParagraphChar">
    <w:name w:val="List Paragraph Char"/>
    <w:basedOn w:val="DefaultParagraphFont"/>
    <w:link w:val="ListParagraph"/>
    <w:uiPriority w:val="34"/>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53510">
      <w:bodyDiv w:val="1"/>
      <w:marLeft w:val="0"/>
      <w:marRight w:val="0"/>
      <w:marTop w:val="0"/>
      <w:marBottom w:val="0"/>
      <w:divBdr>
        <w:top w:val="none" w:sz="0" w:space="0" w:color="auto"/>
        <w:left w:val="none" w:sz="0" w:space="0" w:color="auto"/>
        <w:bottom w:val="none" w:sz="0" w:space="0" w:color="auto"/>
        <w:right w:val="none" w:sz="0" w:space="0" w:color="auto"/>
      </w:divBdr>
    </w:div>
    <w:div w:id="370040026">
      <w:bodyDiv w:val="1"/>
      <w:marLeft w:val="0"/>
      <w:marRight w:val="0"/>
      <w:marTop w:val="0"/>
      <w:marBottom w:val="0"/>
      <w:divBdr>
        <w:top w:val="none" w:sz="0" w:space="0" w:color="auto"/>
        <w:left w:val="none" w:sz="0" w:space="0" w:color="auto"/>
        <w:bottom w:val="none" w:sz="0" w:space="0" w:color="auto"/>
        <w:right w:val="none" w:sz="0" w:space="0" w:color="auto"/>
      </w:divBdr>
    </w:div>
    <w:div w:id="509221558">
      <w:bodyDiv w:val="1"/>
      <w:marLeft w:val="0"/>
      <w:marRight w:val="0"/>
      <w:marTop w:val="0"/>
      <w:marBottom w:val="0"/>
      <w:divBdr>
        <w:top w:val="none" w:sz="0" w:space="0" w:color="auto"/>
        <w:left w:val="none" w:sz="0" w:space="0" w:color="auto"/>
        <w:bottom w:val="none" w:sz="0" w:space="0" w:color="auto"/>
        <w:right w:val="none" w:sz="0" w:space="0" w:color="auto"/>
      </w:divBdr>
      <w:divsChild>
        <w:div w:id="336855731">
          <w:marLeft w:val="0"/>
          <w:marRight w:val="0"/>
          <w:marTop w:val="0"/>
          <w:marBottom w:val="0"/>
          <w:divBdr>
            <w:top w:val="none" w:sz="0" w:space="0" w:color="auto"/>
            <w:left w:val="none" w:sz="0" w:space="0" w:color="auto"/>
            <w:bottom w:val="none" w:sz="0" w:space="0" w:color="auto"/>
            <w:right w:val="none" w:sz="0" w:space="0" w:color="auto"/>
          </w:divBdr>
          <w:divsChild>
            <w:div w:id="1923754161">
              <w:marLeft w:val="0"/>
              <w:marRight w:val="0"/>
              <w:marTop w:val="0"/>
              <w:marBottom w:val="0"/>
              <w:divBdr>
                <w:top w:val="none" w:sz="0" w:space="0" w:color="auto"/>
                <w:left w:val="none" w:sz="0" w:space="0" w:color="auto"/>
                <w:bottom w:val="none" w:sz="0" w:space="0" w:color="auto"/>
                <w:right w:val="none" w:sz="0" w:space="0" w:color="auto"/>
              </w:divBdr>
              <w:divsChild>
                <w:div w:id="1160150108">
                  <w:marLeft w:val="0"/>
                  <w:marRight w:val="0"/>
                  <w:marTop w:val="0"/>
                  <w:marBottom w:val="0"/>
                  <w:divBdr>
                    <w:top w:val="none" w:sz="0" w:space="0" w:color="auto"/>
                    <w:left w:val="none" w:sz="0" w:space="0" w:color="auto"/>
                    <w:bottom w:val="none" w:sz="0" w:space="0" w:color="auto"/>
                    <w:right w:val="none" w:sz="0" w:space="0" w:color="auto"/>
                  </w:divBdr>
                  <w:divsChild>
                    <w:div w:id="2019504200">
                      <w:marLeft w:val="-150"/>
                      <w:marRight w:val="-150"/>
                      <w:marTop w:val="0"/>
                      <w:marBottom w:val="0"/>
                      <w:divBdr>
                        <w:top w:val="none" w:sz="0" w:space="0" w:color="auto"/>
                        <w:left w:val="none" w:sz="0" w:space="0" w:color="auto"/>
                        <w:bottom w:val="none" w:sz="0" w:space="0" w:color="auto"/>
                        <w:right w:val="none" w:sz="0" w:space="0" w:color="auto"/>
                      </w:divBdr>
                      <w:divsChild>
                        <w:div w:id="1677922925">
                          <w:marLeft w:val="0"/>
                          <w:marRight w:val="0"/>
                          <w:marTop w:val="0"/>
                          <w:marBottom w:val="0"/>
                          <w:divBdr>
                            <w:top w:val="none" w:sz="0" w:space="0" w:color="auto"/>
                            <w:left w:val="none" w:sz="0" w:space="0" w:color="auto"/>
                            <w:bottom w:val="none" w:sz="0" w:space="0" w:color="auto"/>
                            <w:right w:val="none" w:sz="0" w:space="0" w:color="auto"/>
                          </w:divBdr>
                          <w:divsChild>
                            <w:div w:id="20597494">
                              <w:marLeft w:val="0"/>
                              <w:marRight w:val="0"/>
                              <w:marTop w:val="0"/>
                              <w:marBottom w:val="0"/>
                              <w:divBdr>
                                <w:top w:val="none" w:sz="0" w:space="0" w:color="auto"/>
                                <w:left w:val="none" w:sz="0" w:space="0" w:color="auto"/>
                                <w:bottom w:val="none" w:sz="0" w:space="0" w:color="auto"/>
                                <w:right w:val="none" w:sz="0" w:space="0" w:color="auto"/>
                              </w:divBdr>
                              <w:divsChild>
                                <w:div w:id="1867257444">
                                  <w:marLeft w:val="0"/>
                                  <w:marRight w:val="0"/>
                                  <w:marTop w:val="0"/>
                                  <w:marBottom w:val="300"/>
                                  <w:divBdr>
                                    <w:top w:val="none" w:sz="0" w:space="0" w:color="auto"/>
                                    <w:left w:val="none" w:sz="0" w:space="0" w:color="auto"/>
                                    <w:bottom w:val="none" w:sz="0" w:space="0" w:color="auto"/>
                                    <w:right w:val="none" w:sz="0" w:space="0" w:color="auto"/>
                                  </w:divBdr>
                                  <w:divsChild>
                                    <w:div w:id="130440271">
                                      <w:marLeft w:val="0"/>
                                      <w:marRight w:val="0"/>
                                      <w:marTop w:val="0"/>
                                      <w:marBottom w:val="0"/>
                                      <w:divBdr>
                                        <w:top w:val="none" w:sz="0" w:space="0" w:color="auto"/>
                                        <w:left w:val="none" w:sz="0" w:space="0" w:color="auto"/>
                                        <w:bottom w:val="none" w:sz="0" w:space="0" w:color="auto"/>
                                        <w:right w:val="none" w:sz="0" w:space="0" w:color="auto"/>
                                      </w:divBdr>
                                      <w:divsChild>
                                        <w:div w:id="610481409">
                                          <w:marLeft w:val="0"/>
                                          <w:marRight w:val="0"/>
                                          <w:marTop w:val="0"/>
                                          <w:marBottom w:val="0"/>
                                          <w:divBdr>
                                            <w:top w:val="none" w:sz="0" w:space="0" w:color="auto"/>
                                            <w:left w:val="none" w:sz="0" w:space="0" w:color="auto"/>
                                            <w:bottom w:val="none" w:sz="0" w:space="0" w:color="auto"/>
                                            <w:right w:val="none" w:sz="0" w:space="0" w:color="auto"/>
                                          </w:divBdr>
                                          <w:divsChild>
                                            <w:div w:id="165829429">
                                              <w:marLeft w:val="0"/>
                                              <w:marRight w:val="0"/>
                                              <w:marTop w:val="0"/>
                                              <w:marBottom w:val="0"/>
                                              <w:divBdr>
                                                <w:top w:val="none" w:sz="0" w:space="0" w:color="auto"/>
                                                <w:left w:val="none" w:sz="0" w:space="0" w:color="auto"/>
                                                <w:bottom w:val="none" w:sz="0" w:space="0" w:color="auto"/>
                                                <w:right w:val="none" w:sz="0" w:space="0" w:color="auto"/>
                                              </w:divBdr>
                                              <w:divsChild>
                                                <w:div w:id="48310018">
                                                  <w:marLeft w:val="0"/>
                                                  <w:marRight w:val="0"/>
                                                  <w:marTop w:val="0"/>
                                                  <w:marBottom w:val="0"/>
                                                  <w:divBdr>
                                                    <w:top w:val="none" w:sz="0" w:space="0" w:color="auto"/>
                                                    <w:left w:val="none" w:sz="0" w:space="0" w:color="auto"/>
                                                    <w:bottom w:val="none" w:sz="0" w:space="0" w:color="auto"/>
                                                    <w:right w:val="none" w:sz="0" w:space="0" w:color="auto"/>
                                                  </w:divBdr>
                                                  <w:divsChild>
                                                    <w:div w:id="817963300">
                                                      <w:marLeft w:val="0"/>
                                                      <w:marRight w:val="0"/>
                                                      <w:marTop w:val="0"/>
                                                      <w:marBottom w:val="0"/>
                                                      <w:divBdr>
                                                        <w:top w:val="none" w:sz="0" w:space="0" w:color="auto"/>
                                                        <w:left w:val="none" w:sz="0" w:space="0" w:color="auto"/>
                                                        <w:bottom w:val="none" w:sz="0" w:space="0" w:color="auto"/>
                                                        <w:right w:val="none" w:sz="0" w:space="0" w:color="auto"/>
                                                      </w:divBdr>
                                                      <w:divsChild>
                                                        <w:div w:id="429468116">
                                                          <w:marLeft w:val="0"/>
                                                          <w:marRight w:val="0"/>
                                                          <w:marTop w:val="0"/>
                                                          <w:marBottom w:val="0"/>
                                                          <w:divBdr>
                                                            <w:top w:val="none" w:sz="0" w:space="0" w:color="auto"/>
                                                            <w:left w:val="none" w:sz="0" w:space="0" w:color="auto"/>
                                                            <w:bottom w:val="none" w:sz="0" w:space="0" w:color="auto"/>
                                                            <w:right w:val="none" w:sz="0" w:space="0" w:color="auto"/>
                                                          </w:divBdr>
                                                          <w:divsChild>
                                                            <w:div w:id="1808012353">
                                                              <w:marLeft w:val="0"/>
                                                              <w:marRight w:val="0"/>
                                                              <w:marTop w:val="0"/>
                                                              <w:marBottom w:val="0"/>
                                                              <w:divBdr>
                                                                <w:top w:val="none" w:sz="0" w:space="0" w:color="auto"/>
                                                                <w:left w:val="none" w:sz="0" w:space="0" w:color="auto"/>
                                                                <w:bottom w:val="none" w:sz="0" w:space="0" w:color="auto"/>
                                                                <w:right w:val="none" w:sz="0" w:space="0" w:color="auto"/>
                                                              </w:divBdr>
                                                              <w:divsChild>
                                                                <w:div w:id="909582297">
                                                                  <w:marLeft w:val="0"/>
                                                                  <w:marRight w:val="0"/>
                                                                  <w:marTop w:val="0"/>
                                                                  <w:marBottom w:val="0"/>
                                                                  <w:divBdr>
                                                                    <w:top w:val="none" w:sz="0" w:space="0" w:color="auto"/>
                                                                    <w:left w:val="none" w:sz="0" w:space="0" w:color="auto"/>
                                                                    <w:bottom w:val="none" w:sz="0" w:space="0" w:color="auto"/>
                                                                    <w:right w:val="none" w:sz="0" w:space="0" w:color="auto"/>
                                                                  </w:divBdr>
                                                                  <w:divsChild>
                                                                    <w:div w:id="19103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075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urohpc-ju.europa.eu/" TargetMode="External"/><Relationship Id="rId3" Type="http://schemas.openxmlformats.org/officeDocument/2006/relationships/hyperlink" Target="https://ec.europa.eu/futurium/en/system/files/ged/consultation_feedback_on_draft_ai_ethics_guidelines_4.pdf" TargetMode="External"/><Relationship Id="rId7" Type="http://schemas.openxmlformats.org/officeDocument/2006/relationships/hyperlink" Target="http://s3platform.jrc.ec.europa.eu/digital-innovation-hubs" TargetMode="External"/><Relationship Id="rId2" Type="http://schemas.openxmlformats.org/officeDocument/2006/relationships/hyperlink" Target="https://ec.europa.eu/digital-single-market/en/european-ai-alliance" TargetMode="External"/><Relationship Id="rId1" Type="http://schemas.openxmlformats.org/officeDocument/2006/relationships/hyperlink" Target="https://ec.europa.eu/digital-single-market/en/high-level-expert-group-artificial-intelligence" TargetMode="External"/><Relationship Id="rId6" Type="http://schemas.openxmlformats.org/officeDocument/2006/relationships/hyperlink" Target="https://ec.europa.eu/digital-single-market/en/news/artificial-intelligence-ai4eu-project-launches-1-january-2019" TargetMode="External"/><Relationship Id="rId5" Type="http://schemas.openxmlformats.org/officeDocument/2006/relationships/hyperlink" Target="https://ec.europa.eu/futurium/en/ai-alliance-consultation/guidelines" TargetMode="External"/><Relationship Id="rId10" Type="http://schemas.openxmlformats.org/officeDocument/2006/relationships/hyperlink" Target="file://net1.cec.eu.int/HOMES/022/saryuma/Desktop/www.european-processor-initiative.eu" TargetMode="External"/><Relationship Id="rId4" Type="http://schemas.openxmlformats.org/officeDocument/2006/relationships/hyperlink" Target="https://data.consilium.europa.eu/doc/document/ST-6177-2019-INIT/hu/pdf" TargetMode="External"/><Relationship Id="rId9" Type="http://schemas.openxmlformats.org/officeDocument/2006/relationships/hyperlink" Target="file://net1.cec.eu.int/HOMES/022/saryuma/Desktop/www.ecsel.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D9DE26E-B37A-4F5E-A4A3-F8AE3DB7D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4008</Words>
  <Characters>30263</Characters>
  <Application>Microsoft Office Word</Application>
  <DocSecurity>0</DocSecurity>
  <Lines>451</Lines>
  <Paragraphs>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2019-04-01T13:08:00Z</dcterms:created>
  <dcterms:modified xsi:type="dcterms:W3CDTF">2019-04-08T06:29:00Z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reated using">
    <vt:lpwstr>LW 6.0.1, Build 20180503</vt:lpwstr>
  </property>
</Properties>
</file>