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7C44F680-F619-4DA1-A8A7-4C564E84D947" style="width:450.75pt;height:333.75pt">
            <v:imagedata r:id="rId9" o:title=""/>
          </v:shape>
        </w:pict>
      </w:r>
    </w:p>
    <w:bookmarkEnd w:id="0"/>
    <w:p>
      <w:pPr>
        <w:rPr>
          <w:rFonts w:ascii="Times New Roman" w:hAnsi="Times New Roman" w:cs="Times New Roman"/>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numPr>
          <w:ilvl w:val="0"/>
          <w:numId w:val="1"/>
        </w:numPr>
        <w:spacing w:after="240" w:line="240" w:lineRule="auto"/>
        <w:ind w:left="714" w:hanging="357"/>
        <w:rPr>
          <w:rFonts w:ascii="Times New Roman" w:hAnsi="Times New Roman" w:cs="Times New Roman"/>
          <w:b/>
          <w:bCs/>
          <w:noProof/>
          <w:sz w:val="24"/>
          <w:szCs w:val="24"/>
        </w:rPr>
      </w:pPr>
      <w:bookmarkStart w:id="1" w:name="_GoBack"/>
      <w:bookmarkEnd w:id="1"/>
      <w:r>
        <w:rPr>
          <w:rFonts w:ascii="Times New Roman" w:hAnsi="Times New Roman"/>
          <w:b/>
          <w:bCs/>
          <w:noProof/>
          <w:sz w:val="24"/>
          <w:szCs w:val="24"/>
        </w:rPr>
        <w:t>INTRODUÇÃO – A ESTRATÉGIA EUROPEIA PARA A INTELIGÊNCIA ARTIFICIAL</w:t>
      </w:r>
    </w:p>
    <w:p>
      <w:pPr>
        <w:spacing w:after="120" w:line="240" w:lineRule="auto"/>
        <w:jc w:val="both"/>
        <w:rPr>
          <w:rFonts w:ascii="Times New Roman" w:hAnsi="Times New Roman" w:cs="Times New Roman"/>
          <w:bCs/>
          <w:noProof/>
          <w:sz w:val="24"/>
          <w:szCs w:val="24"/>
        </w:rPr>
      </w:pPr>
      <w:r>
        <w:rPr>
          <w:rFonts w:ascii="Times New Roman" w:hAnsi="Times New Roman"/>
          <w:bCs/>
          <w:noProof/>
          <w:sz w:val="24"/>
          <w:szCs w:val="24"/>
        </w:rPr>
        <w:t>A inteligência artificial (IA) tem potencial para transformar o nosso mundo num mundo melhor: pode melhorar os cuidados de saúde, reduzir o consumo de energia, tornar os automóveis mais seguros e permitir aos agricultores uma utilização mais eficiente da água e dos recursos naturais. A IA pode ser utilizada para prever as alterações ambientais e climáticas e melhorar a gestão dos riscos financeiros, e fornece os instrumentos para o fabrico, com menos resíduos, de produtos adaptados às nossas necessidades. A IA pode igualmente ajudar a detetar fraudes e ameaças à cibersegurança, e permite que as autoridades de aplicação da lei lutem mais eficientemente contra a criminalidade.</w:t>
      </w:r>
    </w:p>
    <w:p>
      <w:pPr>
        <w:spacing w:after="120" w:line="240" w:lineRule="auto"/>
        <w:jc w:val="both"/>
        <w:rPr>
          <w:rFonts w:ascii="Times New Roman" w:hAnsi="Times New Roman" w:cs="Times New Roman"/>
          <w:bCs/>
          <w:noProof/>
          <w:sz w:val="24"/>
          <w:szCs w:val="24"/>
        </w:rPr>
      </w:pPr>
      <w:r>
        <w:rPr>
          <w:rFonts w:ascii="Times New Roman" w:hAnsi="Times New Roman"/>
          <w:bCs/>
          <w:noProof/>
          <w:sz w:val="24"/>
          <w:szCs w:val="24"/>
        </w:rPr>
        <w:t>A IA pode beneficiar toda a sociedade e a economia. É uma tecnologia estratégica que está a ser desenvolvida e utilizada a um ritmo acelerado em todo o mundo. No entanto, a IA também traz consigo novos desafios para o futuro do trabalho e levanta questões de ordem jurídica e ética.</w:t>
      </w:r>
    </w:p>
    <w:p>
      <w:pPr>
        <w:spacing w:after="120" w:line="240" w:lineRule="auto"/>
        <w:jc w:val="both"/>
        <w:rPr>
          <w:rFonts w:ascii="Times New Roman" w:hAnsi="Times New Roman" w:cs="Times New Roman"/>
          <w:bCs/>
          <w:noProof/>
          <w:sz w:val="24"/>
          <w:szCs w:val="24"/>
        </w:rPr>
      </w:pPr>
      <w:r>
        <w:rPr>
          <w:rFonts w:ascii="Times New Roman" w:hAnsi="Times New Roman"/>
          <w:b/>
          <w:bCs/>
          <w:noProof/>
          <w:sz w:val="24"/>
          <w:szCs w:val="24"/>
        </w:rPr>
        <w:t>A Comissão publicou, em abril de 2018, uma estratégia europeia</w:t>
      </w:r>
      <w:r>
        <w:rPr>
          <w:rStyle w:val="FootnoteReference"/>
          <w:rFonts w:ascii="Times New Roman" w:hAnsi="Times New Roman" w:cs="Times New Roman"/>
          <w:noProof/>
        </w:rPr>
        <w:footnoteReference w:id="1"/>
      </w:r>
      <w:r>
        <w:rPr>
          <w:rFonts w:ascii="Times New Roman" w:hAnsi="Times New Roman"/>
          <w:b/>
          <w:bCs/>
          <w:noProof/>
          <w:sz w:val="24"/>
          <w:szCs w:val="24"/>
        </w:rPr>
        <w:t xml:space="preserve"> para fazer face a estes desafios e tirar o melhor partido das oportunidades oferecidas pela IA. </w:t>
      </w:r>
      <w:r>
        <w:rPr>
          <w:rFonts w:ascii="Times New Roman" w:hAnsi="Times New Roman"/>
          <w:bCs/>
          <w:noProof/>
          <w:sz w:val="24"/>
          <w:szCs w:val="24"/>
        </w:rPr>
        <w:t xml:space="preserve">A estratégia coloca as pessoas no centro do desenvolvimento da IA — uma </w:t>
      </w:r>
      <w:r>
        <w:rPr>
          <w:rFonts w:ascii="Times New Roman" w:hAnsi="Times New Roman"/>
          <w:b/>
          <w:bCs/>
          <w:noProof/>
          <w:sz w:val="24"/>
          <w:szCs w:val="24"/>
        </w:rPr>
        <w:t>IA centrada no ser humano</w:t>
      </w:r>
      <w:r>
        <w:rPr>
          <w:rFonts w:ascii="Times New Roman" w:hAnsi="Times New Roman"/>
          <w:bCs/>
          <w:noProof/>
          <w:sz w:val="24"/>
          <w:szCs w:val="24"/>
        </w:rPr>
        <w:t xml:space="preserve">. Trata-se de uma abordagem em três vertentes para reforçar a capacidade industrial e tecnológica da UE e a integração da IA em toda a economia, preparar as mudanças socioeconómicas e </w:t>
      </w:r>
      <w:r>
        <w:rPr>
          <w:rFonts w:ascii="Times New Roman" w:hAnsi="Times New Roman"/>
          <w:noProof/>
          <w:sz w:val="24"/>
          <w:szCs w:val="24"/>
        </w:rPr>
        <w:t>garantir</w:t>
      </w:r>
      <w:r>
        <w:rPr>
          <w:rFonts w:ascii="Times New Roman" w:hAnsi="Times New Roman"/>
          <w:bCs/>
          <w:noProof/>
          <w:sz w:val="24"/>
          <w:szCs w:val="24"/>
        </w:rPr>
        <w:t xml:space="preserve"> um quadro ético e jurídico adequado. </w:t>
      </w:r>
    </w:p>
    <w:p>
      <w:pPr>
        <w:spacing w:after="120" w:line="240" w:lineRule="auto"/>
        <w:jc w:val="both"/>
        <w:rPr>
          <w:rFonts w:ascii="Times New Roman" w:eastAsia="Times New Roman" w:hAnsi="Times New Roman" w:cs="Times New Roman"/>
          <w:noProof/>
          <w:sz w:val="24"/>
          <w:szCs w:val="24"/>
        </w:rPr>
      </w:pPr>
      <w:r>
        <w:rPr>
          <w:rFonts w:ascii="Times New Roman" w:hAnsi="Times New Roman"/>
          <w:bCs/>
          <w:noProof/>
        </w:rPr>
        <w:t xml:space="preserve">Para concretizar a estratégia da IA, </w:t>
      </w:r>
      <w:r>
        <w:rPr>
          <w:rFonts w:ascii="Times New Roman" w:hAnsi="Times New Roman"/>
          <w:b/>
          <w:noProof/>
        </w:rPr>
        <w:t>a Comissão desenvolveu, em conjunto com os Estados-Membros, um plano coordenado sobre IA</w:t>
      </w:r>
      <w:r>
        <w:rPr>
          <w:rStyle w:val="FootnoteReference"/>
          <w:rFonts w:ascii="Times New Roman" w:hAnsi="Times New Roman" w:cs="Times New Roman"/>
          <w:noProof/>
        </w:rPr>
        <w:footnoteReference w:id="2"/>
      </w:r>
      <w:r>
        <w:rPr>
          <w:rFonts w:ascii="Times New Roman" w:hAnsi="Times New Roman"/>
          <w:noProof/>
          <w:sz w:val="24"/>
          <w:szCs w:val="24"/>
        </w:rPr>
        <w:t>, que apresentou em dezembro de 2018, de modo a criar sinergias, agregar dados — a matéria-prima das aplicações de IA — e aumentar os investimentos conjuntos.</w:t>
      </w:r>
      <w:r>
        <w:rPr>
          <w:rFonts w:ascii="Times New Roman" w:hAnsi="Times New Roman"/>
          <w:bCs/>
          <w:noProof/>
          <w:sz w:val="24"/>
          <w:szCs w:val="24"/>
        </w:rPr>
        <w:t xml:space="preserve"> </w:t>
      </w:r>
      <w:r>
        <w:rPr>
          <w:rFonts w:ascii="Times New Roman" w:hAnsi="Times New Roman"/>
          <w:noProof/>
          <w:sz w:val="24"/>
          <w:szCs w:val="24"/>
        </w:rPr>
        <w:t xml:space="preserve">O plano tem por objetivo fomentar a cooperação transfronteiriça e mobilizar todos os intervenientes para o aumento dos investimentos públicos e privados para, </w:t>
      </w:r>
      <w:r>
        <w:rPr>
          <w:rFonts w:ascii="Times New Roman" w:hAnsi="Times New Roman"/>
          <w:b/>
          <w:bCs/>
          <w:noProof/>
          <w:sz w:val="24"/>
          <w:szCs w:val="24"/>
        </w:rPr>
        <w:t>pelo menos,</w:t>
      </w:r>
      <w:r>
        <w:rPr>
          <w:rFonts w:ascii="Times New Roman" w:hAnsi="Times New Roman"/>
          <w:b/>
          <w:noProof/>
          <w:sz w:val="24"/>
          <w:szCs w:val="24"/>
        </w:rPr>
        <w:t xml:space="preserve"> 20 mil milhões de EUR</w:t>
      </w:r>
      <w:r>
        <w:rPr>
          <w:rFonts w:ascii="Times New Roman" w:hAnsi="Times New Roman"/>
          <w:noProof/>
          <w:sz w:val="24"/>
          <w:szCs w:val="24"/>
        </w:rPr>
        <w:t xml:space="preserve"> </w:t>
      </w:r>
      <w:r>
        <w:rPr>
          <w:rFonts w:ascii="Times New Roman" w:hAnsi="Times New Roman"/>
          <w:bCs/>
          <w:noProof/>
          <w:sz w:val="24"/>
          <w:szCs w:val="24"/>
        </w:rPr>
        <w:t>anuais, durante a próxima década</w:t>
      </w:r>
      <w:r>
        <w:rPr>
          <w:rStyle w:val="FootnoteReference"/>
          <w:rFonts w:ascii="Times New Roman" w:hAnsi="Times New Roman" w:cs="Times New Roman"/>
          <w:noProof/>
        </w:rPr>
        <w:footnoteReference w:id="3"/>
      </w:r>
      <w:r>
        <w:rPr>
          <w:rFonts w:ascii="Times New Roman" w:hAnsi="Times New Roman"/>
          <w:bCs/>
          <w:noProof/>
          <w:sz w:val="24"/>
          <w:szCs w:val="24"/>
        </w:rPr>
        <w:t xml:space="preserve">. A Comissão duplicou os seus investimentos em IA no Horizonte 2020 e prevê investir 1 000 milhões de EUR anuais no Horizonte Europa e no Programa Europa Digital, apoiando, nomeadamente, os espaços de dados comuns nos setores da saúde, dos transportes e da indústria transformadora, bem como grandes instalações de experimentação, como hospitais e infraestruturas inteligentes para veículos automatizados, e uma agenda de investigação estratégica. </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Para aplicar tal agenda estratégica comum de investigação, inovação e implantação, a Comissão intensificou o seu </w:t>
      </w:r>
      <w:r>
        <w:rPr>
          <w:rFonts w:ascii="Times New Roman" w:hAnsi="Times New Roman"/>
          <w:b/>
          <w:noProof/>
          <w:sz w:val="24"/>
          <w:szCs w:val="24"/>
        </w:rPr>
        <w:t>diálogo com todas as partes interessadas pertinentes</w:t>
      </w:r>
      <w:r>
        <w:rPr>
          <w:rFonts w:ascii="Times New Roman" w:hAnsi="Times New Roman"/>
          <w:noProof/>
          <w:sz w:val="24"/>
          <w:szCs w:val="24"/>
        </w:rPr>
        <w:t>, designadamente da indústria, dos institutos de investigação e das autoridades públicas. O novo programa Europa Digital será essencial também para tornar a IA acessível às pequenas e médias empresas em todos os Estados-Membros, através de polos de inovação digital, instalações de ensaio e experimentação acrescidas, espaços de dados e programas de formação.</w:t>
      </w:r>
    </w:p>
    <w:p>
      <w:pPr>
        <w:spacing w:after="120" w:line="240" w:lineRule="auto"/>
        <w:jc w:val="both"/>
        <w:rPr>
          <w:rFonts w:ascii="Times New Roman" w:eastAsia="Times New Roman" w:hAnsi="Times New Roman" w:cs="Times New Roman"/>
          <w:noProof/>
          <w:sz w:val="24"/>
          <w:szCs w:val="24"/>
        </w:rPr>
      </w:pPr>
      <w:r>
        <w:rPr>
          <w:rFonts w:ascii="Times New Roman" w:hAnsi="Times New Roman"/>
          <w:bCs/>
          <w:noProof/>
          <w:sz w:val="24"/>
          <w:szCs w:val="24"/>
        </w:rPr>
        <w:t>Graças à sua</w:t>
      </w:r>
      <w:r>
        <w:rPr>
          <w:rFonts w:ascii="Times New Roman" w:hAnsi="Times New Roman"/>
          <w:noProof/>
          <w:sz w:val="24"/>
          <w:szCs w:val="24"/>
        </w:rPr>
        <w:t xml:space="preserve"> reputação </w:t>
      </w:r>
      <w:r>
        <w:rPr>
          <w:rFonts w:ascii="Times New Roman" w:hAnsi="Times New Roman"/>
          <w:bCs/>
          <w:noProof/>
          <w:sz w:val="24"/>
          <w:szCs w:val="24"/>
        </w:rPr>
        <w:t>no que se refere à segurança e à elevada qualidade dos produtos, a abordagem ética da IA pela Europa reforça a confiança dos cidadãos</w:t>
      </w:r>
      <w:r>
        <w:rPr>
          <w:rFonts w:ascii="Times New Roman" w:hAnsi="Times New Roman"/>
          <w:noProof/>
          <w:sz w:val="24"/>
          <w:szCs w:val="24"/>
        </w:rPr>
        <w:t xml:space="preserve"> no desenvolvimento digital e </w:t>
      </w:r>
      <w:r>
        <w:rPr>
          <w:rFonts w:ascii="Times New Roman" w:hAnsi="Times New Roman"/>
          <w:noProof/>
          <w:sz w:val="24"/>
          <w:szCs w:val="20"/>
        </w:rPr>
        <w:t xml:space="preserve">visa criar uma vantagem competitiva para as empresas europeias de IA. O objetivo da presente comunicação é lançar uma fase de pilotagem abrangente que envolva todas as partes interessadas, a fim de testar a aplicação prática de orientações éticas para o desenvolvimento e a utilização da IA. </w:t>
      </w:r>
    </w:p>
    <w:p>
      <w:pPr>
        <w:spacing w:after="120" w:line="240" w:lineRule="auto"/>
        <w:jc w:val="both"/>
        <w:rPr>
          <w:rFonts w:ascii="Times New Roman" w:eastAsia="Times New Roman" w:hAnsi="Times New Roman" w:cs="Times New Roman"/>
          <w:noProof/>
          <w:sz w:val="24"/>
          <w:szCs w:val="24"/>
          <w:u w:val="single"/>
        </w:rPr>
      </w:pPr>
    </w:p>
    <w:p>
      <w:pPr>
        <w:numPr>
          <w:ilvl w:val="0"/>
          <w:numId w:val="1"/>
        </w:numPr>
        <w:spacing w:after="240" w:line="240" w:lineRule="auto"/>
        <w:ind w:left="714" w:hanging="357"/>
        <w:rPr>
          <w:rFonts w:ascii="Times New Roman" w:hAnsi="Times New Roman" w:cs="Times New Roman"/>
          <w:b/>
          <w:bCs/>
          <w:noProof/>
          <w:sz w:val="24"/>
          <w:szCs w:val="24"/>
        </w:rPr>
      </w:pPr>
      <w:r>
        <w:rPr>
          <w:rFonts w:ascii="Times New Roman" w:hAnsi="Times New Roman"/>
          <w:b/>
          <w:bCs/>
          <w:noProof/>
          <w:sz w:val="24"/>
          <w:szCs w:val="24"/>
        </w:rPr>
        <w:t>CRIAR CONFIANÇA NA IA CENTRADA NO SER HUMANO</w:t>
      </w:r>
    </w:p>
    <w:p>
      <w:pPr>
        <w:spacing w:after="120" w:line="240" w:lineRule="auto"/>
        <w:jc w:val="both"/>
        <w:rPr>
          <w:rFonts w:ascii="Times New Roman" w:eastAsia="Times New Roman" w:hAnsi="Times New Roman" w:cs="Times New Roman"/>
          <w:noProof/>
          <w:sz w:val="24"/>
          <w:szCs w:val="20"/>
        </w:rPr>
      </w:pPr>
      <w:r>
        <w:rPr>
          <w:rFonts w:ascii="Times New Roman" w:hAnsi="Times New Roman"/>
          <w:bCs/>
          <w:noProof/>
          <w:sz w:val="24"/>
          <w:szCs w:val="24"/>
        </w:rPr>
        <w:t xml:space="preserve">A estratégia europeia para a IA e o plano coordenado tornam claro que </w:t>
      </w:r>
      <w:r>
        <w:rPr>
          <w:rFonts w:ascii="Times New Roman" w:hAnsi="Times New Roman"/>
          <w:b/>
          <w:bCs/>
          <w:noProof/>
          <w:sz w:val="24"/>
          <w:szCs w:val="24"/>
        </w:rPr>
        <w:t>a confiança é um pré-requisito para garantir uma abordagem da IA centrada no ser humano</w:t>
      </w:r>
      <w:r>
        <w:rPr>
          <w:rFonts w:ascii="Times New Roman" w:hAnsi="Times New Roman"/>
          <w:bCs/>
          <w:noProof/>
          <w:sz w:val="24"/>
          <w:szCs w:val="24"/>
        </w:rPr>
        <w:t xml:space="preserve">: </w:t>
      </w:r>
      <w:r>
        <w:rPr>
          <w:rFonts w:ascii="Times New Roman" w:hAnsi="Times New Roman"/>
          <w:noProof/>
          <w:sz w:val="24"/>
          <w:szCs w:val="20"/>
        </w:rPr>
        <w:t xml:space="preserve">A IA não é um fim em si mesmo, mas sim um instrumento que tem de servir as pessoas com o objetivo último de aumentar o bem-estar humano. Para tal, </w:t>
      </w:r>
      <w:r>
        <w:rPr>
          <w:rFonts w:ascii="Times New Roman" w:hAnsi="Times New Roman"/>
          <w:b/>
          <w:noProof/>
          <w:sz w:val="24"/>
          <w:szCs w:val="20"/>
        </w:rPr>
        <w:t>deve ser assegurada a fiabilidade da IA</w:t>
      </w:r>
      <w:r>
        <w:rPr>
          <w:rFonts w:ascii="Times New Roman" w:hAnsi="Times New Roman"/>
          <w:noProof/>
          <w:sz w:val="24"/>
          <w:szCs w:val="20"/>
        </w:rPr>
        <w:t>. Os valores em que as nossas sociedades se baseiam devem ser plenamente integrados na forma como a IA evolui.</w:t>
      </w:r>
    </w:p>
    <w:p>
      <w:pPr>
        <w:spacing w:after="120" w:line="240" w:lineRule="auto"/>
        <w:jc w:val="both"/>
        <w:rPr>
          <w:rFonts w:ascii="Times New Roman" w:hAnsi="Times New Roman" w:cs="Times New Roman"/>
          <w:bCs/>
          <w:noProof/>
          <w:sz w:val="24"/>
          <w:szCs w:val="24"/>
        </w:rPr>
      </w:pPr>
      <w:r>
        <w:rPr>
          <w:rFonts w:ascii="Times New Roman" w:hAnsi="Times New Roman"/>
          <w:bCs/>
          <w:noProof/>
          <w:sz w:val="24"/>
          <w:szCs w:val="24"/>
        </w:rPr>
        <w:t xml:space="preserve">A União baseia-se nos </w:t>
      </w:r>
      <w:r>
        <w:rPr>
          <w:rFonts w:ascii="Times New Roman" w:hAnsi="Times New Roman"/>
          <w:b/>
          <w:bCs/>
          <w:noProof/>
          <w:sz w:val="24"/>
          <w:szCs w:val="24"/>
        </w:rPr>
        <w:t>valores do respeito pela dignidade humana, liberdade, democracia, igualdade, Estado de direito e respeito pelos direitos humanos</w:t>
      </w:r>
      <w:r>
        <w:rPr>
          <w:rFonts w:ascii="Times New Roman" w:hAnsi="Times New Roman"/>
          <w:bCs/>
          <w:noProof/>
          <w:sz w:val="24"/>
          <w:szCs w:val="24"/>
        </w:rPr>
        <w:t>, nomeadamente os direitos das minorias</w:t>
      </w:r>
      <w:r>
        <w:rPr>
          <w:rStyle w:val="FootnoteReference"/>
          <w:rFonts w:ascii="Times New Roman" w:hAnsi="Times New Roman" w:cs="Times New Roman"/>
          <w:bCs/>
          <w:noProof/>
          <w:sz w:val="24"/>
          <w:szCs w:val="24"/>
          <w:lang w:val="en"/>
        </w:rPr>
        <w:footnoteReference w:id="4"/>
      </w:r>
      <w:r>
        <w:rPr>
          <w:rFonts w:ascii="Times New Roman" w:hAnsi="Times New Roman"/>
          <w:bCs/>
          <w:noProof/>
          <w:sz w:val="24"/>
          <w:szCs w:val="24"/>
        </w:rPr>
        <w:t xml:space="preserve">. Estes valores são comuns às sociedades de todos os Estados-Membros em que prevalecem o pluralismo, a não discriminação, a tolerância, a justiça, a solidariedade e a igualdade. Além disso, a </w:t>
      </w:r>
      <w:r>
        <w:rPr>
          <w:rFonts w:ascii="Times New Roman" w:hAnsi="Times New Roman"/>
          <w:b/>
          <w:bCs/>
          <w:noProof/>
          <w:sz w:val="24"/>
          <w:szCs w:val="24"/>
        </w:rPr>
        <w:t>Carta dos Direitos Fundamentais da UE</w:t>
      </w:r>
      <w:r>
        <w:rPr>
          <w:rFonts w:ascii="Times New Roman" w:hAnsi="Times New Roman"/>
          <w:bCs/>
          <w:noProof/>
          <w:sz w:val="24"/>
          <w:szCs w:val="24"/>
        </w:rPr>
        <w:t xml:space="preserve"> reúne num único texto todos os direitos individuais, cívicos, políticos, económicos e sociais reconhecidos aos povos da UE. </w:t>
      </w:r>
    </w:p>
    <w:p>
      <w:pPr>
        <w:spacing w:after="120" w:line="240" w:lineRule="auto"/>
        <w:jc w:val="both"/>
        <w:rPr>
          <w:rFonts w:ascii="Times New Roman" w:hAnsi="Times New Roman" w:cs="Times New Roman"/>
          <w:bCs/>
          <w:noProof/>
          <w:sz w:val="24"/>
          <w:szCs w:val="24"/>
        </w:rPr>
      </w:pPr>
      <w:r>
        <w:rPr>
          <w:rFonts w:ascii="Times New Roman" w:hAnsi="Times New Roman"/>
          <w:bCs/>
          <w:noProof/>
          <w:sz w:val="24"/>
          <w:szCs w:val="24"/>
        </w:rPr>
        <w:t xml:space="preserve">A UE dispõe de um </w:t>
      </w:r>
      <w:r>
        <w:rPr>
          <w:rFonts w:ascii="Times New Roman" w:hAnsi="Times New Roman"/>
          <w:b/>
          <w:bCs/>
          <w:noProof/>
          <w:sz w:val="24"/>
          <w:szCs w:val="24"/>
        </w:rPr>
        <w:t>quadro regulamentar sólido</w:t>
      </w:r>
      <w:r>
        <w:rPr>
          <w:rFonts w:ascii="Times New Roman" w:hAnsi="Times New Roman"/>
          <w:bCs/>
          <w:noProof/>
          <w:sz w:val="24"/>
          <w:szCs w:val="24"/>
        </w:rPr>
        <w:t>, que estabelecerá a norma mundial de uma IA centrada no ser humano. O Regulamento Geral sobre a Proteção de Dados assegura um elevado nível de proteção dos dados pessoais e exige a aplicação de medidas para assegurar a proteção de dados desde a conceção e por defeito</w:t>
      </w:r>
      <w:r>
        <w:rPr>
          <w:rStyle w:val="FootnoteReference"/>
          <w:rFonts w:ascii="Times New Roman" w:hAnsi="Times New Roman" w:cs="Times New Roman"/>
          <w:bCs/>
          <w:noProof/>
          <w:sz w:val="24"/>
          <w:szCs w:val="24"/>
        </w:rPr>
        <w:footnoteReference w:id="5"/>
      </w:r>
      <w:r>
        <w:rPr>
          <w:rFonts w:ascii="Times New Roman" w:hAnsi="Times New Roman"/>
          <w:bCs/>
          <w:noProof/>
          <w:sz w:val="24"/>
          <w:szCs w:val="24"/>
        </w:rPr>
        <w:t xml:space="preserve">. </w:t>
      </w:r>
      <w:r>
        <w:rPr>
          <w:rFonts w:ascii="Times New Roman" w:hAnsi="Times New Roman"/>
          <w:noProof/>
          <w:sz w:val="24"/>
          <w:szCs w:val="24"/>
        </w:rPr>
        <w:t>O Regulamento relativo ao livre fluxo de dados não pessoais elimina os obstáculos à livre circulação de dados não pessoais e assegura o tratamento de todas as categorias de dados em toda a Europa</w:t>
      </w:r>
      <w:r>
        <w:rPr>
          <w:rFonts w:ascii="Times New Roman" w:hAnsi="Times New Roman"/>
          <w:noProof/>
        </w:rPr>
        <w:t xml:space="preserve">. </w:t>
      </w:r>
      <w:r>
        <w:rPr>
          <w:rFonts w:ascii="Times New Roman" w:hAnsi="Times New Roman"/>
          <w:bCs/>
          <w:noProof/>
          <w:sz w:val="24"/>
          <w:szCs w:val="24"/>
        </w:rPr>
        <w:t>O Regulamento Cibersegurança, recentemente adotado, ajudará a reforçar a confiança no mundo em linha; a proposta de Regulamento Privacidade Eletrónica</w:t>
      </w:r>
      <w:r>
        <w:rPr>
          <w:rStyle w:val="FootnoteReference"/>
          <w:rFonts w:ascii="Times New Roman" w:hAnsi="Times New Roman" w:cs="Times New Roman"/>
          <w:bCs/>
          <w:noProof/>
          <w:sz w:val="24"/>
          <w:szCs w:val="24"/>
          <w:lang w:val="en"/>
        </w:rPr>
        <w:footnoteReference w:id="6"/>
      </w:r>
      <w:r>
        <w:rPr>
          <w:rFonts w:ascii="Times New Roman" w:hAnsi="Times New Roman"/>
          <w:bCs/>
          <w:noProof/>
          <w:sz w:val="24"/>
          <w:szCs w:val="24"/>
        </w:rPr>
        <w:t xml:space="preserve"> visa igualmente este objetivo.</w:t>
      </w:r>
    </w:p>
    <w:p>
      <w:pPr>
        <w:spacing w:after="120" w:line="240" w:lineRule="auto"/>
        <w:jc w:val="both"/>
        <w:rPr>
          <w:rFonts w:ascii="Times New Roman" w:hAnsi="Times New Roman" w:cs="Times New Roman"/>
          <w:bCs/>
          <w:noProof/>
          <w:sz w:val="24"/>
          <w:szCs w:val="24"/>
        </w:rPr>
      </w:pPr>
      <w:r>
        <w:rPr>
          <w:rFonts w:ascii="Times New Roman" w:hAnsi="Times New Roman"/>
          <w:bCs/>
          <w:noProof/>
          <w:sz w:val="24"/>
          <w:szCs w:val="24"/>
        </w:rPr>
        <w:t>Porém, a IA coloca novos desafios, uma vez que permite que as máquinas «aprendam», e tomem e apliquem decisões sem intervenção humana. Em breve, este tipo de funcionalidade tornar-se-á padrão em muitos tipos de bens e serviços, desde os telefones inteligentes até aos automóveis automatizados, aos robôs e às aplicações em linha. Contudo, as decisões tomadas por algoritmos podem resultar de dados incompletos, não sendo, por conseguinte, fiáveis, podem ser alvo de ciberataques, e podem ser tendenciosos ou simplesmente errados. A aplicação indevida da tecnologia à medida que se desenvolve conduziria, por conseguinte, a resultados problemáticos, bem como à relutância dos cidadãos em aceitarem ou utilizarem esta tecnologia.</w:t>
      </w:r>
    </w:p>
    <w:p>
      <w:pPr>
        <w:spacing w:after="120" w:line="240" w:lineRule="auto"/>
        <w:jc w:val="both"/>
        <w:rPr>
          <w:rFonts w:ascii="Times New Roman" w:hAnsi="Times New Roman" w:cs="Times New Roman"/>
          <w:bCs/>
          <w:noProof/>
          <w:sz w:val="24"/>
          <w:szCs w:val="24"/>
        </w:rPr>
      </w:pPr>
      <w:r>
        <w:rPr>
          <w:rFonts w:ascii="Times New Roman" w:hAnsi="Times New Roman"/>
          <w:bCs/>
          <w:noProof/>
          <w:sz w:val="24"/>
          <w:szCs w:val="24"/>
        </w:rPr>
        <w:t>Em vez disso, a tecnologia da IA deve ser desenvolvida de forma que coloque as pessoas no seu centro e seja, assim, digna da confiança do público. Tal implica que as aplicações de IA devem não só ser coerentes com a legislação, como também respeitar os princípios éticos e assegurar que a sua aplicação evita danos não intencionais. A diversidade em termos de género,</w:t>
      </w:r>
      <w:r>
        <w:rPr>
          <w:rFonts w:ascii="Times New Roman" w:hAnsi="Times New Roman"/>
          <w:noProof/>
          <w:sz w:val="24"/>
          <w:szCs w:val="24"/>
        </w:rPr>
        <w:t xml:space="preserve"> raça ou etnia, </w:t>
      </w:r>
      <w:r>
        <w:rPr>
          <w:rStyle w:val="Emphasis"/>
          <w:rFonts w:ascii="Times New Roman" w:hAnsi="Times New Roman"/>
          <w:bCs/>
          <w:i w:val="0"/>
          <w:noProof/>
          <w:sz w:val="24"/>
          <w:szCs w:val="24"/>
        </w:rPr>
        <w:t>religião</w:t>
      </w:r>
      <w:r>
        <w:rPr>
          <w:rFonts w:ascii="Times New Roman" w:hAnsi="Times New Roman"/>
          <w:noProof/>
          <w:sz w:val="24"/>
          <w:szCs w:val="24"/>
        </w:rPr>
        <w:t xml:space="preserve"> ou crença, </w:t>
      </w:r>
      <w:r>
        <w:rPr>
          <w:rStyle w:val="Emphasis"/>
          <w:rFonts w:ascii="Times New Roman" w:hAnsi="Times New Roman"/>
          <w:bCs/>
          <w:i w:val="0"/>
          <w:noProof/>
          <w:sz w:val="24"/>
          <w:szCs w:val="24"/>
        </w:rPr>
        <w:t>deficiência</w:t>
      </w:r>
      <w:r>
        <w:rPr>
          <w:rFonts w:ascii="Times New Roman" w:hAnsi="Times New Roman"/>
          <w:noProof/>
          <w:sz w:val="24"/>
          <w:szCs w:val="24"/>
        </w:rPr>
        <w:t xml:space="preserve"> e idade </w:t>
      </w:r>
      <w:r>
        <w:rPr>
          <w:rFonts w:ascii="Times New Roman" w:hAnsi="Times New Roman"/>
          <w:bCs/>
          <w:noProof/>
          <w:sz w:val="24"/>
          <w:szCs w:val="24"/>
        </w:rPr>
        <w:t>deve ser assegurada em todas as fases do desenvolvimento da IA. As aplicações de IA devem capacitar os cidadãos e respeitar os seus direitos fundamentais. Devem ter como objetivo aumentar as capacidades das pessoas, não substituí-las, e permitir o acesso de pessoas com deficiência.</w:t>
      </w:r>
      <w:r>
        <w:rPr>
          <w:rFonts w:ascii="Times New Roman" w:hAnsi="Times New Roman"/>
          <w:noProof/>
        </w:rPr>
        <w:t xml:space="preserve"> </w:t>
      </w:r>
    </w:p>
    <w:p>
      <w:pPr>
        <w:spacing w:after="120" w:line="240" w:lineRule="auto"/>
        <w:jc w:val="both"/>
        <w:rPr>
          <w:rFonts w:ascii="Times New Roman" w:hAnsi="Times New Roman" w:cs="Times New Roman"/>
          <w:bCs/>
          <w:noProof/>
          <w:sz w:val="24"/>
          <w:szCs w:val="24"/>
        </w:rPr>
      </w:pPr>
      <w:r>
        <w:rPr>
          <w:rFonts w:ascii="Times New Roman" w:hAnsi="Times New Roman"/>
          <w:bCs/>
          <w:noProof/>
          <w:sz w:val="24"/>
          <w:szCs w:val="24"/>
        </w:rPr>
        <w:t xml:space="preserve">Por conseguinte, são necessárias </w:t>
      </w:r>
      <w:r>
        <w:rPr>
          <w:rFonts w:ascii="Times New Roman" w:hAnsi="Times New Roman"/>
          <w:b/>
          <w:noProof/>
          <w:sz w:val="24"/>
          <w:szCs w:val="24"/>
        </w:rPr>
        <w:t>orientações éticas</w:t>
      </w:r>
      <w:r>
        <w:rPr>
          <w:rFonts w:ascii="Times New Roman" w:hAnsi="Times New Roman"/>
          <w:bCs/>
          <w:noProof/>
          <w:sz w:val="24"/>
          <w:szCs w:val="24"/>
        </w:rPr>
        <w:t xml:space="preserve"> que se baseiem no quadro regulamentar existente e que sejam aplicadas por criadores, fornecedores e utilizadores da IA no mercado interno, estabelecendo condições de concorrência equitativas em todos os Estados-Membros. É por esta razão que a Comissão criou um </w:t>
      </w:r>
      <w:r>
        <w:rPr>
          <w:rFonts w:ascii="Times New Roman" w:hAnsi="Times New Roman"/>
          <w:b/>
          <w:noProof/>
          <w:sz w:val="24"/>
          <w:szCs w:val="24"/>
        </w:rPr>
        <w:t>Grupo de peritos de alto nível sobre a IA</w:t>
      </w:r>
      <w:r>
        <w:rPr>
          <w:rStyle w:val="FootnoteReference"/>
          <w:rFonts w:ascii="Times New Roman" w:hAnsi="Times New Roman" w:cs="Times New Roman"/>
          <w:b/>
          <w:noProof/>
          <w:sz w:val="24"/>
          <w:szCs w:val="24"/>
        </w:rPr>
        <w:footnoteReference w:id="7"/>
      </w:r>
      <w:r>
        <w:rPr>
          <w:rFonts w:ascii="Times New Roman" w:hAnsi="Times New Roman"/>
          <w:bCs/>
          <w:noProof/>
          <w:sz w:val="24"/>
          <w:szCs w:val="24"/>
        </w:rPr>
        <w:t xml:space="preserve">, que representa um vasto leque de partes interessadas, e foi incumbido da elaboração de orientações éticas no domínio da IA, bem como da preparação de um conjunto de recomendações para uma política de IA mais ampla. Ao mesmo tempo, foi criada a </w:t>
      </w:r>
      <w:r>
        <w:rPr>
          <w:rFonts w:ascii="Times New Roman" w:hAnsi="Times New Roman"/>
          <w:b/>
          <w:noProof/>
          <w:sz w:val="24"/>
          <w:szCs w:val="24"/>
        </w:rPr>
        <w:t>Aliança Europeia para a IA</w:t>
      </w:r>
      <w:r>
        <w:rPr>
          <w:rStyle w:val="FootnoteReference"/>
          <w:rFonts w:ascii="Times New Roman" w:hAnsi="Times New Roman" w:cs="Times New Roman"/>
          <w:noProof/>
          <w:sz w:val="24"/>
          <w:szCs w:val="24"/>
        </w:rPr>
        <w:footnoteReference w:id="8"/>
      </w:r>
      <w:r>
        <w:rPr>
          <w:rFonts w:ascii="Times New Roman" w:hAnsi="Times New Roman"/>
          <w:bCs/>
          <w:noProof/>
          <w:sz w:val="24"/>
          <w:szCs w:val="24"/>
        </w:rPr>
        <w:t>, uma plataforma aberta com mais de 2700 membros, para dar um maior contributo para o trabalho do Grupo de peritos de alto nível sobre a IA.</w:t>
      </w:r>
    </w:p>
    <w:p>
      <w:pPr>
        <w:spacing w:after="120" w:line="240" w:lineRule="auto"/>
        <w:jc w:val="both"/>
        <w:rPr>
          <w:rFonts w:ascii="Times New Roman" w:hAnsi="Times New Roman" w:cs="Times New Roman"/>
          <w:bCs/>
          <w:noProof/>
          <w:sz w:val="24"/>
          <w:szCs w:val="24"/>
        </w:rPr>
      </w:pPr>
      <w:r>
        <w:rPr>
          <w:rFonts w:ascii="Times New Roman" w:hAnsi="Times New Roman"/>
          <w:bCs/>
          <w:noProof/>
          <w:sz w:val="24"/>
          <w:szCs w:val="24"/>
        </w:rPr>
        <w:t xml:space="preserve">Em dezembro de 2018, o Grupo de peritos de alto nível sobre a IA publicou um primeiro projeto das orientações éticas. Na sequência de uma consulta às </w:t>
      </w:r>
      <w:r>
        <w:rPr>
          <w:rFonts w:ascii="Times New Roman" w:hAnsi="Times New Roman"/>
          <w:b/>
          <w:bCs/>
          <w:noProof/>
          <w:sz w:val="24"/>
          <w:szCs w:val="24"/>
        </w:rPr>
        <w:t>partes interessadas</w:t>
      </w:r>
      <w:r>
        <w:rPr>
          <w:rStyle w:val="FootnoteReference"/>
          <w:rFonts w:ascii="Times New Roman" w:hAnsi="Times New Roman" w:cs="Times New Roman"/>
          <w:noProof/>
        </w:rPr>
        <w:footnoteReference w:id="9"/>
      </w:r>
      <w:r>
        <w:rPr>
          <w:rFonts w:ascii="Times New Roman" w:hAnsi="Times New Roman"/>
          <w:b/>
          <w:bCs/>
          <w:noProof/>
          <w:sz w:val="24"/>
          <w:szCs w:val="24"/>
        </w:rPr>
        <w:t xml:space="preserve"> </w:t>
      </w:r>
      <w:r>
        <w:rPr>
          <w:rFonts w:ascii="Times New Roman" w:hAnsi="Times New Roman"/>
          <w:bCs/>
          <w:noProof/>
          <w:sz w:val="24"/>
          <w:szCs w:val="24"/>
        </w:rPr>
        <w:t xml:space="preserve">e de </w:t>
      </w:r>
      <w:r>
        <w:rPr>
          <w:rFonts w:ascii="Times New Roman" w:hAnsi="Times New Roman"/>
          <w:b/>
          <w:bCs/>
          <w:noProof/>
          <w:sz w:val="24"/>
          <w:szCs w:val="24"/>
        </w:rPr>
        <w:t>reuniões com representantes dos Estados-Membros</w:t>
      </w:r>
      <w:r>
        <w:rPr>
          <w:rStyle w:val="FootnoteReference"/>
          <w:rFonts w:ascii="Times New Roman" w:hAnsi="Times New Roman" w:cs="Times New Roman"/>
          <w:noProof/>
        </w:rPr>
        <w:footnoteReference w:id="10"/>
      </w:r>
      <w:r>
        <w:rPr>
          <w:rFonts w:ascii="Times New Roman" w:hAnsi="Times New Roman"/>
          <w:bCs/>
          <w:noProof/>
          <w:sz w:val="24"/>
          <w:szCs w:val="24"/>
        </w:rPr>
        <w:t>, o Grupo de peritos apresentou à Comissão, em março de 2019, um documento revisto. Nas suas observações até à data, as partes interessadas reagiram favoravelmente à natureza prática das orientações e às orientações concretas que oferecem aos criadores, fornecedores e utilizadores da IA sobre a forma de garantir a fiabilidade.</w:t>
      </w:r>
    </w:p>
    <w:p>
      <w:pPr>
        <w:spacing w:after="120" w:line="240" w:lineRule="auto"/>
        <w:jc w:val="both"/>
        <w:rPr>
          <w:rFonts w:ascii="Times New Roman" w:hAnsi="Times New Roman" w:cs="Times New Roman"/>
          <w:bCs/>
          <w:noProof/>
          <w:sz w:val="24"/>
          <w:szCs w:val="24"/>
        </w:rPr>
      </w:pPr>
    </w:p>
    <w:p>
      <w:pPr>
        <w:spacing w:after="240" w:line="240" w:lineRule="auto"/>
        <w:rPr>
          <w:rFonts w:ascii="Times New Roman" w:hAnsi="Times New Roman" w:cs="Times New Roman"/>
          <w:b/>
          <w:bCs/>
          <w:noProof/>
          <w:sz w:val="24"/>
          <w:szCs w:val="24"/>
        </w:rPr>
      </w:pPr>
      <w:r>
        <w:rPr>
          <w:rFonts w:ascii="Times New Roman" w:hAnsi="Times New Roman"/>
          <w:b/>
          <w:bCs/>
          <w:noProof/>
          <w:sz w:val="24"/>
          <w:szCs w:val="24"/>
        </w:rPr>
        <w:t>2.1. Orientações para uma IA de confiança elaboradas pelo Grupo de peritos de alto nível sobre a IA</w:t>
      </w: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szCs w:val="20"/>
        </w:rPr>
        <w:t>As orientações elaboradas pelo Grupo de peritos de alto nível sobre a IA, a que a presente comunicação se refere</w:t>
      </w:r>
      <w:r>
        <w:rPr>
          <w:rStyle w:val="FootnoteReference"/>
          <w:rFonts w:ascii="Times New Roman" w:eastAsia="Times New Roman" w:hAnsi="Times New Roman" w:cs="Times New Roman"/>
          <w:noProof/>
          <w:sz w:val="24"/>
          <w:szCs w:val="20"/>
        </w:rPr>
        <w:footnoteReference w:id="11"/>
      </w:r>
      <w:r>
        <w:rPr>
          <w:rFonts w:ascii="Times New Roman" w:hAnsi="Times New Roman"/>
          <w:noProof/>
          <w:sz w:val="24"/>
          <w:szCs w:val="20"/>
        </w:rPr>
        <w:t>, baseiam-se, em especial, no trabalho realizado pelo Grupo Europeu de Ética para as Ciências e as Novas Tecnologias e pela Agência dos Direitos Fundamentais.</w:t>
      </w: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szCs w:val="20"/>
        </w:rPr>
        <w:t>As orientações determinam que, para se alcançar uma «IA de confiança», são necessárias três componentes: 1) Conformidade com a legislação, 2) Respeito dos princípios éticos e 3) Robustez.</w:t>
      </w: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szCs w:val="20"/>
        </w:rPr>
        <w:t>Com base nestas três componentes e nos valores europeus definidos na secção 2, as orientações identificam sete requisitos essenciais que as aplicações de IA devem respeitar para serem consideradas de confiança. As orientações incluem igualmente uma lista de avaliação para ajudar a verificar se estes requisitos são cumpridos.</w:t>
      </w: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szCs w:val="20"/>
        </w:rPr>
        <w:t>Os sete requisitos principais são os seguintes:</w:t>
      </w:r>
    </w:p>
    <w:p>
      <w:pPr>
        <w:numPr>
          <w:ilvl w:val="0"/>
          <w:numId w:val="4"/>
        </w:numPr>
        <w:spacing w:after="120" w:line="240" w:lineRule="auto"/>
        <w:ind w:left="714" w:hanging="357"/>
        <w:jc w:val="both"/>
        <w:rPr>
          <w:rFonts w:ascii="Times New Roman" w:eastAsia="Times New Roman" w:hAnsi="Times New Roman" w:cs="Times New Roman"/>
          <w:noProof/>
          <w:sz w:val="24"/>
          <w:szCs w:val="20"/>
        </w:rPr>
      </w:pPr>
      <w:r>
        <w:rPr>
          <w:rFonts w:ascii="Times New Roman" w:hAnsi="Times New Roman"/>
          <w:noProof/>
          <w:sz w:val="24"/>
          <w:szCs w:val="20"/>
        </w:rPr>
        <w:t xml:space="preserve">Iniciativa e controlo por humanos </w:t>
      </w:r>
    </w:p>
    <w:p>
      <w:pPr>
        <w:numPr>
          <w:ilvl w:val="0"/>
          <w:numId w:val="4"/>
        </w:numPr>
        <w:spacing w:after="120" w:line="240" w:lineRule="auto"/>
        <w:ind w:left="714" w:hanging="357"/>
        <w:jc w:val="both"/>
        <w:rPr>
          <w:rFonts w:ascii="Times New Roman" w:eastAsia="Times New Roman" w:hAnsi="Times New Roman" w:cs="Times New Roman"/>
          <w:noProof/>
          <w:sz w:val="24"/>
          <w:szCs w:val="20"/>
        </w:rPr>
      </w:pPr>
      <w:r>
        <w:rPr>
          <w:rFonts w:ascii="Times New Roman" w:hAnsi="Times New Roman"/>
          <w:noProof/>
          <w:sz w:val="24"/>
          <w:szCs w:val="20"/>
        </w:rPr>
        <w:t>Robustez e segurança</w:t>
      </w:r>
    </w:p>
    <w:p>
      <w:pPr>
        <w:numPr>
          <w:ilvl w:val="0"/>
          <w:numId w:val="4"/>
        </w:numPr>
        <w:spacing w:after="120" w:line="240" w:lineRule="auto"/>
        <w:ind w:left="714" w:hanging="357"/>
        <w:jc w:val="both"/>
        <w:rPr>
          <w:rFonts w:ascii="Times New Roman" w:eastAsia="Times New Roman" w:hAnsi="Times New Roman" w:cs="Times New Roman"/>
          <w:noProof/>
          <w:sz w:val="24"/>
          <w:szCs w:val="20"/>
        </w:rPr>
      </w:pPr>
      <w:r>
        <w:rPr>
          <w:rFonts w:ascii="Times New Roman" w:hAnsi="Times New Roman"/>
          <w:noProof/>
          <w:sz w:val="24"/>
          <w:szCs w:val="20"/>
        </w:rPr>
        <w:t xml:space="preserve">Privacidade e governação dos dados </w:t>
      </w:r>
    </w:p>
    <w:p>
      <w:pPr>
        <w:numPr>
          <w:ilvl w:val="0"/>
          <w:numId w:val="4"/>
        </w:numPr>
        <w:spacing w:after="120" w:line="240" w:lineRule="auto"/>
        <w:ind w:left="714" w:hanging="357"/>
        <w:jc w:val="both"/>
        <w:rPr>
          <w:rFonts w:ascii="Times New Roman" w:eastAsia="Times New Roman" w:hAnsi="Times New Roman" w:cs="Times New Roman"/>
          <w:noProof/>
          <w:sz w:val="24"/>
          <w:szCs w:val="20"/>
        </w:rPr>
      </w:pPr>
      <w:r>
        <w:rPr>
          <w:rFonts w:ascii="Times New Roman" w:hAnsi="Times New Roman"/>
          <w:noProof/>
          <w:sz w:val="24"/>
          <w:szCs w:val="20"/>
        </w:rPr>
        <w:t xml:space="preserve">Transparência </w:t>
      </w:r>
    </w:p>
    <w:p>
      <w:pPr>
        <w:numPr>
          <w:ilvl w:val="0"/>
          <w:numId w:val="4"/>
        </w:numPr>
        <w:spacing w:after="120" w:line="240" w:lineRule="auto"/>
        <w:ind w:left="714" w:hanging="357"/>
        <w:jc w:val="both"/>
        <w:rPr>
          <w:rFonts w:ascii="Times New Roman" w:eastAsia="Times New Roman" w:hAnsi="Times New Roman" w:cs="Times New Roman"/>
          <w:noProof/>
          <w:sz w:val="24"/>
          <w:szCs w:val="20"/>
        </w:rPr>
      </w:pPr>
      <w:r>
        <w:rPr>
          <w:rFonts w:ascii="Times New Roman" w:hAnsi="Times New Roman"/>
          <w:noProof/>
          <w:sz w:val="24"/>
          <w:szCs w:val="20"/>
        </w:rPr>
        <w:t>Diversidade, não discriminação e equidade</w:t>
      </w:r>
    </w:p>
    <w:p>
      <w:pPr>
        <w:numPr>
          <w:ilvl w:val="0"/>
          <w:numId w:val="4"/>
        </w:numPr>
        <w:spacing w:after="120" w:line="240" w:lineRule="auto"/>
        <w:ind w:left="714" w:hanging="357"/>
        <w:jc w:val="both"/>
        <w:rPr>
          <w:rFonts w:ascii="Times New Roman" w:eastAsia="Times New Roman" w:hAnsi="Times New Roman" w:cs="Times New Roman"/>
          <w:noProof/>
          <w:sz w:val="24"/>
          <w:szCs w:val="20"/>
        </w:rPr>
      </w:pPr>
      <w:r>
        <w:rPr>
          <w:rFonts w:ascii="Times New Roman" w:hAnsi="Times New Roman"/>
          <w:noProof/>
          <w:sz w:val="24"/>
          <w:szCs w:val="20"/>
        </w:rPr>
        <w:t>Bem-estar societal e ambiental</w:t>
      </w:r>
    </w:p>
    <w:p>
      <w:pPr>
        <w:numPr>
          <w:ilvl w:val="0"/>
          <w:numId w:val="4"/>
        </w:numPr>
        <w:spacing w:after="120" w:line="240" w:lineRule="auto"/>
        <w:ind w:left="714" w:hanging="357"/>
        <w:jc w:val="both"/>
        <w:rPr>
          <w:rFonts w:ascii="Times New Roman" w:eastAsia="Times New Roman" w:hAnsi="Times New Roman" w:cs="Times New Roman"/>
          <w:noProof/>
          <w:sz w:val="24"/>
          <w:szCs w:val="20"/>
        </w:rPr>
      </w:pPr>
      <w:r>
        <w:rPr>
          <w:rFonts w:ascii="Times New Roman" w:hAnsi="Times New Roman"/>
          <w:noProof/>
          <w:sz w:val="24"/>
          <w:szCs w:val="20"/>
        </w:rPr>
        <w:t>Responsabilização</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Embora estes requisitos se destinem a ser aplicados a todos os sistemas de IA em diferentes setores e indústrias, para uma aplicação concreta e proporcionada, deve ser tido em conta o contexto específico em que são aplicados mediante uma abordagem baseada no impacto. A título de exemplo, a sugestão, por uma aplicação de IA, de um livro inadequado para leitura é muito menos perigosa do que o diagnóstico errado de um cancro, pelo que a primeira pode ser objeto de uma supervisão menos rigorosa. </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As orientações elaboradas pelo Grupo de peritos de alto nível sobre a IA </w:t>
      </w:r>
      <w:r>
        <w:rPr>
          <w:rFonts w:ascii="Times New Roman" w:hAnsi="Times New Roman"/>
          <w:noProof/>
          <w:sz w:val="24"/>
          <w:szCs w:val="20"/>
        </w:rPr>
        <w:t>não são vinculativas e, como tal, não criam novas obrigações jurídicas</w:t>
      </w:r>
      <w:r>
        <w:rPr>
          <w:rFonts w:ascii="Times New Roman" w:hAnsi="Times New Roman"/>
          <w:noProof/>
          <w:sz w:val="24"/>
          <w:szCs w:val="24"/>
        </w:rPr>
        <w:t>. Todavia, muitas das disposições existentes (e frequentemente de domínio ou utilização específicos) do direito da União refletem já um ou mais destes requisitos essenciais; por exemplo, a segurança, as normas sobre proteção dos dados pessoais, a privacidade a proteção do ambiente.</w:t>
      </w:r>
    </w:p>
    <w:p>
      <w:pPr>
        <w:spacing w:after="120" w:line="240" w:lineRule="auto"/>
        <w:jc w:val="both"/>
        <w:rPr>
          <w:rFonts w:ascii="Times New Roman" w:eastAsia="Times New Roman" w:hAnsi="Times New Roman" w:cs="Times New Roman"/>
          <w:noProof/>
          <w:sz w:val="24"/>
          <w:szCs w:val="20"/>
        </w:rPr>
      </w:pP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szCs w:val="20"/>
        </w:rPr>
        <w:t>A Comissão congratula-se com o trabalho do Grupo de peritos de alto nível sobre a IA e considera-o um contributo valioso para o seu processo de elaboração de políticas.</w:t>
      </w:r>
    </w:p>
    <w:p>
      <w:pPr>
        <w:spacing w:after="120" w:line="240" w:lineRule="auto"/>
        <w:jc w:val="both"/>
        <w:rPr>
          <w:rFonts w:ascii="Times New Roman" w:eastAsia="Times New Roman" w:hAnsi="Times New Roman" w:cs="Times New Roman"/>
          <w:noProof/>
          <w:sz w:val="24"/>
          <w:szCs w:val="20"/>
        </w:rPr>
      </w:pPr>
    </w:p>
    <w:p>
      <w:pPr>
        <w:spacing w:after="240" w:line="240" w:lineRule="auto"/>
        <w:jc w:val="both"/>
        <w:rPr>
          <w:rFonts w:ascii="Times New Roman" w:eastAsia="Times New Roman" w:hAnsi="Times New Roman" w:cs="Times New Roman"/>
          <w:b/>
          <w:noProof/>
          <w:sz w:val="24"/>
          <w:szCs w:val="20"/>
        </w:rPr>
      </w:pPr>
      <w:r>
        <w:rPr>
          <w:rFonts w:ascii="Times New Roman" w:hAnsi="Times New Roman"/>
          <w:b/>
          <w:noProof/>
          <w:sz w:val="24"/>
          <w:szCs w:val="20"/>
        </w:rPr>
        <w:t xml:space="preserve">2.2. Requisitos fundamentais para uma IA de confiança </w:t>
      </w:r>
    </w:p>
    <w:p>
      <w:pPr>
        <w:spacing w:after="120" w:line="240" w:lineRule="auto"/>
        <w:jc w:val="both"/>
        <w:rPr>
          <w:rFonts w:ascii="Times New Roman" w:eastAsia="Times New Roman" w:hAnsi="Times New Roman" w:cs="Times New Roman"/>
          <w:noProof/>
          <w:sz w:val="24"/>
          <w:szCs w:val="20"/>
        </w:rPr>
      </w:pPr>
      <w:r>
        <w:rPr>
          <w:rFonts w:ascii="Times New Roman" w:hAnsi="Times New Roman"/>
          <w:b/>
          <w:noProof/>
          <w:sz w:val="24"/>
          <w:szCs w:val="20"/>
        </w:rPr>
        <w:t>A Comissão apoia os seguintes requisitos fundamentais para uma inteligência artificial de confiança</w:t>
      </w:r>
      <w:r>
        <w:rPr>
          <w:rFonts w:ascii="Times New Roman" w:hAnsi="Times New Roman"/>
          <w:noProof/>
          <w:sz w:val="24"/>
          <w:szCs w:val="20"/>
        </w:rPr>
        <w:t>, que se baseiam nos valores europeus. Incentiva as partes interessadas a aplicarem os requisitos e a testarem a lista de avaliação que os torna operacionais, a fim de criar um clima de confiança para o êxito do desenvolvimento e da utilização da IA. A Comissão congratula-se com as reações das partes interessadas, úteis para avaliar se esta lista de apreciações apresentada nas orientações carece de maior ajustamento.</w:t>
      </w:r>
    </w:p>
    <w:p>
      <w:pPr>
        <w:spacing w:after="120" w:line="240" w:lineRule="auto"/>
        <w:jc w:val="both"/>
        <w:rPr>
          <w:rFonts w:ascii="Times New Roman" w:eastAsia="Times New Roman" w:hAnsi="Times New Roman" w:cs="Times New Roman"/>
          <w:noProof/>
          <w:sz w:val="24"/>
          <w:szCs w:val="20"/>
        </w:rPr>
      </w:pPr>
    </w:p>
    <w:p>
      <w:pPr>
        <w:numPr>
          <w:ilvl w:val="0"/>
          <w:numId w:val="8"/>
        </w:numPr>
        <w:spacing w:before="120" w:after="120" w:line="240" w:lineRule="auto"/>
        <w:ind w:left="851" w:hanging="491"/>
        <w:jc w:val="both"/>
        <w:rPr>
          <w:rFonts w:ascii="Times New Roman" w:hAnsi="Times New Roman" w:cs="Times New Roman"/>
          <w:bCs/>
          <w:noProof/>
          <w:sz w:val="24"/>
          <w:szCs w:val="24"/>
          <w:u w:val="single"/>
        </w:rPr>
      </w:pPr>
      <w:r>
        <w:rPr>
          <w:rFonts w:ascii="Times New Roman" w:hAnsi="Times New Roman"/>
          <w:bCs/>
          <w:noProof/>
          <w:sz w:val="24"/>
          <w:szCs w:val="24"/>
          <w:u w:val="single"/>
        </w:rPr>
        <w:t>Iniciativa e controlo por humanos</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noProof/>
          <w:sz w:val="24"/>
          <w:szCs w:val="24"/>
        </w:rPr>
      </w:pPr>
      <w:r>
        <w:rPr>
          <w:rFonts w:ascii="Times New Roman" w:hAnsi="Times New Roman"/>
          <w:noProof/>
          <w:sz w:val="24"/>
          <w:szCs w:val="24"/>
        </w:rPr>
        <w:t xml:space="preserve">Os sistemas de IA devem ajudar os indivíduos a fazerem escolhas melhores e mais informadas, em conformidade com os seus objetivos. Devem agir como facilitadores de uma sociedade próspera e equitativa, apoiando a atividade humana e promovendo os </w:t>
      </w:r>
      <w:r>
        <w:rPr>
          <w:rFonts w:ascii="Times New Roman" w:hAnsi="Times New Roman"/>
          <w:b/>
          <w:noProof/>
          <w:sz w:val="24"/>
          <w:szCs w:val="24"/>
        </w:rPr>
        <w:t>direitos fundamentais</w:t>
      </w:r>
      <w:r>
        <w:rPr>
          <w:rFonts w:ascii="Times New Roman" w:hAnsi="Times New Roman"/>
          <w:noProof/>
          <w:sz w:val="24"/>
          <w:szCs w:val="24"/>
        </w:rPr>
        <w:t xml:space="preserve">, e não reduzindo, limitando ou guiando a autonomia humana. O </w:t>
      </w:r>
      <w:r>
        <w:rPr>
          <w:rFonts w:ascii="Times New Roman" w:hAnsi="Times New Roman"/>
          <w:b/>
          <w:noProof/>
          <w:sz w:val="24"/>
          <w:szCs w:val="24"/>
        </w:rPr>
        <w:t>bem-estar geral do utilizador</w:t>
      </w:r>
      <w:r>
        <w:rPr>
          <w:rFonts w:ascii="Times New Roman" w:hAnsi="Times New Roman"/>
          <w:noProof/>
          <w:sz w:val="24"/>
          <w:szCs w:val="24"/>
        </w:rPr>
        <w:t xml:space="preserve"> deve estar no centro da funcionalidade do sistema. </w:t>
      </w:r>
    </w:p>
    <w:p>
      <w:pPr>
        <w:pStyle w:val="Normal1"/>
        <w:widowControl w:val="0"/>
        <w:pBdr>
          <w:top w:val="nil"/>
          <w:left w:val="nil"/>
          <w:bottom w:val="nil"/>
          <w:right w:val="nil"/>
          <w:between w:val="nil"/>
        </w:pBdr>
        <w:spacing w:before="120" w:after="120" w:line="240" w:lineRule="auto"/>
        <w:ind w:left="357"/>
        <w:jc w:val="both"/>
        <w:rPr>
          <w:rFonts w:ascii="Times New Roman" w:eastAsiaTheme="minorHAnsi" w:hAnsi="Times New Roman" w:cs="Times New Roman"/>
          <w:noProof/>
          <w:sz w:val="24"/>
          <w:szCs w:val="24"/>
        </w:rPr>
      </w:pPr>
      <w:r>
        <w:rPr>
          <w:rFonts w:ascii="Times New Roman" w:hAnsi="Times New Roman"/>
          <w:noProof/>
          <w:sz w:val="24"/>
          <w:szCs w:val="24"/>
        </w:rPr>
        <w:t xml:space="preserve">O controlo humano contribui para garantir que um sistema de IA não prejudica a autonomia humana nem causa outros efeitos adversos. Em função do sistema específico baseado em inteligência artificial e da sua área de aplicação, devem ser assegurados os graus adequados de </w:t>
      </w:r>
      <w:r>
        <w:rPr>
          <w:rFonts w:ascii="Times New Roman" w:hAnsi="Times New Roman"/>
          <w:b/>
          <w:noProof/>
          <w:sz w:val="24"/>
          <w:szCs w:val="24"/>
        </w:rPr>
        <w:t>medidas de controlo</w:t>
      </w:r>
      <w:r>
        <w:rPr>
          <w:rFonts w:ascii="Times New Roman" w:hAnsi="Times New Roman"/>
          <w:noProof/>
          <w:sz w:val="24"/>
          <w:szCs w:val="24"/>
        </w:rPr>
        <w:t>, incluindo a capacidade de adaptação, a exatidão e a explicação dos sistemas baseados em inteligência artificial</w:t>
      </w:r>
      <w:r>
        <w:rPr>
          <w:rStyle w:val="FootnoteReference"/>
          <w:rFonts w:ascii="Times New Roman" w:eastAsiaTheme="minorHAnsi" w:hAnsi="Times New Roman" w:cs="Times New Roman"/>
          <w:noProof/>
          <w:sz w:val="24"/>
          <w:szCs w:val="24"/>
          <w:lang w:val="en-GB" w:eastAsia="en-US"/>
        </w:rPr>
        <w:footnoteReference w:id="12"/>
      </w:r>
      <w:r>
        <w:rPr>
          <w:rFonts w:ascii="Times New Roman" w:hAnsi="Times New Roman"/>
          <w:noProof/>
          <w:sz w:val="24"/>
          <w:szCs w:val="24"/>
        </w:rPr>
        <w:t xml:space="preserve">. A </w:t>
      </w:r>
      <w:r>
        <w:rPr>
          <w:rFonts w:ascii="Times New Roman" w:hAnsi="Times New Roman"/>
          <w:b/>
          <w:noProof/>
          <w:sz w:val="24"/>
          <w:szCs w:val="24"/>
        </w:rPr>
        <w:t>supervisão</w:t>
      </w:r>
      <w:r>
        <w:rPr>
          <w:rFonts w:ascii="Times New Roman" w:hAnsi="Times New Roman"/>
          <w:noProof/>
          <w:sz w:val="24"/>
          <w:szCs w:val="24"/>
        </w:rPr>
        <w:t xml:space="preserve"> pode ser efetuada através de mecanismos de governação, como a garantia de uma abordagem que respeite os princípios da intervenção humana, da supervisão humana e da detenção do controlo por humanos</w:t>
      </w:r>
      <w:r>
        <w:rPr>
          <w:rFonts w:ascii="Times New Roman" w:hAnsi="Times New Roman" w:cs="Times New Roman"/>
          <w:noProof/>
          <w:sz w:val="24"/>
          <w:szCs w:val="24"/>
          <w:vertAlign w:val="superscript"/>
        </w:rPr>
        <w:footnoteReference w:id="13"/>
      </w:r>
      <w:r>
        <w:rPr>
          <w:rFonts w:ascii="Times New Roman" w:hAnsi="Times New Roman"/>
          <w:noProof/>
          <w:sz w:val="24"/>
          <w:szCs w:val="24"/>
        </w:rPr>
        <w:t xml:space="preserve"> («</w:t>
      </w:r>
      <w:r>
        <w:rPr>
          <w:rFonts w:ascii="Times New Roman" w:hAnsi="Times New Roman"/>
          <w:i/>
          <w:noProof/>
          <w:sz w:val="24"/>
          <w:szCs w:val="24"/>
        </w:rPr>
        <w:t>human-in-the-loop</w:t>
      </w:r>
      <w:r>
        <w:rPr>
          <w:rFonts w:ascii="Times New Roman" w:hAnsi="Times New Roman"/>
          <w:noProof/>
          <w:sz w:val="24"/>
          <w:szCs w:val="24"/>
        </w:rPr>
        <w:t>», «</w:t>
      </w:r>
      <w:r>
        <w:rPr>
          <w:rFonts w:ascii="Times New Roman" w:hAnsi="Times New Roman"/>
          <w:i/>
          <w:noProof/>
          <w:sz w:val="24"/>
          <w:szCs w:val="24"/>
        </w:rPr>
        <w:t>human-on-the-loop</w:t>
      </w:r>
      <w:r>
        <w:rPr>
          <w:rFonts w:ascii="Times New Roman" w:hAnsi="Times New Roman"/>
          <w:noProof/>
          <w:sz w:val="24"/>
          <w:szCs w:val="24"/>
        </w:rPr>
        <w:t>» ou «</w:t>
      </w:r>
      <w:r>
        <w:rPr>
          <w:rFonts w:ascii="Times New Roman" w:hAnsi="Times New Roman"/>
          <w:i/>
          <w:noProof/>
          <w:sz w:val="24"/>
          <w:szCs w:val="24"/>
        </w:rPr>
        <w:t>human-in-command</w:t>
      </w:r>
      <w:r>
        <w:rPr>
          <w:rFonts w:ascii="Times New Roman" w:hAnsi="Times New Roman"/>
          <w:noProof/>
          <w:sz w:val="24"/>
          <w:szCs w:val="24"/>
        </w:rPr>
        <w:t xml:space="preserve">»). Deve garantir-se que as autoridades públicas têm capacidade para exercer os seus poderes de supervisão em conformidade com os seus mandatos. Dado que todos os outros fatores são iguais, quanto menor for o grau de supervisão de um ser humano sobre um sistema de IA, maior é a necessidade de ensaios mais aprofundados e de uma governação mais rigorosa. </w:t>
      </w:r>
    </w:p>
    <w:p>
      <w:pPr>
        <w:pStyle w:val="Normal1"/>
        <w:widowControl w:val="0"/>
        <w:pBdr>
          <w:top w:val="nil"/>
          <w:left w:val="nil"/>
          <w:bottom w:val="nil"/>
          <w:right w:val="nil"/>
          <w:between w:val="nil"/>
        </w:pBdr>
        <w:spacing w:before="120" w:after="120" w:line="240" w:lineRule="auto"/>
        <w:ind w:left="357"/>
        <w:jc w:val="both"/>
        <w:rPr>
          <w:rFonts w:ascii="Times New Roman" w:hAnsi="Times New Roman" w:cs="Times New Roman"/>
          <w:noProof/>
          <w:sz w:val="24"/>
          <w:szCs w:val="24"/>
        </w:rPr>
      </w:pPr>
    </w:p>
    <w:p>
      <w:pPr>
        <w:numPr>
          <w:ilvl w:val="0"/>
          <w:numId w:val="8"/>
        </w:numPr>
        <w:spacing w:before="120" w:after="120" w:line="240" w:lineRule="auto"/>
        <w:ind w:left="851" w:hanging="491"/>
        <w:jc w:val="both"/>
        <w:rPr>
          <w:rFonts w:ascii="Times New Roman" w:hAnsi="Times New Roman" w:cs="Times New Roman"/>
          <w:bCs/>
          <w:noProof/>
          <w:sz w:val="24"/>
          <w:szCs w:val="24"/>
          <w:u w:val="single"/>
        </w:rPr>
      </w:pPr>
      <w:r>
        <w:rPr>
          <w:rFonts w:ascii="Times New Roman" w:hAnsi="Times New Roman"/>
          <w:bCs/>
          <w:noProof/>
          <w:sz w:val="24"/>
          <w:szCs w:val="24"/>
          <w:u w:val="single"/>
        </w:rPr>
        <w:t>Robustez e segurança</w:t>
      </w:r>
    </w:p>
    <w:p>
      <w:pPr>
        <w:spacing w:before="120" w:after="120" w:line="240" w:lineRule="auto"/>
        <w:ind w:left="360"/>
        <w:jc w:val="both"/>
        <w:rPr>
          <w:rFonts w:ascii="Times New Roman" w:hAnsi="Times New Roman" w:cs="Times New Roman"/>
          <w:noProof/>
          <w:sz w:val="24"/>
          <w:szCs w:val="24"/>
        </w:rPr>
      </w:pPr>
      <w:r>
        <w:rPr>
          <w:rFonts w:ascii="Times New Roman" w:hAnsi="Times New Roman"/>
          <w:noProof/>
          <w:sz w:val="24"/>
          <w:szCs w:val="24"/>
        </w:rPr>
        <w:t xml:space="preserve">Uma IA de confiança exige que os algoritmos sejam seguros, fiáveis e suficientemente robustos para lidar com erros ou incoerências durante todas as fases do ciclo de vida do sistema de IA e para lidar adequadamente com resultados errados. Os sistemas de IA têm de ser </w:t>
      </w:r>
      <w:r>
        <w:rPr>
          <w:rFonts w:ascii="Times New Roman" w:hAnsi="Times New Roman"/>
          <w:b/>
          <w:noProof/>
          <w:sz w:val="24"/>
          <w:szCs w:val="24"/>
        </w:rPr>
        <w:t>fiáveis</w:t>
      </w:r>
      <w:r>
        <w:rPr>
          <w:rFonts w:ascii="Times New Roman" w:hAnsi="Times New Roman"/>
          <w:noProof/>
          <w:sz w:val="24"/>
          <w:szCs w:val="24"/>
        </w:rPr>
        <w:t xml:space="preserve">, suficientemente </w:t>
      </w:r>
      <w:r>
        <w:rPr>
          <w:rFonts w:ascii="Times New Roman" w:hAnsi="Times New Roman"/>
          <w:b/>
          <w:noProof/>
          <w:sz w:val="24"/>
          <w:szCs w:val="24"/>
        </w:rPr>
        <w:t>resilientes</w:t>
      </w:r>
      <w:r>
        <w:rPr>
          <w:rFonts w:ascii="Times New Roman" w:hAnsi="Times New Roman"/>
          <w:noProof/>
          <w:sz w:val="24"/>
          <w:szCs w:val="24"/>
        </w:rPr>
        <w:t xml:space="preserve"> contra os ataques não dissimulados e tentativas mais subtis de manipular dados ou os próprios algoritmos, e devem assegurar um </w:t>
      </w:r>
      <w:r>
        <w:rPr>
          <w:rFonts w:ascii="Times New Roman" w:hAnsi="Times New Roman"/>
          <w:b/>
          <w:noProof/>
          <w:sz w:val="24"/>
          <w:szCs w:val="24"/>
        </w:rPr>
        <w:t>plano de recurso</w:t>
      </w:r>
      <w:r>
        <w:rPr>
          <w:rFonts w:ascii="Times New Roman" w:hAnsi="Times New Roman"/>
          <w:noProof/>
          <w:sz w:val="24"/>
          <w:szCs w:val="24"/>
        </w:rPr>
        <w:t xml:space="preserve"> em caso de problemas. As suas decisões devem ser </w:t>
      </w:r>
      <w:r>
        <w:rPr>
          <w:rFonts w:ascii="Times New Roman" w:hAnsi="Times New Roman"/>
          <w:b/>
          <w:noProof/>
          <w:sz w:val="24"/>
          <w:szCs w:val="24"/>
        </w:rPr>
        <w:t>exatas</w:t>
      </w:r>
      <w:r>
        <w:rPr>
          <w:rFonts w:ascii="Times New Roman" w:hAnsi="Times New Roman"/>
          <w:noProof/>
          <w:sz w:val="24"/>
          <w:szCs w:val="24"/>
        </w:rPr>
        <w:t xml:space="preserve">, ou, pelo menos, refletir corretamente o seu nível de precisão, e os seus resultados devem ser </w:t>
      </w:r>
      <w:r>
        <w:rPr>
          <w:rFonts w:ascii="Times New Roman" w:hAnsi="Times New Roman"/>
          <w:b/>
          <w:noProof/>
          <w:sz w:val="24"/>
          <w:szCs w:val="24"/>
        </w:rPr>
        <w:t>reprodutíveis</w:t>
      </w:r>
      <w:r>
        <w:rPr>
          <w:rFonts w:ascii="Times New Roman" w:hAnsi="Times New Roman"/>
          <w:noProof/>
          <w:sz w:val="24"/>
          <w:szCs w:val="24"/>
        </w:rPr>
        <w:t xml:space="preserve">. </w:t>
      </w:r>
    </w:p>
    <w:p>
      <w:pPr>
        <w:spacing w:before="120" w:after="120" w:line="240" w:lineRule="auto"/>
        <w:ind w:left="360"/>
        <w:jc w:val="both"/>
        <w:rPr>
          <w:rFonts w:ascii="Times New Roman" w:hAnsi="Times New Roman" w:cs="Times New Roman"/>
          <w:noProof/>
          <w:sz w:val="24"/>
          <w:szCs w:val="24"/>
        </w:rPr>
      </w:pPr>
      <w:r>
        <w:rPr>
          <w:rFonts w:ascii="Times New Roman" w:hAnsi="Times New Roman"/>
          <w:noProof/>
          <w:sz w:val="24"/>
          <w:szCs w:val="24"/>
        </w:rPr>
        <w:t xml:space="preserve">Além disso, os sistemas de IA devem integrar mecanismos de proteção e de segurança desde a conceção para garantir que são </w:t>
      </w:r>
      <w:r>
        <w:rPr>
          <w:rFonts w:ascii="Times New Roman" w:hAnsi="Times New Roman"/>
          <w:b/>
          <w:noProof/>
          <w:sz w:val="24"/>
          <w:szCs w:val="24"/>
        </w:rPr>
        <w:t>comprovadamente seguros</w:t>
      </w:r>
      <w:r>
        <w:rPr>
          <w:rFonts w:ascii="Times New Roman" w:hAnsi="Times New Roman"/>
          <w:noProof/>
          <w:sz w:val="24"/>
          <w:szCs w:val="24"/>
        </w:rPr>
        <w:t xml:space="preserve"> em todas as fases, tendo em conta a segurança física e mental de todas as partes envolvidas. Tal inclui a minimização e, sempre que possível, a reversibilidade de consequências ou de erros não intencionais na operação do sistema. Devem ser criados processos destinados a clarificar e avaliar os riscos potenciais associados à utilização de sistemas de IA em diferentes áreas de aplicação.</w:t>
      </w:r>
    </w:p>
    <w:p>
      <w:pPr>
        <w:spacing w:before="120" w:after="120" w:line="240" w:lineRule="auto"/>
        <w:ind w:left="360"/>
        <w:jc w:val="both"/>
        <w:rPr>
          <w:rFonts w:ascii="Times New Roman" w:hAnsi="Times New Roman" w:cs="Times New Roman"/>
          <w:noProof/>
          <w:sz w:val="24"/>
          <w:szCs w:val="24"/>
        </w:rPr>
      </w:pPr>
    </w:p>
    <w:p>
      <w:pPr>
        <w:numPr>
          <w:ilvl w:val="0"/>
          <w:numId w:val="8"/>
        </w:numPr>
        <w:spacing w:before="120" w:after="120" w:line="240" w:lineRule="auto"/>
        <w:ind w:left="851" w:hanging="491"/>
        <w:jc w:val="both"/>
        <w:rPr>
          <w:rFonts w:ascii="Times New Roman" w:hAnsi="Times New Roman" w:cs="Times New Roman"/>
          <w:bCs/>
          <w:noProof/>
          <w:sz w:val="24"/>
          <w:szCs w:val="24"/>
          <w:u w:val="single"/>
        </w:rPr>
      </w:pPr>
      <w:r>
        <w:rPr>
          <w:rFonts w:ascii="Times New Roman" w:hAnsi="Times New Roman"/>
          <w:bCs/>
          <w:noProof/>
          <w:sz w:val="24"/>
          <w:szCs w:val="24"/>
          <w:u w:val="single"/>
        </w:rPr>
        <w:t>Privacidade e governação dos dados</w:t>
      </w:r>
    </w:p>
    <w:p>
      <w:pPr>
        <w:pStyle w:val="Normal1"/>
        <w:widowControl w:val="0"/>
        <w:pBdr>
          <w:top w:val="nil"/>
          <w:left w:val="nil"/>
          <w:bottom w:val="nil"/>
          <w:right w:val="nil"/>
          <w:between w:val="nil"/>
        </w:pBdr>
        <w:spacing w:before="120" w:after="120" w:line="240" w:lineRule="auto"/>
        <w:ind w:left="360"/>
        <w:jc w:val="both"/>
        <w:rPr>
          <w:rFonts w:ascii="Times New Roman" w:eastAsiaTheme="minorHAnsi" w:hAnsi="Times New Roman" w:cs="Times New Roman"/>
          <w:noProof/>
          <w:sz w:val="24"/>
          <w:szCs w:val="24"/>
        </w:rPr>
      </w:pPr>
      <w:r>
        <w:rPr>
          <w:rFonts w:ascii="Times New Roman" w:hAnsi="Times New Roman"/>
          <w:noProof/>
          <w:sz w:val="24"/>
          <w:szCs w:val="24"/>
        </w:rPr>
        <w:t xml:space="preserve">A privacidade e a </w:t>
      </w:r>
      <w:r>
        <w:rPr>
          <w:rFonts w:ascii="Times New Roman" w:hAnsi="Times New Roman"/>
          <w:b/>
          <w:noProof/>
          <w:sz w:val="24"/>
          <w:szCs w:val="24"/>
        </w:rPr>
        <w:t>proteção de dados</w:t>
      </w:r>
      <w:r>
        <w:rPr>
          <w:rFonts w:ascii="Times New Roman" w:hAnsi="Times New Roman"/>
          <w:noProof/>
          <w:sz w:val="24"/>
          <w:szCs w:val="24"/>
        </w:rPr>
        <w:t xml:space="preserve"> devem ser garantidas em </w:t>
      </w:r>
      <w:r>
        <w:rPr>
          <w:rFonts w:ascii="Times New Roman" w:hAnsi="Times New Roman"/>
          <w:b/>
          <w:noProof/>
          <w:sz w:val="24"/>
          <w:szCs w:val="24"/>
        </w:rPr>
        <w:t>todas as fases</w:t>
      </w:r>
      <w:r>
        <w:rPr>
          <w:rFonts w:ascii="Times New Roman" w:hAnsi="Times New Roman"/>
          <w:noProof/>
          <w:sz w:val="24"/>
          <w:szCs w:val="24"/>
        </w:rPr>
        <w:t xml:space="preserve"> do ciclo de vida do sistema de IA. Os registos digitais de comportamento humano podem permitir aos sistemas de IA inferir não só as preferências dos indivíduos, a sua idade e o seu género, como também a sua orientação sexual, religião ou opinião política. A fim de permitir que as pessoas confiem no tratamento de dados, há que assegurar-lhes o pleno controlo sobre os seus próprios dados e a não utilização dos dados que lhes dizem respeito para as prejudicar ou discriminar.</w:t>
      </w:r>
    </w:p>
    <w:p>
      <w:pPr>
        <w:pStyle w:val="Normal1"/>
        <w:widowControl w:val="0"/>
        <w:pBdr>
          <w:top w:val="nil"/>
          <w:left w:val="nil"/>
          <w:bottom w:val="nil"/>
          <w:right w:val="nil"/>
          <w:between w:val="nil"/>
        </w:pBdr>
        <w:spacing w:before="120" w:after="120" w:line="240" w:lineRule="auto"/>
        <w:ind w:left="360"/>
        <w:jc w:val="both"/>
        <w:rPr>
          <w:rFonts w:ascii="Times New Roman" w:eastAsiaTheme="minorHAnsi" w:hAnsi="Times New Roman" w:cs="Times New Roman"/>
          <w:noProof/>
          <w:sz w:val="24"/>
          <w:szCs w:val="24"/>
        </w:rPr>
      </w:pPr>
      <w:r>
        <w:rPr>
          <w:rFonts w:ascii="Times New Roman" w:hAnsi="Times New Roman"/>
          <w:noProof/>
          <w:sz w:val="24"/>
          <w:szCs w:val="24"/>
        </w:rPr>
        <w:t xml:space="preserve">Além da proteção da privacidade e dos dados pessoais, devem ser cumpridos requisitos para garantir sistemas de IA de elevada qualidade. A qualidade dos conjuntos de dados utilizados é fundamental para o desempenho dos sistemas de IA. Os dados recolhidos estes podem refletir enviesamentos socialmente construídos ou conter inexatidões, erros e lapsos. Esta questão deve ser abordada antes da formação de um sistema de IA com qualquer conjunto de dados. Além disso, deve ser assegurada a </w:t>
      </w:r>
      <w:r>
        <w:rPr>
          <w:rFonts w:ascii="Times New Roman" w:hAnsi="Times New Roman"/>
          <w:b/>
          <w:noProof/>
          <w:sz w:val="24"/>
          <w:szCs w:val="24"/>
        </w:rPr>
        <w:t>integridade</w:t>
      </w:r>
      <w:r>
        <w:rPr>
          <w:rFonts w:ascii="Times New Roman" w:hAnsi="Times New Roman"/>
          <w:noProof/>
          <w:sz w:val="24"/>
          <w:szCs w:val="24"/>
        </w:rPr>
        <w:t xml:space="preserve"> dos dados. Os processos e conjuntos de dados utilizados devem ser testados e documentados em cada fase, como as do planeamento, da formação, dos ensaios e da implantação. Este requisito deve aplicar-se igualmente aos sistemas de IA que não sejam desenvolvidos internamente, mas adquiridos noutros locais. Por último, o </w:t>
      </w:r>
      <w:r>
        <w:rPr>
          <w:rFonts w:ascii="Times New Roman" w:hAnsi="Times New Roman"/>
          <w:b/>
          <w:noProof/>
          <w:sz w:val="24"/>
          <w:szCs w:val="24"/>
        </w:rPr>
        <w:t>acesso</w:t>
      </w:r>
      <w:r>
        <w:rPr>
          <w:rFonts w:ascii="Times New Roman" w:hAnsi="Times New Roman"/>
          <w:noProof/>
          <w:sz w:val="24"/>
          <w:szCs w:val="24"/>
        </w:rPr>
        <w:t xml:space="preserve"> aos dados deve ser adequadamente regulado e controlado.</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noProof/>
          <w:sz w:val="24"/>
          <w:szCs w:val="24"/>
          <w:lang w:eastAsia="en-US"/>
        </w:rPr>
      </w:pPr>
    </w:p>
    <w:p>
      <w:pPr>
        <w:numPr>
          <w:ilvl w:val="0"/>
          <w:numId w:val="8"/>
        </w:numPr>
        <w:spacing w:before="120" w:after="120" w:line="240" w:lineRule="auto"/>
        <w:ind w:left="851" w:hanging="491"/>
        <w:jc w:val="both"/>
        <w:rPr>
          <w:rFonts w:ascii="Times New Roman" w:hAnsi="Times New Roman" w:cs="Times New Roman"/>
          <w:bCs/>
          <w:noProof/>
          <w:sz w:val="24"/>
          <w:szCs w:val="24"/>
          <w:u w:val="single"/>
        </w:rPr>
      </w:pPr>
      <w:r>
        <w:rPr>
          <w:rFonts w:ascii="Times New Roman" w:hAnsi="Times New Roman"/>
          <w:bCs/>
          <w:noProof/>
          <w:sz w:val="24"/>
          <w:szCs w:val="24"/>
          <w:u w:val="single"/>
        </w:rPr>
        <w:t xml:space="preserve">Transparência </w:t>
      </w:r>
    </w:p>
    <w:p>
      <w:pPr>
        <w:spacing w:before="120" w:after="120" w:line="240" w:lineRule="auto"/>
        <w:ind w:left="360"/>
        <w:jc w:val="both"/>
        <w:rPr>
          <w:rFonts w:ascii="Times New Roman" w:hAnsi="Times New Roman" w:cs="Times New Roman"/>
          <w:noProof/>
          <w:sz w:val="24"/>
          <w:szCs w:val="24"/>
        </w:rPr>
      </w:pPr>
      <w:r>
        <w:rPr>
          <w:rFonts w:ascii="Times New Roman" w:hAnsi="Times New Roman"/>
          <w:noProof/>
          <w:sz w:val="24"/>
          <w:szCs w:val="24"/>
        </w:rPr>
        <w:t xml:space="preserve">Deve ser assegurada a </w:t>
      </w:r>
      <w:r>
        <w:rPr>
          <w:rFonts w:ascii="Times New Roman" w:hAnsi="Times New Roman"/>
          <w:b/>
          <w:noProof/>
          <w:sz w:val="24"/>
          <w:szCs w:val="24"/>
        </w:rPr>
        <w:t>rastreabilidade</w:t>
      </w:r>
      <w:r>
        <w:rPr>
          <w:rFonts w:ascii="Times New Roman" w:hAnsi="Times New Roman"/>
          <w:noProof/>
          <w:sz w:val="24"/>
          <w:szCs w:val="24"/>
        </w:rPr>
        <w:t xml:space="preserve"> dos sistemas de IA; é importante registar e documentar as decisões tomadas pelos sistemas, bem como todo o processo (incluindo uma descrição da recolha e rotulagem de dados e uma descrição do algoritmo utilizado) que deu origem às decisões. Por este motivo, deve ser prestada, na medida do possível, uma </w:t>
      </w:r>
      <w:r>
        <w:rPr>
          <w:rFonts w:ascii="Times New Roman" w:hAnsi="Times New Roman"/>
          <w:b/>
          <w:noProof/>
          <w:sz w:val="24"/>
          <w:szCs w:val="24"/>
        </w:rPr>
        <w:t>explicação</w:t>
      </w:r>
      <w:r>
        <w:rPr>
          <w:rFonts w:ascii="Times New Roman" w:hAnsi="Times New Roman"/>
          <w:noProof/>
          <w:sz w:val="24"/>
          <w:szCs w:val="24"/>
        </w:rPr>
        <w:t xml:space="preserve"> do processo de tomada de decisões algorítmicas, adaptado às pessoas envolvidas. Devem ser prosseguidos os trabalhos de investigação em curso com vista ao desenvolvimento de mecanismos de explicação. Além disso, devem estar disponíveis explicações sobre o grau de influência e orientação de um sistema de IA no processo de tomada de decisão organizacional, as escolhas de conceção do sistema, bem como a justificação da sua implantação (garantindo, assim, não só a transparência dos dados e do sistema, mas também a transparência do modelo empresarial). </w:t>
      </w:r>
    </w:p>
    <w:p>
      <w:pPr>
        <w:spacing w:before="120" w:after="120" w:line="240" w:lineRule="auto"/>
        <w:ind w:left="360"/>
        <w:jc w:val="both"/>
        <w:rPr>
          <w:rFonts w:ascii="Times New Roman" w:hAnsi="Times New Roman" w:cs="Times New Roman"/>
          <w:noProof/>
          <w:sz w:val="24"/>
          <w:szCs w:val="24"/>
        </w:rPr>
      </w:pPr>
      <w:r>
        <w:rPr>
          <w:rFonts w:ascii="Times New Roman" w:hAnsi="Times New Roman"/>
          <w:noProof/>
          <w:sz w:val="24"/>
          <w:szCs w:val="24"/>
        </w:rPr>
        <w:t xml:space="preserve">Por último, é importante </w:t>
      </w:r>
      <w:r>
        <w:rPr>
          <w:rFonts w:ascii="Times New Roman" w:hAnsi="Times New Roman"/>
          <w:b/>
          <w:noProof/>
          <w:sz w:val="24"/>
          <w:szCs w:val="24"/>
        </w:rPr>
        <w:t>comunicar</w:t>
      </w:r>
      <w:r>
        <w:rPr>
          <w:rFonts w:ascii="Times New Roman" w:hAnsi="Times New Roman"/>
          <w:noProof/>
          <w:sz w:val="24"/>
          <w:szCs w:val="24"/>
        </w:rPr>
        <w:t xml:space="preserve"> adequadamente as capacidades e limitações do sistema de IA às diferentes partes interessadas envolvidas, de uma forma adequada ao caso em concreto. Além disso, os sistemas de IA devem ser identificáveis como tal, assegurando que os utilizadores sabem que estão a interagir com um sistema de IA e que pessoas são responsáveis por este sistema. </w:t>
      </w:r>
    </w:p>
    <w:p>
      <w:pPr>
        <w:spacing w:after="0" w:line="240" w:lineRule="auto"/>
        <w:ind w:left="513"/>
        <w:jc w:val="both"/>
        <w:rPr>
          <w:rFonts w:ascii="Times New Roman" w:hAnsi="Times New Roman" w:cs="Times New Roman"/>
          <w:noProof/>
          <w:sz w:val="24"/>
          <w:szCs w:val="24"/>
        </w:rPr>
      </w:pPr>
    </w:p>
    <w:p>
      <w:pPr>
        <w:numPr>
          <w:ilvl w:val="0"/>
          <w:numId w:val="8"/>
        </w:numPr>
        <w:spacing w:before="120" w:after="120" w:line="240" w:lineRule="auto"/>
        <w:ind w:left="851" w:hanging="491"/>
        <w:jc w:val="both"/>
        <w:rPr>
          <w:rFonts w:ascii="Times New Roman" w:hAnsi="Times New Roman" w:cs="Times New Roman"/>
          <w:bCs/>
          <w:noProof/>
          <w:sz w:val="24"/>
          <w:szCs w:val="24"/>
          <w:u w:val="single"/>
        </w:rPr>
      </w:pPr>
      <w:r>
        <w:rPr>
          <w:rFonts w:ascii="Times New Roman" w:hAnsi="Times New Roman"/>
          <w:bCs/>
          <w:noProof/>
          <w:sz w:val="24"/>
          <w:szCs w:val="24"/>
          <w:u w:val="single"/>
        </w:rPr>
        <w:t>Diversidade, não discriminação e equidade</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noProof/>
          <w:sz w:val="24"/>
          <w:szCs w:val="24"/>
        </w:rPr>
      </w:pPr>
      <w:r>
        <w:rPr>
          <w:rFonts w:ascii="Times New Roman" w:hAnsi="Times New Roman"/>
          <w:noProof/>
          <w:sz w:val="24"/>
          <w:szCs w:val="24"/>
        </w:rPr>
        <w:t>Os conjuntos de dados utilizados pelos sistemas de IA (tanto para a aprendizagem como para o funcionamento) podem ser afetados pela inclusão inadvertida de modelos de má conduta, incompletos e de má governação. A subsistirem, tais enviesamentos poderiam conduzir à discriminação (in)direta. Podem resultar danos também da exploração intencional de preconceitos (dos consumidores) ou da concorrência desleal. Além disso, o modo de desenvolvimento dos sistemas de IA (por exemplo, a forma de escrita do código de programação de um algoritmo) também pode ser tendencioso. Estas preocupações devem ser abordadas desde o início do desenvolvimento do sistema.</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noProof/>
          <w:sz w:val="24"/>
          <w:szCs w:val="24"/>
        </w:rPr>
      </w:pPr>
      <w:r>
        <w:rPr>
          <w:rFonts w:ascii="Times New Roman" w:hAnsi="Times New Roman"/>
          <w:noProof/>
          <w:sz w:val="24"/>
          <w:szCs w:val="24"/>
        </w:rPr>
        <w:t xml:space="preserve">A constituição de </w:t>
      </w:r>
      <w:r>
        <w:rPr>
          <w:rFonts w:ascii="Times New Roman" w:hAnsi="Times New Roman"/>
          <w:b/>
          <w:noProof/>
          <w:sz w:val="24"/>
          <w:szCs w:val="24"/>
        </w:rPr>
        <w:t>equipas de conceção diversas</w:t>
      </w:r>
      <w:r>
        <w:rPr>
          <w:rFonts w:ascii="Times New Roman" w:hAnsi="Times New Roman"/>
          <w:noProof/>
          <w:sz w:val="24"/>
          <w:szCs w:val="24"/>
        </w:rPr>
        <w:t xml:space="preserve"> e a criação de mecanismos que garantam a </w:t>
      </w:r>
      <w:r>
        <w:rPr>
          <w:rFonts w:ascii="Times New Roman" w:hAnsi="Times New Roman"/>
          <w:b/>
          <w:noProof/>
          <w:sz w:val="24"/>
          <w:szCs w:val="24"/>
        </w:rPr>
        <w:t>participação</w:t>
      </w:r>
      <w:r>
        <w:rPr>
          <w:rFonts w:ascii="Times New Roman" w:hAnsi="Times New Roman"/>
          <w:noProof/>
          <w:sz w:val="24"/>
          <w:szCs w:val="24"/>
        </w:rPr>
        <w:t>, em especial dos cidadãos, no desenvolvimento da IA também podem ajudar a dar resposta a estas preocupações. É aconselhável consultar as partes interessadas que possam ser direta ou indiretamente afetadas pelo sistema ao longo de todo o seu ciclo de vida</w:t>
      </w:r>
      <w:r>
        <w:rPr>
          <w:rFonts w:ascii="Times New Roman" w:hAnsi="Times New Roman"/>
          <w:noProof/>
          <w:sz w:val="20"/>
          <w:szCs w:val="20"/>
        </w:rPr>
        <w:t xml:space="preserve">. </w:t>
      </w:r>
      <w:r>
        <w:rPr>
          <w:rFonts w:ascii="Times New Roman" w:hAnsi="Times New Roman"/>
          <w:noProof/>
          <w:sz w:val="24"/>
          <w:szCs w:val="24"/>
        </w:rPr>
        <w:t xml:space="preserve">Os sistemas de IA devem ter em conta toda a gama de capacidades, competências e requisitos humanos, bem como garantir a acessibilidade através de uma abordagem de conceção universal, a fim de assegurar a igualdade de acesso das pessoas com deficiência. </w:t>
      </w:r>
    </w:p>
    <w:p>
      <w:pPr>
        <w:pStyle w:val="Normal1"/>
        <w:widowControl w:val="0"/>
        <w:pBdr>
          <w:top w:val="nil"/>
          <w:left w:val="nil"/>
          <w:bottom w:val="nil"/>
          <w:right w:val="nil"/>
          <w:between w:val="nil"/>
        </w:pBdr>
        <w:spacing w:before="120" w:after="120" w:line="240" w:lineRule="auto"/>
        <w:ind w:left="357"/>
        <w:jc w:val="both"/>
        <w:rPr>
          <w:rFonts w:ascii="Times New Roman" w:hAnsi="Times New Roman" w:cs="Times New Roman"/>
          <w:noProof/>
          <w:sz w:val="24"/>
          <w:szCs w:val="24"/>
        </w:rPr>
      </w:pPr>
    </w:p>
    <w:p>
      <w:pPr>
        <w:numPr>
          <w:ilvl w:val="0"/>
          <w:numId w:val="8"/>
        </w:numPr>
        <w:spacing w:before="120" w:after="120" w:line="240" w:lineRule="auto"/>
        <w:ind w:left="851" w:hanging="491"/>
        <w:jc w:val="both"/>
        <w:rPr>
          <w:rFonts w:ascii="Times New Roman" w:hAnsi="Times New Roman" w:cs="Times New Roman"/>
          <w:bCs/>
          <w:noProof/>
          <w:sz w:val="24"/>
          <w:szCs w:val="24"/>
          <w:u w:val="single"/>
        </w:rPr>
      </w:pPr>
      <w:r>
        <w:rPr>
          <w:rFonts w:ascii="Times New Roman" w:hAnsi="Times New Roman"/>
          <w:bCs/>
          <w:noProof/>
          <w:sz w:val="24"/>
          <w:szCs w:val="24"/>
          <w:u w:val="single"/>
        </w:rPr>
        <w:t>Bem-estar societal e ambiental</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noProof/>
          <w:sz w:val="24"/>
          <w:szCs w:val="24"/>
        </w:rPr>
      </w:pPr>
      <w:r>
        <w:rPr>
          <w:rFonts w:ascii="Times New Roman" w:hAnsi="Times New Roman"/>
          <w:noProof/>
          <w:sz w:val="24"/>
          <w:szCs w:val="24"/>
        </w:rPr>
        <w:t xml:space="preserve">Para que a IA seja de confiança, há que ter em conta o seu impacto sobre o </w:t>
      </w:r>
      <w:r>
        <w:rPr>
          <w:rFonts w:ascii="Times New Roman" w:hAnsi="Times New Roman"/>
          <w:b/>
          <w:noProof/>
          <w:sz w:val="24"/>
          <w:szCs w:val="24"/>
        </w:rPr>
        <w:t>ambiente e outros seres sencientes</w:t>
      </w:r>
      <w:r>
        <w:rPr>
          <w:rFonts w:ascii="Times New Roman" w:hAnsi="Times New Roman"/>
          <w:noProof/>
          <w:sz w:val="24"/>
          <w:szCs w:val="24"/>
        </w:rPr>
        <w:t xml:space="preserve">. Idealmente, todos os seres humanos, incluindo as gerações futuras, devem beneficiar da biodiversidade e de um ambiente habitável. Devem, por conseguinte, ser incentivadas a sustentabilidade e a </w:t>
      </w:r>
      <w:r>
        <w:rPr>
          <w:rFonts w:ascii="Times New Roman" w:hAnsi="Times New Roman"/>
          <w:b/>
          <w:noProof/>
          <w:sz w:val="24"/>
          <w:szCs w:val="24"/>
        </w:rPr>
        <w:t>responsabilidade ecológica</w:t>
      </w:r>
      <w:r>
        <w:rPr>
          <w:rFonts w:ascii="Times New Roman" w:hAnsi="Times New Roman"/>
          <w:noProof/>
          <w:sz w:val="24"/>
          <w:szCs w:val="24"/>
        </w:rPr>
        <w:t xml:space="preserve"> dos sistemas de IA. O mesmo se aplica às soluções de inteligência artificial que abordam domínios de interesse global, como, por exemplo, os Objetivos de Desenvolvimento Sustentável das Nações Unidas. </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noProof/>
          <w:sz w:val="24"/>
          <w:szCs w:val="24"/>
        </w:rPr>
      </w:pPr>
      <w:r>
        <w:rPr>
          <w:rFonts w:ascii="Times New Roman" w:hAnsi="Times New Roman"/>
          <w:noProof/>
          <w:sz w:val="24"/>
          <w:szCs w:val="24"/>
        </w:rPr>
        <w:t xml:space="preserve">Além disso, o impacto dos sistemas de IA deve ser considerado não apenas numa perspetiva individual, mas também na perspetiva de </w:t>
      </w:r>
      <w:r>
        <w:rPr>
          <w:rFonts w:ascii="Times New Roman" w:hAnsi="Times New Roman"/>
          <w:b/>
          <w:noProof/>
          <w:sz w:val="24"/>
          <w:szCs w:val="24"/>
        </w:rPr>
        <w:t>toda a sociedade</w:t>
      </w:r>
      <w:r>
        <w:rPr>
          <w:rFonts w:ascii="Times New Roman" w:hAnsi="Times New Roman"/>
          <w:noProof/>
          <w:sz w:val="24"/>
          <w:szCs w:val="24"/>
        </w:rPr>
        <w:t xml:space="preserve">. A utilização de sistemas de IA deve merecer uma atenção especial em situações relacionadas com o processo democrático, incluindo a tomada de decisões políticas e os contextos eleitorais. Além disso, há que ter em conta o </w:t>
      </w:r>
      <w:r>
        <w:rPr>
          <w:rFonts w:ascii="Times New Roman" w:hAnsi="Times New Roman"/>
          <w:b/>
          <w:noProof/>
          <w:sz w:val="24"/>
          <w:szCs w:val="24"/>
        </w:rPr>
        <w:t>impacto social</w:t>
      </w:r>
      <w:r>
        <w:rPr>
          <w:rFonts w:ascii="Times New Roman" w:hAnsi="Times New Roman"/>
          <w:noProof/>
          <w:sz w:val="24"/>
          <w:szCs w:val="24"/>
        </w:rPr>
        <w:t xml:space="preserve"> da IA. Embora os sistemas de IA possam ser utilizados para reforçar as competências sociais, podem contribuir igualmente para a sua deterioração.</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noProof/>
          <w:sz w:val="24"/>
          <w:szCs w:val="24"/>
        </w:rPr>
      </w:pPr>
    </w:p>
    <w:p>
      <w:pPr>
        <w:numPr>
          <w:ilvl w:val="0"/>
          <w:numId w:val="8"/>
        </w:numPr>
        <w:spacing w:before="120" w:after="120" w:line="240" w:lineRule="auto"/>
        <w:ind w:left="851" w:hanging="491"/>
        <w:jc w:val="both"/>
        <w:rPr>
          <w:rFonts w:ascii="Times New Roman" w:hAnsi="Times New Roman" w:cs="Times New Roman"/>
          <w:bCs/>
          <w:noProof/>
          <w:sz w:val="24"/>
          <w:szCs w:val="24"/>
          <w:u w:val="single"/>
        </w:rPr>
      </w:pPr>
      <w:r>
        <w:rPr>
          <w:rFonts w:ascii="Times New Roman" w:hAnsi="Times New Roman"/>
          <w:bCs/>
          <w:noProof/>
          <w:sz w:val="24"/>
          <w:szCs w:val="24"/>
          <w:u w:val="single"/>
        </w:rPr>
        <w:t>Responsabilização</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bCs/>
          <w:noProof/>
          <w:sz w:val="24"/>
          <w:szCs w:val="24"/>
        </w:rPr>
      </w:pPr>
      <w:r>
        <w:rPr>
          <w:rFonts w:ascii="Times New Roman" w:hAnsi="Times New Roman"/>
          <w:bCs/>
          <w:noProof/>
          <w:sz w:val="24"/>
          <w:szCs w:val="24"/>
        </w:rPr>
        <w:t xml:space="preserve">Devem ser criados mecanismos para assegurar a responsabilidade e a responsabilização dos sistemas de IA, bem como dos seus resultados, tanto antes como depois da sua aplicação. A </w:t>
      </w:r>
      <w:r>
        <w:rPr>
          <w:rFonts w:ascii="Times New Roman" w:hAnsi="Times New Roman"/>
          <w:b/>
          <w:bCs/>
          <w:noProof/>
          <w:sz w:val="24"/>
          <w:szCs w:val="24"/>
        </w:rPr>
        <w:t>auditabilidade</w:t>
      </w:r>
      <w:r>
        <w:rPr>
          <w:rFonts w:ascii="Times New Roman" w:hAnsi="Times New Roman"/>
          <w:bCs/>
          <w:noProof/>
          <w:sz w:val="24"/>
          <w:szCs w:val="24"/>
        </w:rPr>
        <w:t xml:space="preserve"> dos sistemas de IA é fundamental neste contexto, uma vez que a avaliação dos sistemas de IA por auditores internos e externos, bem como a disponibilidade de tais relatórios de avaliação, contribuem fortemente para a fiabilidade da tecnologia. A auditabilidade externa deve ser assegurada, em especial, nas aplicações que afetam os direitos fundamentais, incluindo as aplicações críticas para a segurança. </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bCs/>
          <w:noProof/>
          <w:sz w:val="24"/>
          <w:szCs w:val="24"/>
        </w:rPr>
      </w:pPr>
      <w:r>
        <w:rPr>
          <w:rFonts w:ascii="Times New Roman" w:hAnsi="Times New Roman"/>
          <w:bCs/>
          <w:noProof/>
          <w:sz w:val="24"/>
          <w:szCs w:val="24"/>
        </w:rPr>
        <w:t xml:space="preserve">Os </w:t>
      </w:r>
      <w:r>
        <w:rPr>
          <w:rFonts w:ascii="Times New Roman" w:hAnsi="Times New Roman"/>
          <w:b/>
          <w:bCs/>
          <w:noProof/>
          <w:sz w:val="24"/>
          <w:szCs w:val="24"/>
        </w:rPr>
        <w:t>potenciais</w:t>
      </w:r>
      <w:r>
        <w:rPr>
          <w:rFonts w:ascii="Times New Roman" w:hAnsi="Times New Roman"/>
          <w:bCs/>
          <w:noProof/>
          <w:sz w:val="24"/>
          <w:szCs w:val="24"/>
        </w:rPr>
        <w:t xml:space="preserve"> </w:t>
      </w:r>
      <w:r>
        <w:rPr>
          <w:rFonts w:ascii="Times New Roman" w:hAnsi="Times New Roman"/>
          <w:b/>
          <w:bCs/>
          <w:noProof/>
          <w:sz w:val="24"/>
          <w:szCs w:val="24"/>
        </w:rPr>
        <w:t>impactos negativos</w:t>
      </w:r>
      <w:r>
        <w:rPr>
          <w:rFonts w:ascii="Times New Roman" w:hAnsi="Times New Roman"/>
          <w:bCs/>
          <w:noProof/>
          <w:sz w:val="24"/>
          <w:szCs w:val="24"/>
        </w:rPr>
        <w:t xml:space="preserve"> dos sistemas de IA devem ser identificados, avaliados, documentados e minimizados. A utilização de avaliações de impacto facilita este processo. Estas avaliações devem ser proporcionais à dimensão dos riscos que os sistemas de IA representam. Os </w:t>
      </w:r>
      <w:r>
        <w:rPr>
          <w:rFonts w:ascii="Times New Roman" w:hAnsi="Times New Roman"/>
          <w:b/>
          <w:bCs/>
          <w:noProof/>
          <w:sz w:val="24"/>
          <w:szCs w:val="24"/>
        </w:rPr>
        <w:t>compromissos</w:t>
      </w:r>
      <w:r>
        <w:rPr>
          <w:rFonts w:ascii="Times New Roman" w:hAnsi="Times New Roman"/>
          <w:bCs/>
          <w:noProof/>
          <w:sz w:val="24"/>
          <w:szCs w:val="24"/>
        </w:rPr>
        <w:t xml:space="preserve"> entre os requisitos, muitas vezes inevitáveis, devem ser abordados de uma forma racional e metodológica, devendo ser tidos em conta. Por último, prever-se mecanismos acessíveis, que garantam uma </w:t>
      </w:r>
      <w:r>
        <w:rPr>
          <w:rFonts w:ascii="Times New Roman" w:hAnsi="Times New Roman"/>
          <w:b/>
          <w:bCs/>
          <w:noProof/>
          <w:sz w:val="24"/>
          <w:szCs w:val="24"/>
        </w:rPr>
        <w:t>reparação adequada</w:t>
      </w:r>
      <w:r>
        <w:rPr>
          <w:rFonts w:ascii="Times New Roman" w:hAnsi="Times New Roman"/>
          <w:bCs/>
          <w:noProof/>
          <w:sz w:val="24"/>
          <w:szCs w:val="24"/>
        </w:rPr>
        <w:t>, para as ocorrências de impactos adversos e injustos.</w:t>
      </w:r>
      <w:r>
        <w:rPr>
          <w:rFonts w:ascii="Times New Roman" w:hAnsi="Times New Roman"/>
          <w:noProof/>
          <w:sz w:val="20"/>
          <w:szCs w:val="20"/>
        </w:rPr>
        <w:t xml:space="preserve"> </w:t>
      </w:r>
    </w:p>
    <w:p>
      <w:pPr>
        <w:spacing w:before="120" w:after="120" w:line="240" w:lineRule="auto"/>
        <w:ind w:left="1080"/>
        <w:jc w:val="both"/>
        <w:rPr>
          <w:rFonts w:ascii="Times New Roman" w:hAnsi="Times New Roman" w:cs="Times New Roman"/>
          <w:noProof/>
          <w:sz w:val="24"/>
          <w:szCs w:val="24"/>
          <w:lang w:eastAsia="en-GB"/>
        </w:rPr>
      </w:pPr>
    </w:p>
    <w:p>
      <w:pPr>
        <w:spacing w:after="240" w:line="240" w:lineRule="auto"/>
        <w:jc w:val="both"/>
        <w:rPr>
          <w:rFonts w:ascii="Times New Roman" w:eastAsia="Times New Roman" w:hAnsi="Times New Roman" w:cs="Times New Roman"/>
          <w:b/>
          <w:noProof/>
          <w:sz w:val="24"/>
          <w:szCs w:val="20"/>
        </w:rPr>
      </w:pPr>
      <w:r>
        <w:rPr>
          <w:rFonts w:ascii="Times New Roman" w:hAnsi="Times New Roman"/>
          <w:b/>
          <w:noProof/>
          <w:sz w:val="24"/>
          <w:szCs w:val="20"/>
        </w:rPr>
        <w:t>2.3. Próximas etapas: uma fase de pilotagem que envolva as partes interessadas à escala mais ampla possível</w:t>
      </w:r>
    </w:p>
    <w:p>
      <w:pPr>
        <w:spacing w:after="120" w:line="240" w:lineRule="auto"/>
        <w:jc w:val="both"/>
        <w:rPr>
          <w:rFonts w:ascii="Times New Roman" w:hAnsi="Times New Roman" w:cs="Times New Roman"/>
          <w:bCs/>
          <w:noProof/>
          <w:sz w:val="24"/>
          <w:szCs w:val="24"/>
        </w:rPr>
      </w:pPr>
      <w:r>
        <w:rPr>
          <w:rFonts w:ascii="Times New Roman" w:hAnsi="Times New Roman"/>
          <w:bCs/>
          <w:noProof/>
          <w:sz w:val="24"/>
          <w:szCs w:val="24"/>
        </w:rPr>
        <w:t>A obtenção de um consenso sobre estes requisitos essenciais para os sistemas de IA constitui um primeiro marco importante para a elaboração de orientações para uma IA ética. Como próxima etapa, a Comissão assegurará que estas orientações podem ser testadas e aplicadas na prática.</w:t>
      </w:r>
    </w:p>
    <w:p>
      <w:pPr>
        <w:spacing w:after="120" w:line="240" w:lineRule="auto"/>
        <w:jc w:val="both"/>
        <w:rPr>
          <w:rFonts w:ascii="Times New Roman" w:hAnsi="Times New Roman" w:cs="Times New Roman"/>
          <w:bCs/>
          <w:noProof/>
          <w:sz w:val="24"/>
          <w:szCs w:val="24"/>
        </w:rPr>
      </w:pPr>
      <w:r>
        <w:rPr>
          <w:rFonts w:ascii="Times New Roman" w:hAnsi="Times New Roman"/>
          <w:bCs/>
          <w:noProof/>
          <w:sz w:val="24"/>
          <w:szCs w:val="24"/>
        </w:rPr>
        <w:t>Para o efeito, a Comissão lançará uma fase de pilotagem específica, destinada a obter reações estruturadas das partes interessadas. Este exercício centrar-se-á, em especial, na lista de avaliação que o grupo de peritos de alto nível elaborou para cada um dos requisitos essenciais.</w:t>
      </w: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szCs w:val="20"/>
        </w:rPr>
        <w:t>Este trabalho terá duas vertentes: i) uma fase de pilotagem das orientações que envolve as partes interessadas que desenvolvem ou utilizam a IA, incluindo as administrações públicas; ii) um processo contínuo de consulta das partes interessadas e de sensibilização dos Estados-Membros e de diferentes grupos de partes interessadas, incluindo a indústria e os setores dos serviços.</w:t>
      </w:r>
    </w:p>
    <w:p>
      <w:pPr>
        <w:numPr>
          <w:ilvl w:val="0"/>
          <w:numId w:val="3"/>
        </w:numPr>
        <w:spacing w:after="120" w:line="240" w:lineRule="auto"/>
        <w:ind w:left="851" w:hanging="501"/>
        <w:jc w:val="both"/>
        <w:rPr>
          <w:rFonts w:ascii="Times New Roman" w:eastAsia="Times New Roman" w:hAnsi="Times New Roman" w:cs="Times New Roman"/>
          <w:noProof/>
          <w:sz w:val="24"/>
          <w:szCs w:val="20"/>
        </w:rPr>
      </w:pPr>
      <w:r>
        <w:rPr>
          <w:rFonts w:ascii="Times New Roman" w:hAnsi="Times New Roman"/>
          <w:noProof/>
          <w:sz w:val="24"/>
          <w:szCs w:val="20"/>
        </w:rPr>
        <w:t xml:space="preserve">A partir de junho de 2019, todas as partes interessadas e particulares serão convidados a testar a lista de avaliação e a comunicar informações sobre a forma de a melhorar. Além disso, o grupo de peritos de alto nível para a IA procederá a uma análise aprofundada com as partes interessadas do setor privado e do setor público, a fim de recolher informações mais pormenorizadas sobre as possibilidades de aplicação das orientações numa vasta gama de domínios de aplicação. Todas as observações sobre a funcionalidade e viabilidade das orientações serão avaliadas até ao final de 2019. </w:t>
      </w:r>
    </w:p>
    <w:p>
      <w:pPr>
        <w:numPr>
          <w:ilvl w:val="0"/>
          <w:numId w:val="3"/>
        </w:numPr>
        <w:spacing w:after="120" w:line="240" w:lineRule="auto"/>
        <w:ind w:left="851" w:hanging="567"/>
        <w:jc w:val="both"/>
        <w:rPr>
          <w:rFonts w:ascii="Times New Roman" w:eastAsia="Times New Roman" w:hAnsi="Times New Roman" w:cs="Times New Roman"/>
          <w:noProof/>
          <w:sz w:val="24"/>
          <w:szCs w:val="20"/>
        </w:rPr>
      </w:pPr>
      <w:r>
        <w:rPr>
          <w:rFonts w:ascii="Times New Roman" w:hAnsi="Times New Roman"/>
          <w:noProof/>
          <w:sz w:val="24"/>
          <w:szCs w:val="20"/>
        </w:rPr>
        <w:t xml:space="preserve">Paralelamente, a Comissão organizará outras atividades de sensibilização, oferecendo aos representantes do Grupo de peritos de alto nível sobre a IA a oportunidade de apresentarem as orientações às partes interessadas dos Estados-Membros, incluindo a indústria e os setores dos serviços, e de lhes proporcionar uma oportunidade suplementar de comentarem e contribuírem para as orientações relativas à IA. </w:t>
      </w: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szCs w:val="20"/>
        </w:rPr>
        <w:t>A Comissão terá em conta o trabalho do grupo de peritos em matéria de ética no domínio da condução conectada e automatizada</w:t>
      </w:r>
      <w:r>
        <w:rPr>
          <w:rStyle w:val="FootnoteReference"/>
          <w:rFonts w:ascii="Times New Roman" w:eastAsia="Times New Roman" w:hAnsi="Times New Roman" w:cs="Times New Roman"/>
          <w:noProof/>
          <w:sz w:val="24"/>
          <w:szCs w:val="20"/>
        </w:rPr>
        <w:footnoteReference w:id="14"/>
      </w:r>
      <w:r>
        <w:rPr>
          <w:rFonts w:ascii="Times New Roman" w:hAnsi="Times New Roman"/>
          <w:noProof/>
          <w:sz w:val="24"/>
          <w:szCs w:val="20"/>
        </w:rPr>
        <w:t>, assim como o trabalho com projetos de investigação financiados pela UE no domínio da IA e com as parcerias público-privadas relevantes para a aplicação dos requisitos essenciais</w:t>
      </w:r>
      <w:r>
        <w:rPr>
          <w:rStyle w:val="FootnoteReference"/>
          <w:rFonts w:ascii="Times New Roman" w:eastAsia="Times New Roman" w:hAnsi="Times New Roman" w:cs="Times New Roman"/>
          <w:noProof/>
          <w:sz w:val="24"/>
          <w:szCs w:val="20"/>
        </w:rPr>
        <w:footnoteReference w:id="15"/>
      </w:r>
      <w:r>
        <w:rPr>
          <w:rFonts w:ascii="Times New Roman" w:hAnsi="Times New Roman"/>
          <w:noProof/>
          <w:sz w:val="24"/>
          <w:szCs w:val="20"/>
        </w:rPr>
        <w:t>. Por exemplo, a Comissão apoiará, em coordenação com os Estados-Membros, o desenvolvimento de uma base de dados comum de imagens de saúde dedicadas inicialmente às formas mais comuns de cancro, de modo a que os algoritmos possam ser treinados para o diagnóstico de sintomas com uma precisão muito elevada. Do mesmo modo, a cooperação entre a Comissão e os Estados-Membros permite a abertura de um número crescente de corredores transfronteiriços para a realização de ensaios de veículos conectados e automatizados. As orientações devem ser aplicadas nestes projetos e testadas, e os resultados serão tidos em conta no processo de avaliação.</w:t>
      </w: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szCs w:val="20"/>
        </w:rPr>
        <w:t>A fase de pilotagem e a consulta das partes interessadas beneficiarão da contribuição da Aliança Europeia da Inteligência Artificial e da AI4EU, a plataforma de IA a pedido. O projeto AI4EU</w:t>
      </w:r>
      <w:r>
        <w:rPr>
          <w:rStyle w:val="FootnoteReference"/>
          <w:rFonts w:ascii="Times New Roman" w:eastAsia="Times New Roman" w:hAnsi="Times New Roman" w:cs="Times New Roman"/>
          <w:noProof/>
          <w:sz w:val="24"/>
          <w:szCs w:val="20"/>
        </w:rPr>
        <w:footnoteReference w:id="16"/>
      </w:r>
      <w:r>
        <w:rPr>
          <w:rFonts w:ascii="Times New Roman" w:hAnsi="Times New Roman"/>
          <w:noProof/>
          <w:sz w:val="24"/>
          <w:szCs w:val="20"/>
        </w:rPr>
        <w:t>, lançado em janeiro de 2019, reúne algoritmos, ferramentas, conjuntos de dados e serviços para ajudar as organizações, em especial as pequenas e médias empresas, a aplicarem soluções de inteligência artificial. A Aliança Europeia da Inteligência Artificial, juntamente com a AI4EU, continuará a mobilizar o ecossistema da IA em toda a Europa, tendo também em vista orientar as diretrizes de ética da IA e promover o respeito pela IA centrada no ser humano.</w:t>
      </w:r>
    </w:p>
    <w:p>
      <w:pPr>
        <w:spacing w:after="120" w:line="240" w:lineRule="auto"/>
        <w:jc w:val="both"/>
        <w:rPr>
          <w:rFonts w:ascii="Times New Roman" w:eastAsia="Times New Roman" w:hAnsi="Times New Roman" w:cs="Times New Roman"/>
          <w:noProof/>
          <w:sz w:val="24"/>
          <w:szCs w:val="20"/>
        </w:rPr>
      </w:pPr>
      <w:r>
        <w:rPr>
          <w:rFonts w:ascii="Times New Roman" w:hAnsi="Times New Roman"/>
          <w:b/>
          <w:noProof/>
          <w:sz w:val="24"/>
          <w:szCs w:val="20"/>
        </w:rPr>
        <w:t>No início de 2020</w:t>
      </w:r>
      <w:r>
        <w:rPr>
          <w:rFonts w:ascii="Times New Roman" w:hAnsi="Times New Roman"/>
          <w:noProof/>
          <w:sz w:val="24"/>
          <w:szCs w:val="20"/>
        </w:rPr>
        <w:t xml:space="preserve">, com base na avaliação das reações recebidas durante a fase de pilotagem, o </w:t>
      </w:r>
      <w:r>
        <w:rPr>
          <w:rFonts w:ascii="Times New Roman" w:hAnsi="Times New Roman"/>
          <w:b/>
          <w:noProof/>
          <w:sz w:val="24"/>
          <w:szCs w:val="20"/>
        </w:rPr>
        <w:t>Grupo de peritos de alto nível sobre a IA procederá à revisão e à atualização das orientações</w:t>
      </w:r>
      <w:r>
        <w:rPr>
          <w:rFonts w:ascii="Times New Roman" w:hAnsi="Times New Roman"/>
          <w:noProof/>
          <w:sz w:val="24"/>
          <w:szCs w:val="20"/>
        </w:rPr>
        <w:t xml:space="preserve">. Com base nessa análise e na experiência adquirida, </w:t>
      </w:r>
      <w:r>
        <w:rPr>
          <w:rFonts w:ascii="Times New Roman" w:hAnsi="Times New Roman"/>
          <w:b/>
          <w:noProof/>
          <w:sz w:val="24"/>
          <w:szCs w:val="20"/>
        </w:rPr>
        <w:t xml:space="preserve">a Comissão avaliará os resultados e proporá eventuais etapas seguintes. </w:t>
      </w: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szCs w:val="20"/>
        </w:rPr>
        <w:t>A IA ética é uma proposta vantajosa para todos. A garantia do respeito dos valores fundamentais não só é essencial por si mesma, como também facilita a aceitação pelo público e aumenta a vantagem competitiva das empresas europeias da IA através da criação de uma marca de IA de confiança, centrada no ser humano e conhecida pela ética e pela segurança dos produtos. Essa vantagem tem por base, de um modo mais geral, a forte reputação das empresas europeias no fornecimento de produtos seguros de elevada qualidade. A fase de pilotagem contribuirá para assegurar que os produtos da IA cumprem esta promessa.</w:t>
      </w:r>
    </w:p>
    <w:p>
      <w:pPr>
        <w:spacing w:after="120" w:line="240" w:lineRule="auto"/>
        <w:jc w:val="both"/>
        <w:rPr>
          <w:rFonts w:ascii="Times New Roman" w:eastAsia="Times New Roman" w:hAnsi="Times New Roman" w:cs="Times New Roman"/>
          <w:noProof/>
          <w:sz w:val="24"/>
          <w:szCs w:val="20"/>
        </w:rPr>
      </w:pPr>
    </w:p>
    <w:p>
      <w:pPr>
        <w:spacing w:after="240" w:line="240" w:lineRule="auto"/>
        <w:jc w:val="both"/>
        <w:rPr>
          <w:rFonts w:ascii="Times New Roman" w:hAnsi="Times New Roman" w:cs="Times New Roman"/>
          <w:b/>
          <w:bCs/>
          <w:noProof/>
          <w:sz w:val="24"/>
          <w:szCs w:val="24"/>
        </w:rPr>
      </w:pPr>
      <w:r>
        <w:rPr>
          <w:rFonts w:ascii="Times New Roman" w:hAnsi="Times New Roman"/>
          <w:b/>
          <w:bCs/>
          <w:noProof/>
          <w:sz w:val="24"/>
          <w:szCs w:val="24"/>
        </w:rPr>
        <w:t>2.4. Rumo a orientações internacionais para a ética no domínio da IA</w:t>
      </w:r>
    </w:p>
    <w:p>
      <w:pPr>
        <w:spacing w:after="120" w:line="240" w:lineRule="auto"/>
        <w:jc w:val="both"/>
        <w:rPr>
          <w:rFonts w:ascii="Times New Roman" w:hAnsi="Times New Roman" w:cs="Times New Roman"/>
          <w:bCs/>
          <w:noProof/>
          <w:sz w:val="24"/>
          <w:szCs w:val="24"/>
        </w:rPr>
      </w:pPr>
      <w:r>
        <w:rPr>
          <w:rFonts w:ascii="Times New Roman" w:hAnsi="Times New Roman"/>
          <w:bCs/>
          <w:noProof/>
          <w:sz w:val="24"/>
          <w:szCs w:val="24"/>
        </w:rPr>
        <w:t xml:space="preserve">Os debates internacionais em matéria de ética no domínio da IA intensificaram-se após a presidência japonesa do G7 ter colocado o tema no topo da agenda em 2016. Tendo em conta as interligações internacionais do desenvolvimento da IA em termos de circulação de dados, desenvolvimento algorítmico e investimentos em investigação, </w:t>
      </w:r>
      <w:r>
        <w:rPr>
          <w:rFonts w:ascii="Times New Roman" w:hAnsi="Times New Roman"/>
          <w:b/>
          <w:bCs/>
          <w:noProof/>
          <w:sz w:val="24"/>
          <w:szCs w:val="24"/>
        </w:rPr>
        <w:t>a Comissão prosseguirá os seus esforços para que a abordagem da União seja aceite à escala mundial e para a formação de um consenso sobre uma IA centrada no ser humano</w:t>
      </w:r>
      <w:r>
        <w:rPr>
          <w:rStyle w:val="FootnoteReference"/>
          <w:rFonts w:ascii="Times New Roman" w:hAnsi="Times New Roman" w:cs="Times New Roman"/>
          <w:b/>
          <w:bCs/>
          <w:noProof/>
          <w:sz w:val="24"/>
          <w:szCs w:val="24"/>
        </w:rPr>
        <w:footnoteReference w:id="17"/>
      </w:r>
      <w:r>
        <w:rPr>
          <w:rFonts w:ascii="Times New Roman" w:hAnsi="Times New Roman"/>
          <w:bCs/>
          <w:noProof/>
          <w:sz w:val="24"/>
          <w:szCs w:val="24"/>
        </w:rPr>
        <w:t>.</w:t>
      </w:r>
    </w:p>
    <w:p>
      <w:pPr>
        <w:spacing w:after="120" w:line="240" w:lineRule="auto"/>
        <w:jc w:val="both"/>
        <w:rPr>
          <w:rFonts w:ascii="Times New Roman" w:hAnsi="Times New Roman" w:cs="Times New Roman"/>
          <w:bCs/>
          <w:noProof/>
          <w:sz w:val="24"/>
          <w:szCs w:val="24"/>
        </w:rPr>
      </w:pPr>
      <w:r>
        <w:rPr>
          <w:rFonts w:ascii="Times New Roman" w:hAnsi="Times New Roman"/>
          <w:bCs/>
          <w:noProof/>
          <w:sz w:val="24"/>
          <w:szCs w:val="24"/>
        </w:rPr>
        <w:t>O trabalho realizado pelo Grupo de peritos de alto nível sobre a IA, mais especificamente a lista de requisitos e o processo de compromisso com as partes interessadas, proporciona à Comissão um contributo adicional valioso para os debates internacionais. A União Europeia pode assumir um papel de liderança na elaboração de orientações internacionais em matéria de IA e, se possível, num mecanismo de avaliação conexo.</w:t>
      </w:r>
    </w:p>
    <w:p>
      <w:pPr>
        <w:spacing w:after="120" w:line="240" w:lineRule="auto"/>
        <w:jc w:val="both"/>
        <w:rPr>
          <w:rFonts w:ascii="Times New Roman" w:hAnsi="Times New Roman" w:cs="Times New Roman"/>
          <w:bCs/>
          <w:noProof/>
          <w:sz w:val="24"/>
          <w:szCs w:val="24"/>
        </w:rPr>
      </w:pPr>
      <w:r>
        <w:rPr>
          <w:rFonts w:ascii="Times New Roman" w:hAnsi="Times New Roman"/>
          <w:bCs/>
          <w:noProof/>
          <w:sz w:val="24"/>
          <w:szCs w:val="24"/>
        </w:rPr>
        <w:t>Por conseguinte, a Comissão vai:</w:t>
      </w:r>
    </w:p>
    <w:p>
      <w:pPr>
        <w:spacing w:after="120" w:line="240" w:lineRule="auto"/>
        <w:jc w:val="both"/>
        <w:rPr>
          <w:rFonts w:ascii="Times New Roman" w:hAnsi="Times New Roman" w:cs="Times New Roman"/>
          <w:bCs/>
          <w:noProof/>
          <w:sz w:val="24"/>
          <w:szCs w:val="24"/>
        </w:rPr>
      </w:pPr>
      <w:r>
        <w:rPr>
          <w:rFonts w:ascii="Times New Roman" w:hAnsi="Times New Roman"/>
          <w:b/>
          <w:bCs/>
          <w:noProof/>
          <w:sz w:val="24"/>
          <w:szCs w:val="24"/>
        </w:rPr>
        <w:t>Reforçar a cooperação com parceiros que partilhem uma visão idêntica</w:t>
      </w:r>
      <w:r>
        <w:rPr>
          <w:rFonts w:ascii="Times New Roman" w:hAnsi="Times New Roman"/>
          <w:bCs/>
          <w:noProof/>
          <w:sz w:val="24"/>
          <w:szCs w:val="24"/>
        </w:rPr>
        <w:t>:</w:t>
      </w:r>
    </w:p>
    <w:p>
      <w:pPr>
        <w:numPr>
          <w:ilvl w:val="0"/>
          <w:numId w:val="2"/>
        </w:numPr>
        <w:spacing w:after="120" w:line="240" w:lineRule="auto"/>
        <w:ind w:left="567"/>
        <w:jc w:val="both"/>
        <w:rPr>
          <w:rFonts w:ascii="Times New Roman" w:hAnsi="Times New Roman" w:cs="Times New Roman"/>
          <w:bCs/>
          <w:noProof/>
          <w:sz w:val="24"/>
          <w:szCs w:val="24"/>
        </w:rPr>
      </w:pPr>
      <w:r>
        <w:rPr>
          <w:rFonts w:ascii="Times New Roman" w:hAnsi="Times New Roman"/>
          <w:bCs/>
          <w:noProof/>
          <w:sz w:val="24"/>
          <w:szCs w:val="24"/>
        </w:rPr>
        <w:t>explorando as possibilidades de convergência com os projetos de orientações éticas de países terceiros (por exemplo, Japão, Canadá e Singapura) e, com base no grupo de países que partilham as mesmas ideias, preparar um debate mais amplo, apoiado por ações de execução do Instrumento de Parceria para a cooperação com países terceiros</w:t>
      </w:r>
      <w:r>
        <w:rPr>
          <w:rStyle w:val="FootnoteReference"/>
          <w:rFonts w:ascii="Times New Roman" w:hAnsi="Times New Roman" w:cs="Times New Roman"/>
          <w:noProof/>
        </w:rPr>
        <w:footnoteReference w:id="18"/>
      </w:r>
      <w:r>
        <w:rPr>
          <w:rFonts w:ascii="Times New Roman" w:hAnsi="Times New Roman"/>
          <w:bCs/>
          <w:noProof/>
          <w:sz w:val="24"/>
          <w:szCs w:val="24"/>
        </w:rPr>
        <w:t xml:space="preserve">; </w:t>
      </w:r>
    </w:p>
    <w:p>
      <w:pPr>
        <w:numPr>
          <w:ilvl w:val="0"/>
          <w:numId w:val="2"/>
        </w:numPr>
        <w:spacing w:after="120" w:line="240" w:lineRule="auto"/>
        <w:ind w:left="567"/>
        <w:jc w:val="both"/>
        <w:rPr>
          <w:rFonts w:ascii="Times New Roman" w:hAnsi="Times New Roman" w:cs="Times New Roman"/>
          <w:b/>
          <w:bCs/>
          <w:noProof/>
          <w:sz w:val="24"/>
          <w:szCs w:val="24"/>
        </w:rPr>
      </w:pPr>
      <w:r>
        <w:rPr>
          <w:rFonts w:ascii="Times New Roman" w:hAnsi="Times New Roman"/>
          <w:bCs/>
          <w:noProof/>
          <w:sz w:val="24"/>
          <w:szCs w:val="24"/>
        </w:rPr>
        <w:t>explorando formas de contribuição das empresas de países terceiros e das organizações internacionais para a fase de pilotagem das orientações através de testes e validação.</w:t>
      </w:r>
    </w:p>
    <w:p>
      <w:pPr>
        <w:spacing w:after="120" w:line="240" w:lineRule="auto"/>
        <w:jc w:val="both"/>
        <w:rPr>
          <w:rFonts w:ascii="Times New Roman" w:hAnsi="Times New Roman" w:cs="Times New Roman"/>
          <w:b/>
          <w:bCs/>
          <w:noProof/>
          <w:sz w:val="24"/>
          <w:szCs w:val="24"/>
        </w:rPr>
      </w:pPr>
      <w:r>
        <w:rPr>
          <w:rFonts w:ascii="Times New Roman" w:hAnsi="Times New Roman"/>
          <w:b/>
          <w:bCs/>
          <w:noProof/>
          <w:sz w:val="24"/>
          <w:szCs w:val="24"/>
        </w:rPr>
        <w:t>Continuar a desempenhar um papel ativo nos debates e iniciativas internacionais</w:t>
      </w:r>
      <w:r>
        <w:rPr>
          <w:rFonts w:ascii="Times New Roman" w:hAnsi="Times New Roman"/>
          <w:bCs/>
          <w:noProof/>
          <w:sz w:val="24"/>
          <w:szCs w:val="24"/>
        </w:rPr>
        <w:t>:</w:t>
      </w:r>
    </w:p>
    <w:p>
      <w:pPr>
        <w:numPr>
          <w:ilvl w:val="0"/>
          <w:numId w:val="2"/>
        </w:numPr>
        <w:spacing w:after="120" w:line="240" w:lineRule="auto"/>
        <w:ind w:left="567"/>
        <w:jc w:val="both"/>
        <w:rPr>
          <w:rFonts w:ascii="Times New Roman" w:hAnsi="Times New Roman" w:cs="Times New Roman"/>
          <w:b/>
          <w:bCs/>
          <w:noProof/>
          <w:sz w:val="24"/>
          <w:szCs w:val="24"/>
        </w:rPr>
      </w:pPr>
      <w:r>
        <w:rPr>
          <w:rFonts w:ascii="Times New Roman" w:hAnsi="Times New Roman"/>
          <w:bCs/>
          <w:noProof/>
          <w:sz w:val="24"/>
          <w:szCs w:val="24"/>
        </w:rPr>
        <w:t>contribuindo para fóruns multilaterais como o G7 e o G20;</w:t>
      </w:r>
    </w:p>
    <w:p>
      <w:pPr>
        <w:numPr>
          <w:ilvl w:val="0"/>
          <w:numId w:val="2"/>
        </w:numPr>
        <w:spacing w:after="120" w:line="240" w:lineRule="auto"/>
        <w:ind w:left="567"/>
        <w:jc w:val="both"/>
        <w:rPr>
          <w:rFonts w:ascii="Times New Roman" w:hAnsi="Times New Roman" w:cs="Times New Roman"/>
          <w:b/>
          <w:bCs/>
          <w:noProof/>
          <w:sz w:val="24"/>
          <w:szCs w:val="24"/>
        </w:rPr>
      </w:pPr>
      <w:r>
        <w:rPr>
          <w:rFonts w:ascii="Times New Roman" w:hAnsi="Times New Roman"/>
          <w:bCs/>
          <w:noProof/>
          <w:sz w:val="24"/>
          <w:szCs w:val="24"/>
        </w:rPr>
        <w:t>encetando diálogos com países terceiros e organizando reuniões bilaterais e multilaterais para criar um consenso sobre a IA centrada no ser humano;</w:t>
      </w:r>
    </w:p>
    <w:p>
      <w:pPr>
        <w:numPr>
          <w:ilvl w:val="0"/>
          <w:numId w:val="2"/>
        </w:numPr>
        <w:spacing w:after="120" w:line="240" w:lineRule="auto"/>
        <w:ind w:left="567"/>
        <w:jc w:val="both"/>
        <w:rPr>
          <w:rFonts w:ascii="Times New Roman" w:hAnsi="Times New Roman" w:cs="Times New Roman"/>
          <w:b/>
          <w:bCs/>
          <w:noProof/>
          <w:sz w:val="24"/>
          <w:szCs w:val="24"/>
        </w:rPr>
      </w:pPr>
      <w:r>
        <w:rPr>
          <w:rFonts w:ascii="Times New Roman" w:hAnsi="Times New Roman"/>
          <w:bCs/>
          <w:noProof/>
          <w:sz w:val="24"/>
          <w:szCs w:val="24"/>
        </w:rPr>
        <w:t>contribuindo para as atividades de normalização pertinentes em organizações internacionais de desenvolvimento de normas, a fim de promover esta visão; -</w:t>
      </w:r>
    </w:p>
    <w:p>
      <w:pPr>
        <w:numPr>
          <w:ilvl w:val="0"/>
          <w:numId w:val="2"/>
        </w:numPr>
        <w:spacing w:after="120" w:line="240" w:lineRule="auto"/>
        <w:ind w:left="567"/>
        <w:jc w:val="both"/>
        <w:rPr>
          <w:rFonts w:ascii="Times New Roman" w:hAnsi="Times New Roman" w:cs="Times New Roman"/>
          <w:b/>
          <w:bCs/>
          <w:noProof/>
          <w:sz w:val="24"/>
          <w:szCs w:val="24"/>
        </w:rPr>
      </w:pPr>
      <w:r>
        <w:rPr>
          <w:rFonts w:ascii="Times New Roman" w:hAnsi="Times New Roman"/>
          <w:bCs/>
          <w:noProof/>
          <w:sz w:val="24"/>
          <w:szCs w:val="24"/>
        </w:rPr>
        <w:t>reforçando a recolha e a divulgação de conhecimentos sobre políticas públicas, em conjunto com as organizações internacionais relevantes.</w:t>
      </w:r>
    </w:p>
    <w:p>
      <w:pPr>
        <w:spacing w:before="120" w:after="0" w:line="240" w:lineRule="auto"/>
        <w:jc w:val="both"/>
        <w:rPr>
          <w:rFonts w:ascii="Times New Roman" w:hAnsi="Times New Roman" w:cs="Times New Roman"/>
          <w:b/>
          <w:bCs/>
          <w:noProof/>
          <w:sz w:val="24"/>
          <w:szCs w:val="24"/>
        </w:rPr>
      </w:pPr>
    </w:p>
    <w:p>
      <w:pPr>
        <w:numPr>
          <w:ilvl w:val="0"/>
          <w:numId w:val="1"/>
        </w:numPr>
        <w:spacing w:after="240" w:line="240" w:lineRule="auto"/>
        <w:ind w:left="714" w:hanging="357"/>
        <w:rPr>
          <w:rFonts w:ascii="Times New Roman" w:hAnsi="Times New Roman" w:cs="Times New Roman"/>
          <w:b/>
          <w:bCs/>
          <w:noProof/>
          <w:sz w:val="24"/>
          <w:szCs w:val="24"/>
        </w:rPr>
      </w:pPr>
      <w:r>
        <w:rPr>
          <w:rFonts w:ascii="Times New Roman" w:hAnsi="Times New Roman"/>
          <w:b/>
          <w:bCs/>
          <w:noProof/>
          <w:sz w:val="24"/>
          <w:szCs w:val="24"/>
        </w:rPr>
        <w:t>CONCLUSÕES</w:t>
      </w:r>
    </w:p>
    <w:p>
      <w:pPr>
        <w:spacing w:after="120" w:line="240" w:lineRule="auto"/>
        <w:jc w:val="both"/>
        <w:rPr>
          <w:rFonts w:ascii="Times New Roman" w:hAnsi="Times New Roman" w:cs="Times New Roman"/>
          <w:bCs/>
          <w:noProof/>
          <w:sz w:val="24"/>
          <w:szCs w:val="24"/>
        </w:rPr>
      </w:pPr>
      <w:r>
        <w:rPr>
          <w:rFonts w:ascii="Times New Roman" w:hAnsi="Times New Roman"/>
          <w:bCs/>
          <w:noProof/>
          <w:sz w:val="24"/>
          <w:szCs w:val="24"/>
        </w:rPr>
        <w:t>A UE assenta num conjunto de valores fundamentais e construiu um quadro regulador sólido e equilibrado para esses valores. Dada a novidade e os desafios específicos que a tecnologia da IA coloca, é necessário estabelecer, com base nesse quadro regulador, orientações éticas para o desenvolvimento e a utilização dessa tecnologia. A IA só pode ser considerada de confiança se for desenvolvida e utilizada de forma que respeite os valores éticos amplamente partilhados.</w:t>
      </w:r>
    </w:p>
    <w:p>
      <w:pPr>
        <w:spacing w:after="120" w:line="240" w:lineRule="auto"/>
        <w:jc w:val="both"/>
        <w:rPr>
          <w:rFonts w:ascii="Times New Roman" w:hAnsi="Times New Roman" w:cs="Times New Roman"/>
          <w:bCs/>
          <w:noProof/>
          <w:sz w:val="24"/>
          <w:szCs w:val="24"/>
        </w:rPr>
      </w:pPr>
      <w:r>
        <w:rPr>
          <w:rFonts w:ascii="Times New Roman" w:hAnsi="Times New Roman"/>
          <w:bCs/>
          <w:noProof/>
          <w:sz w:val="24"/>
          <w:szCs w:val="24"/>
        </w:rPr>
        <w:t>Tendo em vista este objetivo, a Comissão congratula-se com os contributos preparados pelo Grupo de peritos de alto nível sobre a IA. Com base nos requisitos essenciais para que a IA seja considerada de confiança, a Comissão irá lançar uma fase de pilotagem específica, a fim de garantir a aplicação prática das orientações éticas resultantes para o desenvolvimento e a utilização da IA. A Comissão trabalhará igualmente com todas as partes interessadas e os nossos parceiros internacionais para forjar um amplo consenso social sobre uma IA centrada no ser humano.</w:t>
      </w:r>
    </w:p>
    <w:p>
      <w:pPr>
        <w:spacing w:after="120" w:line="240" w:lineRule="auto"/>
        <w:jc w:val="both"/>
        <w:rPr>
          <w:rFonts w:ascii="Times New Roman" w:hAnsi="Times New Roman" w:cs="Times New Roman"/>
          <w:bCs/>
          <w:noProof/>
          <w:sz w:val="24"/>
          <w:szCs w:val="24"/>
        </w:rPr>
      </w:pPr>
      <w:r>
        <w:rPr>
          <w:rFonts w:ascii="Times New Roman" w:hAnsi="Times New Roman"/>
          <w:bCs/>
          <w:noProof/>
          <w:sz w:val="24"/>
          <w:szCs w:val="24"/>
        </w:rPr>
        <w:t>A dimensão ética da IA não constitui um luxo nem um acessório, sendo, antes. um elemento que terá de ser plenamente integrado no seu desenvolvimento. Empenhados que estamos numa IA centrada no ser humano e baseada na confiança, salvaguardamos o respeito pelos nossos valores sociais fundamentais e delineamos uma marca distintiva para a Europa e a sua indústria como líder na IA de vanguarda, que pode ser digna de confiança em todo o mundo.</w:t>
      </w:r>
    </w:p>
    <w:p>
      <w:pPr>
        <w:spacing w:after="120" w:line="240" w:lineRule="auto"/>
        <w:jc w:val="both"/>
        <w:rPr>
          <w:rFonts w:ascii="Times New Roman" w:hAnsi="Times New Roman" w:cs="Times New Roman"/>
          <w:bCs/>
          <w:noProof/>
          <w:sz w:val="24"/>
          <w:szCs w:val="24"/>
        </w:rPr>
      </w:pPr>
      <w:r>
        <w:rPr>
          <w:rFonts w:ascii="Times New Roman" w:hAnsi="Times New Roman"/>
          <w:bCs/>
          <w:noProof/>
          <w:sz w:val="24"/>
          <w:szCs w:val="24"/>
        </w:rPr>
        <w:t xml:space="preserve">Além disso, a fim de assegurar o desenvolvimento ético da IA na Europa, num contexto mais amplo, a Comissão segue uma abordagem global que inclui, em particular, as seguintes linhas de ação a implementar até ao terceiro trimestre de 2019: </w:t>
      </w:r>
    </w:p>
    <w:p>
      <w:pPr>
        <w:pStyle w:val="ListParagraph"/>
        <w:numPr>
          <w:ilvl w:val="0"/>
          <w:numId w:val="12"/>
        </w:numPr>
        <w:spacing w:after="120" w:line="240" w:lineRule="auto"/>
        <w:ind w:left="567" w:hanging="425"/>
        <w:contextualSpacing w:val="0"/>
        <w:jc w:val="both"/>
        <w:rPr>
          <w:rFonts w:ascii="Times New Roman" w:eastAsia="Times New Roman" w:hAnsi="Times New Roman" w:cs="Times New Roman"/>
          <w:noProof/>
          <w:sz w:val="24"/>
          <w:szCs w:val="20"/>
        </w:rPr>
      </w:pPr>
      <w:r>
        <w:rPr>
          <w:rFonts w:ascii="Times New Roman" w:hAnsi="Times New Roman"/>
          <w:noProof/>
          <w:sz w:val="24"/>
          <w:szCs w:val="20"/>
        </w:rPr>
        <w:t xml:space="preserve">Criação de um conjunto de </w:t>
      </w:r>
      <w:r>
        <w:rPr>
          <w:rFonts w:ascii="Times New Roman" w:hAnsi="Times New Roman"/>
          <w:b/>
          <w:noProof/>
          <w:sz w:val="24"/>
          <w:szCs w:val="20"/>
        </w:rPr>
        <w:t>redes de centros de excelência em investigação no domínio da IA</w:t>
      </w:r>
      <w:r>
        <w:rPr>
          <w:rFonts w:ascii="Times New Roman" w:hAnsi="Times New Roman"/>
          <w:noProof/>
          <w:sz w:val="24"/>
          <w:szCs w:val="20"/>
        </w:rPr>
        <w:t xml:space="preserve"> através do Horizonte 2020. Seleção de quatro redes, no máximo, centrada nos grandes desafios científicos ou tecnológicos, tais como os mecanismos de explicação e a interação homem-máquina avançada, que são ingredientes essenciais para uma IA de confiança.</w:t>
      </w:r>
    </w:p>
    <w:p>
      <w:pPr>
        <w:pStyle w:val="ListParagraph"/>
        <w:numPr>
          <w:ilvl w:val="0"/>
          <w:numId w:val="12"/>
        </w:numPr>
        <w:spacing w:after="120" w:line="240" w:lineRule="auto"/>
        <w:ind w:left="567" w:hanging="425"/>
        <w:contextualSpacing w:val="0"/>
        <w:jc w:val="both"/>
        <w:rPr>
          <w:rFonts w:ascii="Times New Roman" w:eastAsia="Times New Roman" w:hAnsi="Times New Roman" w:cs="Times New Roman"/>
          <w:noProof/>
          <w:sz w:val="24"/>
          <w:szCs w:val="20"/>
        </w:rPr>
      </w:pPr>
      <w:r>
        <w:rPr>
          <w:rFonts w:ascii="Times New Roman" w:hAnsi="Times New Roman"/>
          <w:noProof/>
          <w:sz w:val="24"/>
          <w:szCs w:val="20"/>
        </w:rPr>
        <w:t xml:space="preserve">Criação de </w:t>
      </w:r>
      <w:r>
        <w:rPr>
          <w:rFonts w:ascii="Times New Roman" w:hAnsi="Times New Roman"/>
          <w:b/>
          <w:noProof/>
          <w:sz w:val="24"/>
          <w:szCs w:val="20"/>
        </w:rPr>
        <w:t>redes de polos de inovação digital</w:t>
      </w:r>
      <w:r>
        <w:rPr>
          <w:rStyle w:val="FootnoteReference"/>
          <w:rFonts w:ascii="Times New Roman" w:eastAsia="Times New Roman" w:hAnsi="Times New Roman" w:cs="Times New Roman"/>
          <w:b/>
          <w:noProof/>
          <w:sz w:val="24"/>
          <w:szCs w:val="20"/>
        </w:rPr>
        <w:footnoteReference w:id="19"/>
      </w:r>
      <w:r>
        <w:rPr>
          <w:rFonts w:ascii="Times New Roman" w:hAnsi="Times New Roman"/>
          <w:noProof/>
          <w:sz w:val="24"/>
          <w:szCs w:val="20"/>
        </w:rPr>
        <w:t xml:space="preserve"> centrados na IA, na indústria transformadora e em grandes volumes de dados.</w:t>
      </w:r>
    </w:p>
    <w:p>
      <w:pPr>
        <w:pStyle w:val="ListParagraph"/>
        <w:numPr>
          <w:ilvl w:val="0"/>
          <w:numId w:val="12"/>
        </w:numPr>
        <w:spacing w:after="120" w:line="240" w:lineRule="auto"/>
        <w:ind w:left="567" w:hanging="425"/>
        <w:contextualSpacing w:val="0"/>
        <w:jc w:val="both"/>
        <w:rPr>
          <w:rFonts w:ascii="Times New Roman" w:eastAsia="Times New Roman" w:hAnsi="Times New Roman" w:cs="Times New Roman"/>
          <w:noProof/>
          <w:sz w:val="24"/>
          <w:szCs w:val="20"/>
        </w:rPr>
      </w:pPr>
      <w:r>
        <w:rPr>
          <w:rFonts w:ascii="Times New Roman" w:hAnsi="Times New Roman"/>
          <w:noProof/>
          <w:sz w:val="24"/>
          <w:szCs w:val="24"/>
        </w:rPr>
        <w:t xml:space="preserve">Em conjunto com os Estados-Membros e as partes interessadas, a Comissão iniciará discussões preparatórias para a conceção e a aplicação de </w:t>
      </w:r>
      <w:r>
        <w:rPr>
          <w:rFonts w:ascii="Times New Roman" w:hAnsi="Times New Roman"/>
          <w:b/>
          <w:noProof/>
          <w:sz w:val="24"/>
          <w:szCs w:val="24"/>
        </w:rPr>
        <w:t>um modelo de partilha de dados e para utilização, da melhor forma possível, dos espaços de dados comuns</w:t>
      </w:r>
      <w:r>
        <w:rPr>
          <w:rFonts w:ascii="Times New Roman" w:hAnsi="Times New Roman"/>
          <w:noProof/>
          <w:sz w:val="24"/>
          <w:szCs w:val="24"/>
        </w:rPr>
        <w:t>, com especial incidência nos transportes, nos cuidados de saúde e na indústria transformadora</w:t>
      </w:r>
      <w:r>
        <w:rPr>
          <w:rStyle w:val="FootnoteReference"/>
          <w:rFonts w:ascii="Times New Roman" w:eastAsia="Times New Roman" w:hAnsi="Times New Roman" w:cs="Times New Roman"/>
          <w:noProof/>
          <w:sz w:val="24"/>
          <w:szCs w:val="24"/>
        </w:rPr>
        <w:footnoteReference w:id="20"/>
      </w:r>
      <w:r>
        <w:rPr>
          <w:noProof/>
        </w:rPr>
        <w:t>.</w:t>
      </w:r>
      <w:r>
        <w:rPr>
          <w:rFonts w:ascii="Times New Roman" w:hAnsi="Times New Roman"/>
          <w:noProof/>
          <w:sz w:val="24"/>
          <w:szCs w:val="24"/>
        </w:rPr>
        <w:t xml:space="preserve"> </w:t>
      </w:r>
    </w:p>
    <w:p>
      <w:pPr>
        <w:pStyle w:val="ListParagraph"/>
        <w:spacing w:after="120" w:line="240" w:lineRule="auto"/>
        <w:ind w:left="0"/>
        <w:jc w:val="both"/>
        <w:rPr>
          <w:rFonts w:ascii="Times New Roman" w:hAnsi="Times New Roman" w:cs="Times New Roman"/>
          <w:bCs/>
          <w:noProof/>
          <w:sz w:val="24"/>
          <w:szCs w:val="24"/>
        </w:rPr>
      </w:pPr>
      <w:r>
        <w:rPr>
          <w:rFonts w:ascii="Times New Roman" w:hAnsi="Times New Roman"/>
          <w:noProof/>
          <w:sz w:val="24"/>
          <w:szCs w:val="20"/>
        </w:rPr>
        <w:t>Além disso, a Comissão está a elaborar um relatório sobre os desafios colocados pela IA aos quadros de segurança e de responsabilidade e um documento de orientação sobre a aplicação da Diretiva em matéria de responsabilidade decorrente dos produtos</w:t>
      </w:r>
      <w:r>
        <w:rPr>
          <w:rStyle w:val="FootnoteReference"/>
          <w:rFonts w:ascii="Times New Roman" w:eastAsia="Times New Roman" w:hAnsi="Times New Roman" w:cs="Times New Roman"/>
          <w:noProof/>
          <w:sz w:val="24"/>
          <w:szCs w:val="20"/>
        </w:rPr>
        <w:footnoteReference w:id="21"/>
      </w:r>
      <w:r>
        <w:rPr>
          <w:rFonts w:ascii="Times New Roman" w:hAnsi="Times New Roman"/>
          <w:noProof/>
          <w:sz w:val="24"/>
          <w:szCs w:val="20"/>
        </w:rPr>
        <w:t xml:space="preserve">. Simultaneamente, </w:t>
      </w:r>
      <w:r>
        <w:rPr>
          <w:rFonts w:ascii="Times New Roman" w:hAnsi="Times New Roman"/>
          <w:bCs/>
          <w:noProof/>
          <w:sz w:val="24"/>
          <w:szCs w:val="24"/>
        </w:rPr>
        <w:t>a Empresa Comum Europeia para a Computação de Alto Desempenho (EuroHPC)</w:t>
      </w:r>
      <w:r>
        <w:rPr>
          <w:rStyle w:val="FootnoteReference"/>
          <w:rFonts w:ascii="Times New Roman" w:hAnsi="Times New Roman" w:cs="Times New Roman"/>
          <w:bCs/>
          <w:noProof/>
          <w:sz w:val="24"/>
          <w:szCs w:val="24"/>
        </w:rPr>
        <w:footnoteReference w:id="22"/>
      </w:r>
      <w:r>
        <w:rPr>
          <w:rFonts w:ascii="Times New Roman" w:hAnsi="Times New Roman"/>
          <w:bCs/>
          <w:noProof/>
          <w:sz w:val="24"/>
          <w:szCs w:val="24"/>
        </w:rPr>
        <w:t xml:space="preserve"> desenvolverá a próxima geração de supercomputadores, uma vez que a capacidade de computação é essencial para o processamento de dados e o treino da IA, e a Europa precisa de dominar toda a cadeia de valor digital. A parceria em curso com os Estados-Membros e a indústria sobre componentes e sistemas microeletrónicos (ECSEL)</w:t>
      </w:r>
      <w:r>
        <w:rPr>
          <w:rStyle w:val="FootnoteReference"/>
          <w:rFonts w:ascii="Times New Roman" w:hAnsi="Times New Roman" w:cs="Times New Roman"/>
          <w:bCs/>
          <w:noProof/>
          <w:sz w:val="24"/>
          <w:szCs w:val="24"/>
        </w:rPr>
        <w:footnoteReference w:id="23"/>
      </w:r>
      <w:r>
        <w:rPr>
          <w:rFonts w:ascii="Times New Roman" w:hAnsi="Times New Roman"/>
          <w:bCs/>
          <w:noProof/>
          <w:sz w:val="24"/>
          <w:szCs w:val="24"/>
        </w:rPr>
        <w:t>, bem como a Iniciativa do Processador Europeu</w:t>
      </w:r>
      <w:r>
        <w:rPr>
          <w:rStyle w:val="FootnoteReference"/>
          <w:rFonts w:ascii="Times New Roman" w:hAnsi="Times New Roman" w:cs="Times New Roman"/>
          <w:bCs/>
          <w:noProof/>
          <w:sz w:val="24"/>
          <w:szCs w:val="24"/>
        </w:rPr>
        <w:footnoteReference w:id="24"/>
      </w:r>
      <w:r>
        <w:rPr>
          <w:rFonts w:ascii="Times New Roman" w:hAnsi="Times New Roman"/>
          <w:bCs/>
          <w:noProof/>
          <w:sz w:val="24"/>
          <w:szCs w:val="24"/>
        </w:rPr>
        <w:t xml:space="preserve">, contribuirão para o desenvolvimento de tecnologias de processadores de baixa potência para computação fiável e de alto desempenho e para computação de proximidade. </w:t>
      </w:r>
    </w:p>
    <w:p>
      <w:pPr>
        <w:spacing w:after="120" w:line="240" w:lineRule="auto"/>
        <w:jc w:val="both"/>
        <w:rPr>
          <w:rFonts w:ascii="Times New Roman" w:hAnsi="Times New Roman" w:cs="Times New Roman"/>
          <w:bCs/>
          <w:noProof/>
          <w:sz w:val="24"/>
          <w:szCs w:val="24"/>
        </w:rPr>
      </w:pPr>
      <w:r>
        <w:rPr>
          <w:rFonts w:ascii="Times New Roman" w:hAnsi="Times New Roman"/>
          <w:bCs/>
          <w:noProof/>
          <w:sz w:val="24"/>
          <w:szCs w:val="24"/>
        </w:rPr>
        <w:t xml:space="preserve">Tal como o trabalho sobre orientações éticas para a IA, todas estas iniciativas assentam numa </w:t>
      </w:r>
      <w:r>
        <w:rPr>
          <w:rFonts w:ascii="Times New Roman" w:hAnsi="Times New Roman"/>
          <w:b/>
          <w:bCs/>
          <w:noProof/>
          <w:sz w:val="24"/>
          <w:szCs w:val="24"/>
        </w:rPr>
        <w:t>estreita cooperação entre todas as partes interessadas</w:t>
      </w:r>
      <w:r>
        <w:rPr>
          <w:rFonts w:ascii="Times New Roman" w:hAnsi="Times New Roman"/>
          <w:bCs/>
          <w:noProof/>
          <w:sz w:val="24"/>
          <w:szCs w:val="24"/>
        </w:rPr>
        <w:t>, os Estados-Membros, a indústria, os agentes da sociedade e os cidadãos. De um modo geral, a abordagem da inteligência artificial pela Europa demonstra que a competitividade económica e a confiança da sociedade se devem basear nos mesmos valores fundamentais e reforçar-se mutuamente.</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409079"/>
      <w:docPartObj>
        <w:docPartGallery w:val="Page Numbers (Bottom of Page)"/>
        <w:docPartUnique/>
      </w:docPartObj>
    </w:sdtPr>
    <w:sdtEndPr>
      <w:rPr>
        <w:rFonts w:ascii="Times New Roman" w:hAnsi="Times New Roman" w:cs="Times New Roman"/>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11</w:t>
        </w:r>
        <w:r>
          <w:rPr>
            <w:rFonts w:ascii="Times New Roman" w:hAnsi="Times New Roman" w:cs="Times New Roman"/>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tabs>
          <w:tab w:val="left" w:pos="426"/>
        </w:tabs>
        <w:spacing w:before="40"/>
        <w:ind w:left="510" w:hanging="510"/>
        <w:jc w:val="both"/>
        <w:rPr>
          <w:rStyle w:val="FootnoteReference"/>
          <w:rFonts w:ascii="Times New Roman" w:hAnsi="Times New Roman" w:cs="Times New Roman"/>
          <w:vertAlign w:val="baseline"/>
        </w:rPr>
      </w:pPr>
      <w:r>
        <w:rPr>
          <w:rStyle w:val="FootnoteReference"/>
          <w:rFonts w:ascii="Times New Roman" w:hAnsi="Times New Roman" w:cs="Times New Roman"/>
        </w:rPr>
        <w:footnoteRef/>
      </w:r>
      <w:r>
        <w:rPr>
          <w:rStyle w:val="FootnoteReference"/>
          <w:rFonts w:ascii="Times New Roman" w:hAnsi="Times New Roman" w:cs="Times New Roman"/>
        </w:rPr>
        <w:t xml:space="preserve"> </w:t>
      </w:r>
      <w:r>
        <w:rPr>
          <w:rStyle w:val="FootnoteReference"/>
          <w:rFonts w:ascii="Times New Roman" w:hAnsi="Times New Roman" w:cs="Times New Roman"/>
        </w:rPr>
        <w:tab/>
      </w:r>
      <w:r>
        <w:rPr>
          <w:rFonts w:ascii="Times New Roman" w:hAnsi="Times New Roman"/>
        </w:rPr>
        <w:tab/>
      </w:r>
      <w:r>
        <w:rPr>
          <w:rStyle w:val="FootnoteReference"/>
          <w:rFonts w:ascii="Times New Roman" w:hAnsi="Times New Roman" w:cs="Times New Roman"/>
          <w:vertAlign w:val="baseline"/>
        </w:rPr>
        <w:t>COM(2018) 237</w:t>
      </w:r>
      <w:r>
        <w:rPr>
          <w:rFonts w:ascii="Times New Roman" w:hAnsi="Times New Roman" w:cs="Times New Roman"/>
        </w:rPr>
        <w:t>.</w:t>
      </w:r>
    </w:p>
  </w:footnote>
  <w:footnote w:id="2">
    <w:p>
      <w:pPr>
        <w:pStyle w:val="FootnoteText"/>
        <w:tabs>
          <w:tab w:val="left" w:pos="426"/>
        </w:tabs>
        <w:spacing w:before="40"/>
        <w:ind w:left="510" w:hanging="51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r>
        <w:rPr>
          <w:rFonts w:ascii="Times New Roman" w:hAnsi="Times New Roman"/>
        </w:rPr>
        <w:tab/>
        <w:t>COM(2018) 795 final.</w:t>
      </w:r>
    </w:p>
  </w:footnote>
  <w:footnote w:id="3">
    <w:p>
      <w:pPr>
        <w:pStyle w:val="Typedudocument"/>
        <w:spacing w:before="40"/>
        <w:ind w:left="510" w:hanging="510"/>
        <w:jc w:val="both"/>
        <w:rPr>
          <w:b w:val="0"/>
          <w:color w:val="000000" w:themeColor="text1"/>
          <w:sz w:val="20"/>
          <w:szCs w:val="20"/>
        </w:rPr>
      </w:pPr>
      <w:r>
        <w:rPr>
          <w:rStyle w:val="FootnoteReference"/>
          <w:b w:val="0"/>
          <w:sz w:val="20"/>
          <w:szCs w:val="20"/>
        </w:rPr>
        <w:footnoteRef/>
      </w:r>
      <w:r>
        <w:rPr>
          <w:b w:val="0"/>
          <w:sz w:val="20"/>
          <w:szCs w:val="20"/>
        </w:rPr>
        <w:t xml:space="preserve"> </w:t>
      </w:r>
      <w:r>
        <w:rPr>
          <w:b w:val="0"/>
          <w:sz w:val="20"/>
          <w:szCs w:val="20"/>
        </w:rPr>
        <w:tab/>
      </w:r>
      <w:r>
        <w:rPr>
          <w:b w:val="0"/>
          <w:bCs w:val="0"/>
          <w:sz w:val="20"/>
          <w:szCs w:val="20"/>
        </w:rPr>
        <w:t>Para ajudar a alcançar este objetivo, a Comissão</w:t>
      </w:r>
      <w:r>
        <w:rPr>
          <w:b w:val="0"/>
          <w:sz w:val="20"/>
          <w:szCs w:val="20"/>
        </w:rPr>
        <w:t xml:space="preserve"> propôs, para o próximo período de programação, 2021-2027, que a União afete ao investimento na IA pelo menos 1 000 milhões de EUR por ano de financiamento proveniente dos programas Horizonte Europa e Digital.</w:t>
      </w:r>
    </w:p>
  </w:footnote>
  <w:footnote w:id="4">
    <w:p>
      <w:pPr>
        <w:pStyle w:val="FootnoteText"/>
        <w:ind w:left="510" w:hanging="510"/>
      </w:pPr>
      <w:r>
        <w:rPr>
          <w:rStyle w:val="FootnoteReference"/>
        </w:rPr>
        <w:footnoteRef/>
      </w:r>
      <w:r>
        <w:t xml:space="preserve"> </w:t>
      </w:r>
      <w:r>
        <w:tab/>
      </w:r>
      <w:r>
        <w:rPr>
          <w:rFonts w:ascii="Times New Roman" w:hAnsi="Times New Roman"/>
        </w:rPr>
        <w:t>A UE é também parte na Convenção da ONU sobre os Direitos das Pessoas com Deficiência.</w:t>
      </w:r>
    </w:p>
  </w:footnote>
  <w:footnote w:id="5">
    <w:p>
      <w:pPr>
        <w:pStyle w:val="FootnoteText"/>
        <w:ind w:left="510" w:hanging="510"/>
        <w:jc w:val="both"/>
      </w:pPr>
      <w:r>
        <w:rPr>
          <w:rStyle w:val="FootnoteReference"/>
        </w:rPr>
        <w:footnoteRef/>
      </w:r>
      <w:r>
        <w:t xml:space="preserve"> </w:t>
      </w:r>
      <w:r>
        <w:tab/>
      </w:r>
      <w:r>
        <w:rPr>
          <w:rFonts w:ascii="Times New Roman" w:hAnsi="Times New Roman"/>
          <w:bCs/>
          <w:color w:val="000000" w:themeColor="text1"/>
        </w:rPr>
        <w:t>Regulamento (UE) 2016/679. O Regulamento Geral sobre a Proteção de Dados (RGPD) garante a livre circulação de dados pessoais na União. Contém disposições sobre a tomada de decisões unicamente com base no tratamento automatizado, incluindo a definição de perfis. As pessoas em causa têm o direito de serem informadas da existência de processos de decisão autónomos e de receberem informações relevantes sobre a lógica subjacente à tomada automatizada de decisões, bem como sobre o significado e as consequências previstas do seu tratamento. Têm também o direito, em tais casos, de obterem intervenção humana, de exprimirem o seu ponto de vista e de contestarem a decisão.</w:t>
      </w:r>
      <w:r>
        <w:rPr>
          <w:rFonts w:ascii="Times New Roman" w:hAnsi="Times New Roman"/>
          <w:bCs/>
          <w:color w:val="000000" w:themeColor="text1"/>
          <w:sz w:val="24"/>
          <w:szCs w:val="24"/>
        </w:rPr>
        <w:t xml:space="preserve"> </w:t>
      </w:r>
    </w:p>
  </w:footnote>
  <w:footnote w:id="6">
    <w:p>
      <w:pPr>
        <w:pStyle w:val="FootnoteText"/>
        <w:ind w:left="510" w:hanging="510"/>
      </w:pPr>
      <w:r>
        <w:rPr>
          <w:rStyle w:val="FootnoteReference"/>
        </w:rPr>
        <w:footnoteRef/>
      </w:r>
      <w:r>
        <w:t xml:space="preserve"> </w:t>
      </w:r>
      <w:r>
        <w:tab/>
      </w:r>
      <w:r>
        <w:rPr>
          <w:rFonts w:ascii="Times New Roman" w:hAnsi="Times New Roman"/>
        </w:rPr>
        <w:t>COM(2017) 10.</w:t>
      </w:r>
    </w:p>
  </w:footnote>
  <w:footnote w:id="7">
    <w:p>
      <w:pPr>
        <w:pStyle w:val="FootnoteText"/>
        <w:ind w:left="510" w:hanging="510"/>
      </w:pPr>
      <w:r>
        <w:rPr>
          <w:rStyle w:val="FootnoteReference"/>
        </w:rPr>
        <w:footnoteRef/>
      </w:r>
      <w:r>
        <w:t xml:space="preserve"> </w:t>
      </w:r>
      <w:r>
        <w:tab/>
      </w:r>
      <w:hyperlink r:id="rId1" w:history="1">
        <w:r>
          <w:rPr>
            <w:rStyle w:val="Hyperlink"/>
            <w:rFonts w:ascii="Times New Roman" w:hAnsi="Times New Roman"/>
          </w:rPr>
          <w:t>https://ec.europa.eu/digital-single-market/en/high-level-expert-group-artificial-intelligence</w:t>
        </w:r>
      </w:hyperlink>
    </w:p>
  </w:footnote>
  <w:footnote w:id="8">
    <w:p>
      <w:pPr>
        <w:pStyle w:val="FootnoteText"/>
        <w:ind w:left="510" w:hanging="510"/>
      </w:pPr>
      <w:r>
        <w:rPr>
          <w:rStyle w:val="FootnoteReference"/>
        </w:rPr>
        <w:footnoteRef/>
      </w:r>
      <w:r>
        <w:t xml:space="preserve"> </w:t>
      </w:r>
      <w:r>
        <w:tab/>
      </w:r>
      <w:hyperlink r:id="rId2" w:history="1">
        <w:r>
          <w:rPr>
            <w:rStyle w:val="Hyperlink"/>
            <w:rFonts w:ascii="Times New Roman" w:hAnsi="Times New Roman"/>
          </w:rPr>
          <w:t>https://ec.europa.eu/digital-single-market/en/european-ai-alliance</w:t>
        </w:r>
      </w:hyperlink>
    </w:p>
  </w:footnote>
  <w:footnote w:id="9">
    <w:p>
      <w:pPr>
        <w:pStyle w:val="Typedudocument"/>
        <w:spacing w:before="0"/>
        <w:ind w:left="510" w:hanging="510"/>
        <w:jc w:val="both"/>
        <w:rPr>
          <w:sz w:val="20"/>
          <w:szCs w:val="20"/>
        </w:rPr>
      </w:pPr>
      <w:r>
        <w:rPr>
          <w:rStyle w:val="FootnoteReference"/>
          <w:b w:val="0"/>
          <w:sz w:val="20"/>
          <w:szCs w:val="20"/>
        </w:rPr>
        <w:footnoteRef/>
      </w:r>
      <w:r>
        <w:rPr>
          <w:sz w:val="20"/>
          <w:szCs w:val="20"/>
        </w:rPr>
        <w:t xml:space="preserve"> </w:t>
      </w:r>
      <w:r>
        <w:rPr>
          <w:sz w:val="20"/>
          <w:szCs w:val="20"/>
        </w:rPr>
        <w:tab/>
      </w:r>
      <w:r>
        <w:rPr>
          <w:b w:val="0"/>
          <w:color w:val="000000" w:themeColor="text1"/>
          <w:sz w:val="20"/>
          <w:szCs w:val="20"/>
        </w:rPr>
        <w:t>Esta consulta resultou em comentários de 511 organizações, associações, empresas, institutos de investigação, particulares e outros.</w:t>
      </w:r>
      <w:r>
        <w:rPr>
          <w:color w:val="000000" w:themeColor="text1"/>
          <w:sz w:val="20"/>
          <w:szCs w:val="20"/>
        </w:rPr>
        <w:t xml:space="preserve"> </w:t>
      </w:r>
      <w:r>
        <w:rPr>
          <w:b w:val="0"/>
          <w:color w:val="000000" w:themeColor="text1"/>
          <w:sz w:val="20"/>
          <w:szCs w:val="20"/>
        </w:rPr>
        <w:t xml:space="preserve">O resumo das reações recebidas está disponível em: </w:t>
      </w:r>
      <w:hyperlink r:id="rId3" w:history="1">
        <w:r>
          <w:rPr>
            <w:rStyle w:val="Hyperlink"/>
            <w:b w:val="0"/>
            <w:sz w:val="20"/>
            <w:szCs w:val="20"/>
          </w:rPr>
          <w:t>https://ec.europa.eu/futurium/en/system/files/ged/consultation_feedback_on_draft_ai_ethics_guidelines_4.pdf</w:t>
        </w:r>
      </w:hyperlink>
    </w:p>
  </w:footnote>
  <w:footnote w:id="10">
    <w:p>
      <w:pPr>
        <w:pStyle w:val="Typedudocument"/>
        <w:spacing w:before="0"/>
        <w:ind w:left="510" w:hanging="510"/>
        <w:jc w:val="both"/>
      </w:pPr>
      <w:r>
        <w:rPr>
          <w:rStyle w:val="FootnoteReference"/>
          <w:b w:val="0"/>
          <w:sz w:val="20"/>
          <w:szCs w:val="20"/>
        </w:rPr>
        <w:footnoteRef/>
      </w:r>
      <w:r>
        <w:rPr>
          <w:b w:val="0"/>
          <w:sz w:val="20"/>
          <w:szCs w:val="20"/>
        </w:rPr>
        <w:t xml:space="preserve"> </w:t>
      </w:r>
      <w:r>
        <w:rPr>
          <w:sz w:val="20"/>
          <w:szCs w:val="20"/>
        </w:rPr>
        <w:tab/>
      </w:r>
      <w:r>
        <w:rPr>
          <w:b w:val="0"/>
          <w:color w:val="000000" w:themeColor="text1"/>
          <w:sz w:val="20"/>
          <w:szCs w:val="20"/>
        </w:rPr>
        <w:t xml:space="preserve">Os trabalhos do grupo de peritos foram recebidos de forma positiva pelos Estados-Membros, tendo as conclusões do Conselho adotadas em 18 de fevereiro de 2019 registado, </w:t>
      </w:r>
      <w:r>
        <w:rPr>
          <w:b w:val="0"/>
          <w:i/>
          <w:color w:val="000000" w:themeColor="text1"/>
          <w:sz w:val="20"/>
          <w:szCs w:val="20"/>
        </w:rPr>
        <w:t>inter alia</w:t>
      </w:r>
      <w:r>
        <w:rPr>
          <w:b w:val="0"/>
          <w:color w:val="000000" w:themeColor="text1"/>
          <w:sz w:val="20"/>
          <w:szCs w:val="20"/>
        </w:rPr>
        <w:t>, a futura publicação das orientações éticas e apoiado os esforços da Comissão para introduzir uma abordagem ética da UE na cena mundial:</w:t>
      </w:r>
      <w:r>
        <w:t xml:space="preserve"> </w:t>
      </w:r>
      <w:hyperlink r:id="rId4" w:history="1">
        <w:r>
          <w:rPr>
            <w:rStyle w:val="Hyperlink"/>
            <w:b w:val="0"/>
            <w:sz w:val="20"/>
            <w:szCs w:val="20"/>
          </w:rPr>
          <w:t>https://data.consilium.europa.eu/doc/document/ST-6177-2019-INIT/pt/pdf</w:t>
        </w:r>
      </w:hyperlink>
    </w:p>
  </w:footnote>
  <w:footnote w:id="11">
    <w:p>
      <w:pPr>
        <w:rPr>
          <w:rStyle w:val="Hyperlink"/>
          <w:rFonts w:ascii="Times New Roman" w:hAnsi="Times New Roman" w:cs="Times New Roman"/>
          <w:bCs/>
          <w:sz w:val="20"/>
          <w:szCs w:val="20"/>
        </w:rPr>
      </w:pPr>
      <w:r>
        <w:rPr>
          <w:rStyle w:val="FootnoteReference"/>
        </w:rPr>
        <w:footnoteRef/>
      </w:r>
      <w:r>
        <w:t xml:space="preserve"> </w:t>
      </w:r>
      <w:r>
        <w:rPr>
          <w:rFonts w:ascii="Times New Roman" w:hAnsi="Times New Roman"/>
          <w:b/>
          <w:bCs/>
          <w:sz w:val="20"/>
          <w:szCs w:val="20"/>
        </w:rPr>
        <w:tab/>
      </w:r>
      <w:hyperlink r:id="rId5" w:anchor="Top" w:history="1">
        <w:r>
          <w:rPr>
            <w:rStyle w:val="Hyperlink"/>
            <w:rFonts w:ascii="Times New Roman" w:hAnsi="Times New Roman"/>
            <w:bCs/>
            <w:sz w:val="20"/>
            <w:szCs w:val="20"/>
          </w:rPr>
          <w:t>https://ec.europa.eu/futurium/en/ai-alliance-consultation/guidelines#Top</w:t>
        </w:r>
      </w:hyperlink>
    </w:p>
    <w:p>
      <w:pPr>
        <w:pStyle w:val="FootnoteText"/>
        <w:ind w:left="510" w:hanging="510"/>
        <w:rPr>
          <w:rStyle w:val="Hyperlink"/>
          <w:rFonts w:ascii="Times New Roman" w:hAnsi="Times New Roman" w:cs="Times New Roman"/>
          <w:bCs/>
        </w:rPr>
      </w:pPr>
    </w:p>
  </w:footnote>
  <w:footnote w:id="12">
    <w:p>
      <w:pPr>
        <w:pStyle w:val="FootnoteText"/>
        <w:ind w:left="426" w:hanging="426"/>
        <w:jc w:val="both"/>
        <w:rPr>
          <w:rFonts w:ascii="Times New Roman" w:hAnsi="Times New Roman" w:cs="Times New Roman"/>
        </w:rPr>
      </w:pPr>
      <w:r>
        <w:rPr>
          <w:rStyle w:val="FootnoteReference"/>
        </w:rPr>
        <w:footnoteRef/>
      </w:r>
      <w:r>
        <w:t xml:space="preserve"> </w:t>
      </w:r>
      <w:r>
        <w:tab/>
      </w:r>
      <w:r>
        <w:rPr>
          <w:rFonts w:ascii="Times New Roman" w:hAnsi="Times New Roman"/>
        </w:rPr>
        <w:t>O Regulamento Geral sobre a Proteção de Dados dá aos indivíduos o direito de não estarem sujeitos a uma decisão baseada exclusivamente no tratamento automatizado se tal produzir efeitos jurídicos sobre os utilizadores ou os afetar de forma similar (artigo 22.º do RGPD) .</w:t>
      </w:r>
    </w:p>
  </w:footnote>
  <w:footnote w:id="13">
    <w:p>
      <w:pPr>
        <w:pStyle w:val="FootnoteText"/>
        <w:ind w:left="426" w:hanging="426"/>
        <w:jc w:val="both"/>
        <w:rPr>
          <w:rFonts w:ascii="Times New Roman" w:hAnsi="Times New Roman" w:cs="Times New Roman"/>
          <w:sz w:val="18"/>
        </w:rPr>
      </w:pPr>
      <w:r>
        <w:rPr>
          <w:rStyle w:val="FootnoteReference"/>
          <w:rFonts w:ascii="Times New Roman" w:hAnsi="Times New Roman" w:cs="Times New Roman"/>
          <w:sz w:val="18"/>
        </w:rPr>
        <w:footnoteRef/>
      </w:r>
      <w:r>
        <w:rPr>
          <w:rFonts w:ascii="Times New Roman" w:hAnsi="Times New Roman"/>
          <w:sz w:val="18"/>
        </w:rPr>
        <w:t xml:space="preserve"> </w:t>
      </w:r>
      <w:r>
        <w:rPr>
          <w:rFonts w:ascii="Times New Roman" w:hAnsi="Times New Roman"/>
          <w:sz w:val="18"/>
        </w:rPr>
        <w:tab/>
      </w:r>
      <w:r>
        <w:rPr>
          <w:rFonts w:ascii="Times New Roman" w:hAnsi="Times New Roman"/>
        </w:rPr>
        <w:t xml:space="preserve">A intervenção humana </w:t>
      </w:r>
      <w:r>
        <w:rPr>
          <w:rFonts w:ascii="Times New Roman" w:hAnsi="Times New Roman"/>
          <w:color w:val="000000"/>
        </w:rPr>
        <w:t>deve ocorrer em cada ciclo de decisão do sistema, o que, em muitos casos, não é nem possível nem desejável («</w:t>
      </w:r>
      <w:r>
        <w:rPr>
          <w:rFonts w:ascii="Times New Roman" w:hAnsi="Times New Roman"/>
          <w:i/>
          <w:color w:val="000000"/>
        </w:rPr>
        <w:t>human-in-the-loop</w:t>
      </w:r>
      <w:r>
        <w:rPr>
          <w:rFonts w:ascii="Times New Roman" w:hAnsi="Times New Roman"/>
          <w:color w:val="000000"/>
        </w:rPr>
        <w:t>» - HITL). A supervisão humana refere-se à capacidade de intervenção humana durante o ciclo de conceção do sistema e de monitorização do funcionamento do sistema («</w:t>
      </w:r>
      <w:r>
        <w:rPr>
          <w:rFonts w:ascii="Times New Roman" w:hAnsi="Times New Roman"/>
          <w:i/>
          <w:color w:val="000000"/>
        </w:rPr>
        <w:t>human-on-the-loop</w:t>
      </w:r>
      <w:r>
        <w:rPr>
          <w:rFonts w:ascii="Times New Roman" w:hAnsi="Times New Roman"/>
          <w:color w:val="000000"/>
        </w:rPr>
        <w:t>» - HOTL). O conceito de «detenção de controlo por humanos» refere-se à capacidade de supervisionar a atividade global do sistema de IA (incluindo o seu impacto mais vasto a nível económico, social, jurídico e ético) e a capacidade de decidir quando e como utilizar o sistema em qualquer situação específica («</w:t>
      </w:r>
      <w:r>
        <w:rPr>
          <w:rFonts w:ascii="Times New Roman" w:hAnsi="Times New Roman"/>
          <w:i/>
          <w:color w:val="000000"/>
        </w:rPr>
        <w:t>human-in-command</w:t>
      </w:r>
      <w:r>
        <w:rPr>
          <w:rFonts w:ascii="Times New Roman" w:hAnsi="Times New Roman"/>
          <w:color w:val="000000"/>
        </w:rPr>
        <w:t>» - HIC). Este conceito pode incluir a decisão de não utilizar um sistema de IA numa determinada situação, de estabelecer níveis de apreciação humana durante a utilização do sistema e de garantir a capacidade de anular uma decisão tomada pelo sistema.</w:t>
      </w:r>
    </w:p>
  </w:footnote>
  <w:footnote w:id="14">
    <w:p>
      <w:pPr>
        <w:pStyle w:val="FootnoteText"/>
        <w:ind w:left="510" w:hanging="510"/>
      </w:pPr>
      <w:r>
        <w:rPr>
          <w:rStyle w:val="FootnoteReference"/>
        </w:rPr>
        <w:footnoteRef/>
      </w:r>
      <w:r>
        <w:t xml:space="preserve"> </w:t>
      </w:r>
      <w:r>
        <w:tab/>
      </w:r>
      <w:r>
        <w:rPr>
          <w:rFonts w:ascii="Times New Roman" w:hAnsi="Times New Roman"/>
        </w:rPr>
        <w:t>Ver a Comunicação da Comissão «Rumo à mobilidade automatizada: uma estratégia da UE para a mobilidade do futuro», COM (2018) 283.</w:t>
      </w:r>
    </w:p>
  </w:footnote>
  <w:footnote w:id="15">
    <w:p>
      <w:pPr>
        <w:pStyle w:val="FootnoteText"/>
        <w:ind w:left="510" w:hanging="510"/>
        <w:jc w:val="both"/>
        <w:rPr>
          <w:rFonts w:ascii="Times New Roman" w:hAnsi="Times New Roman" w:cs="Times New Roman"/>
        </w:rPr>
      </w:pPr>
      <w:r>
        <w:rPr>
          <w:rStyle w:val="FootnoteReference"/>
        </w:rPr>
        <w:footnoteRef/>
      </w:r>
      <w:r>
        <w:t xml:space="preserve"> </w:t>
      </w:r>
      <w:r>
        <w:rPr>
          <w:rFonts w:ascii="Times New Roman" w:hAnsi="Times New Roman"/>
        </w:rPr>
        <w:tab/>
        <w:t xml:space="preserve">No âmbito do Fundo Europeu de Defesa, a Comissão elaborará também orientações éticas específicas </w:t>
      </w:r>
      <w:r>
        <w:rPr>
          <w:rFonts w:ascii="Times New Roman" w:hAnsi="Times New Roman"/>
          <w:bCs/>
          <w:color w:val="000000" w:themeColor="text1"/>
        </w:rPr>
        <w:t>para a avaliação das propostas de projetos no domínio da inteligência artificial para a defesa.</w:t>
      </w:r>
    </w:p>
  </w:footnote>
  <w:footnote w:id="16">
    <w:p>
      <w:pPr>
        <w:spacing w:after="0" w:line="240" w:lineRule="auto"/>
        <w:ind w:left="510" w:hanging="510"/>
      </w:pPr>
      <w:r>
        <w:rPr>
          <w:rStyle w:val="FootnoteReference"/>
        </w:rPr>
        <w:footnoteRef/>
      </w:r>
      <w:r>
        <w:t xml:space="preserve"> </w:t>
      </w:r>
      <w:r>
        <w:tab/>
      </w:r>
      <w:hyperlink r:id="rId6" w:history="1">
        <w:r>
          <w:rPr>
            <w:rStyle w:val="Hyperlink"/>
            <w:rFonts w:ascii="Times New Roman" w:hAnsi="Times New Roman"/>
            <w:sz w:val="20"/>
            <w:szCs w:val="20"/>
          </w:rPr>
          <w:t>https://ec.europa.eu/digital-single-market/en/news/artificial-intelligence-ai4eu-project-launches-1-january-2019</w:t>
        </w:r>
      </w:hyperlink>
    </w:p>
  </w:footnote>
  <w:footnote w:id="17">
    <w:p>
      <w:pPr>
        <w:pStyle w:val="FootnoteText"/>
        <w:spacing w:before="40"/>
        <w:ind w:left="510" w:hanging="510"/>
        <w:jc w:val="both"/>
      </w:pPr>
      <w:r>
        <w:rPr>
          <w:rStyle w:val="FootnoteReference"/>
        </w:rPr>
        <w:footnoteRef/>
      </w:r>
      <w:r>
        <w:rPr>
          <w:rFonts w:ascii="Times New Roman" w:hAnsi="Times New Roman"/>
          <w:bCs/>
          <w:color w:val="000000" w:themeColor="text1"/>
        </w:rPr>
        <w:t xml:space="preserve"> </w:t>
      </w:r>
      <w:r>
        <w:rPr>
          <w:rFonts w:ascii="Times New Roman" w:hAnsi="Times New Roman"/>
          <w:bCs/>
          <w:color w:val="000000" w:themeColor="text1"/>
        </w:rPr>
        <w:tab/>
        <w:t>A alta representante da União para os Negócios Estrangeiros e a Política de Segurança tenciona efetuar, com o apoio da Comissão, consultas nas instâncias das Nações Unidas, no Painel Mundial de Tecnologia e noutros fóruns multilaterais, e, em particular, coordenar propostas destinadas a fazer face a estes complexos desafios em matéria de segurança.</w:t>
      </w:r>
      <w:r>
        <w:rPr>
          <w:rFonts w:ascii="Times New Roman" w:hAnsi="Times New Roman"/>
          <w:bCs/>
          <w:color w:val="000000" w:themeColor="text1"/>
          <w:sz w:val="24"/>
          <w:szCs w:val="24"/>
        </w:rPr>
        <w:t xml:space="preserve"> </w:t>
      </w:r>
      <w:r>
        <w:t xml:space="preserve"> </w:t>
      </w:r>
    </w:p>
  </w:footnote>
  <w:footnote w:id="18">
    <w:p>
      <w:pPr>
        <w:pStyle w:val="FootnoteText"/>
        <w:ind w:left="510" w:hanging="51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r>
        <w:rPr>
          <w:rFonts w:ascii="Times New Roman" w:hAnsi="Times New Roman"/>
          <w:bCs/>
          <w:color w:val="000000"/>
        </w:rPr>
        <w:t>Regulamento (UE) n.º 234/2014 do Parlamento Europeu e do Conselho, de 11 de março de 2014, que cria um Instrumento de Parceria para a cooperação com países terceiros (JO L 77 de 15.3.2014, p. 77).</w:t>
      </w:r>
      <w:r>
        <w:rPr>
          <w:rFonts w:ascii="Times New Roman" w:hAnsi="Times New Roman"/>
        </w:rPr>
        <w:t xml:space="preserve"> Por exemplo, o projeto previsto sobre «Uma aliança internacional para uma abordagem centrada no ser humano da inteligência artificial» facilitará iniciativas conjuntas com parceiros que partilham as mesmas ideias, a fim de promover orientações éticas e de adotar princípios comuns e conclusões operacionais. Este projeto permitirá que a UE e os países com as mesmas ideias debatam as conclusões operacionais resultantes das orientações éticas sobre IA propostas pelo grupo de peritos, a fim de alcançarem uma abordagem comum. Além disso, prevê o acompanhamento da adoção de tecnologias de IA a nível mundial. Por último, o projeto prevê a organização de atividades de diplomacia pública em eventos internacionais, por exemplo, do G7, do G20 e da Organização de Cooperação e de Desenvolvimento Económicos. </w:t>
      </w:r>
    </w:p>
  </w:footnote>
  <w:footnote w:id="19">
    <w:p>
      <w:pPr>
        <w:pStyle w:val="FootnoteText"/>
        <w:ind w:left="532" w:hanging="532"/>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7" w:history="1">
        <w:r>
          <w:rPr>
            <w:rStyle w:val="Hyperlink"/>
            <w:rFonts w:ascii="Times New Roman" w:hAnsi="Times New Roman"/>
          </w:rPr>
          <w:t>http://s3platform.jrc.ec.europa.eu/digital-innovation-hubs</w:t>
        </w:r>
      </w:hyperlink>
    </w:p>
  </w:footnote>
  <w:footnote w:id="20">
    <w:p>
      <w:pPr>
        <w:pStyle w:val="FootnoteText"/>
        <w:ind w:left="532" w:hanging="532"/>
        <w:jc w:val="both"/>
        <w:rPr>
          <w:rFonts w:ascii="Times New Roman" w:hAnsi="Times New Roman" w:cs="Times New Roman"/>
        </w:rPr>
      </w:pPr>
      <w:r>
        <w:rPr>
          <w:rStyle w:val="FootnoteReference"/>
        </w:rPr>
        <w:footnoteRef/>
      </w:r>
      <w:r>
        <w:t xml:space="preserve"> </w:t>
      </w:r>
      <w:r>
        <w:tab/>
      </w:r>
      <w:r>
        <w:rPr>
          <w:rFonts w:ascii="Times New Roman" w:hAnsi="Times New Roman"/>
        </w:rPr>
        <w:t>Os recursos necessários serão mobilizados a partir do Programa-Quadro Horizonte 2020 (no âmbito do qual cerca de 1,5 mil milhões de EUR são consagrados à IA para o período 2018-2020) e do seu programa sucessor Horizonte Europa, a parte digital do Mecanismo Interligar a Europa e, em especial, do futuro Programa Europa Digital. Os projetos basear-se-ão também em recursos do setor privado e dos programas dos Estados-Membros.</w:t>
      </w:r>
      <w:r>
        <w:t xml:space="preserve"> </w:t>
      </w:r>
    </w:p>
  </w:footnote>
  <w:footnote w:id="21">
    <w:p>
      <w:pPr>
        <w:pStyle w:val="FootnoteText"/>
        <w:ind w:left="532" w:hanging="532"/>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Ver a Comunicação «A inteligência Artificial para a Europa», COM (2018) 237.</w:t>
      </w:r>
    </w:p>
  </w:footnote>
  <w:footnote w:id="22">
    <w:p>
      <w:pPr>
        <w:pStyle w:val="FootnoteText"/>
        <w:tabs>
          <w:tab w:val="left" w:pos="567"/>
        </w:tabs>
        <w:ind w:left="532" w:hanging="532"/>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8" w:history="1">
        <w:r>
          <w:rPr>
            <w:rStyle w:val="Hyperlink"/>
            <w:rFonts w:ascii="Times New Roman" w:hAnsi="Times New Roman"/>
          </w:rPr>
          <w:t>https://eurohpc-ju.europa.eu</w:t>
        </w:r>
      </w:hyperlink>
    </w:p>
  </w:footnote>
  <w:footnote w:id="23">
    <w:p>
      <w:pPr>
        <w:pStyle w:val="FootnoteText"/>
        <w:tabs>
          <w:tab w:val="left" w:pos="567"/>
        </w:tabs>
        <w:ind w:left="532" w:hanging="532"/>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9" w:history="1">
        <w:r>
          <w:rPr>
            <w:rStyle w:val="Hyperlink"/>
            <w:rFonts w:ascii="Times New Roman" w:hAnsi="Times New Roman"/>
          </w:rPr>
          <w:t>www.ecsel.eu</w:t>
        </w:r>
      </w:hyperlink>
    </w:p>
  </w:footnote>
  <w:footnote w:id="24">
    <w:p>
      <w:pPr>
        <w:pStyle w:val="FootnoteText"/>
        <w:ind w:left="532" w:hanging="532"/>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10" w:history="1">
        <w:r>
          <w:rPr>
            <w:rStyle w:val="Hyperlink"/>
            <w:rFonts w:ascii="Times New Roman" w:hAnsi="Times New Roman"/>
          </w:rPr>
          <w:t>www.european-processor-initiative.eu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D12"/>
    <w:multiLevelType w:val="hybridMultilevel"/>
    <w:tmpl w:val="89A62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0126DB"/>
    <w:multiLevelType w:val="hybridMultilevel"/>
    <w:tmpl w:val="D23E34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54058B"/>
    <w:multiLevelType w:val="hybridMultilevel"/>
    <w:tmpl w:val="A686CDE4"/>
    <w:lvl w:ilvl="0" w:tplc="8072398C">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E25D64"/>
    <w:multiLevelType w:val="hybridMultilevel"/>
    <w:tmpl w:val="FBD830AA"/>
    <w:name w:val="CPSNumberingScheme"/>
    <w:lvl w:ilvl="0" w:tplc="693488F2">
      <w:start w:val="1"/>
      <w:numFmt w:val="decimal"/>
      <w:lvlText w:val="%1."/>
      <w:lvlJc w:val="right"/>
      <w:pPr>
        <w:ind w:left="500" w:hanging="180"/>
      </w:pPr>
    </w:lvl>
    <w:lvl w:ilvl="1" w:tplc="1B002B66">
      <w:start w:val="1"/>
      <w:numFmt w:val="decimal"/>
      <w:lvlText w:val="%2."/>
      <w:lvlJc w:val="right"/>
      <w:pPr>
        <w:ind w:left="1000" w:hanging="180"/>
      </w:pPr>
    </w:lvl>
    <w:lvl w:ilvl="2" w:tplc="71E28308">
      <w:start w:val="1"/>
      <w:numFmt w:val="decimal"/>
      <w:lvlText w:val="%3."/>
      <w:lvlJc w:val="right"/>
      <w:pPr>
        <w:ind w:left="1500" w:hanging="180"/>
      </w:pPr>
    </w:lvl>
    <w:lvl w:ilvl="3" w:tplc="6CF6B8D6">
      <w:start w:val="1"/>
      <w:numFmt w:val="decimal"/>
      <w:lvlText w:val="%4."/>
      <w:lvlJc w:val="right"/>
      <w:pPr>
        <w:ind w:left="2000" w:hanging="180"/>
      </w:pPr>
    </w:lvl>
    <w:lvl w:ilvl="4" w:tplc="5A4A32B6">
      <w:start w:val="1"/>
      <w:numFmt w:val="decimal"/>
      <w:lvlText w:val="%5."/>
      <w:lvlJc w:val="right"/>
      <w:pPr>
        <w:ind w:left="2500" w:hanging="180"/>
      </w:pPr>
    </w:lvl>
    <w:lvl w:ilvl="5" w:tplc="BB9001BC">
      <w:start w:val="1"/>
      <w:numFmt w:val="decimal"/>
      <w:lvlText w:val="%6."/>
      <w:lvlJc w:val="right"/>
      <w:pPr>
        <w:ind w:left="3000" w:hanging="180"/>
      </w:pPr>
    </w:lvl>
    <w:lvl w:ilvl="6" w:tplc="D7B24302">
      <w:start w:val="1"/>
      <w:numFmt w:val="decimal"/>
      <w:lvlText w:val="%7."/>
      <w:lvlJc w:val="right"/>
      <w:pPr>
        <w:ind w:left="3500" w:hanging="180"/>
      </w:pPr>
    </w:lvl>
    <w:lvl w:ilvl="7" w:tplc="1046D4F8">
      <w:start w:val="1"/>
      <w:numFmt w:val="decimal"/>
      <w:lvlText w:val="%8."/>
      <w:lvlJc w:val="right"/>
      <w:pPr>
        <w:ind w:left="4000" w:hanging="180"/>
      </w:pPr>
    </w:lvl>
    <w:lvl w:ilvl="8" w:tplc="C96A7890">
      <w:start w:val="1"/>
      <w:numFmt w:val="decimal"/>
      <w:lvlText w:val="%9."/>
      <w:lvlJc w:val="right"/>
      <w:pPr>
        <w:ind w:left="4500" w:hanging="180"/>
      </w:pPr>
    </w:lvl>
  </w:abstractNum>
  <w:abstractNum w:abstractNumId="4">
    <w:nsid w:val="20EF1DDD"/>
    <w:multiLevelType w:val="hybridMultilevel"/>
    <w:tmpl w:val="C65AF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9F6B68"/>
    <w:multiLevelType w:val="hybridMultilevel"/>
    <w:tmpl w:val="8F68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1B1282"/>
    <w:multiLevelType w:val="hybridMultilevel"/>
    <w:tmpl w:val="89A62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90D1D6C"/>
    <w:multiLevelType w:val="hybridMultilevel"/>
    <w:tmpl w:val="D0C23DDA"/>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9C05152"/>
    <w:multiLevelType w:val="hybridMultilevel"/>
    <w:tmpl w:val="20CA3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5D53441"/>
    <w:multiLevelType w:val="hybridMultilevel"/>
    <w:tmpl w:val="DE1422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9F2CB9"/>
    <w:multiLevelType w:val="hybridMultilevel"/>
    <w:tmpl w:val="79D42972"/>
    <w:lvl w:ilvl="0" w:tplc="09E8449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7C3B25A8"/>
    <w:multiLevelType w:val="hybridMultilevel"/>
    <w:tmpl w:val="A38CBC06"/>
    <w:lvl w:ilvl="0" w:tplc="8072398C">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10"/>
  </w:num>
  <w:num w:numId="4">
    <w:abstractNumId w:val="4"/>
  </w:num>
  <w:num w:numId="5">
    <w:abstractNumId w:val="7"/>
  </w:num>
  <w:num w:numId="6">
    <w:abstractNumId w:val="2"/>
  </w:num>
  <w:num w:numId="7">
    <w:abstractNumId w:val="0"/>
  </w:num>
  <w:num w:numId="8">
    <w:abstractNumId w:val="11"/>
  </w:num>
  <w:num w:numId="9">
    <w:abstractNumId w:val="3"/>
    <w:lvlOverride w:ilvl="0">
      <w:startOverride w:val="1"/>
      <w:lvl w:ilvl="0" w:tplc="693488F2">
        <w:start w:val="1"/>
        <w:numFmt w:val="bullet"/>
        <w:lvlText w:val=""/>
        <w:lvlJc w:val="right"/>
        <w:pPr>
          <w:ind w:left="500" w:hanging="180"/>
        </w:pPr>
        <w:rPr>
          <w:rFonts w:ascii="Symbol" w:hAnsi="Symbol" w:hint="default"/>
        </w:rPr>
      </w:lvl>
    </w:lvlOverride>
    <w:lvlOverride w:ilvl="1">
      <w:startOverride w:val="1"/>
      <w:lvl w:ilvl="1" w:tplc="1B002B66">
        <w:start w:val="1"/>
        <w:numFmt w:val="decimal"/>
        <w:lvlText w:val="%2."/>
        <w:lvlJc w:val="right"/>
        <w:pPr>
          <w:ind w:left="1000" w:hanging="180"/>
        </w:pPr>
      </w:lvl>
    </w:lvlOverride>
    <w:lvlOverride w:ilvl="2">
      <w:startOverride w:val="1"/>
      <w:lvl w:ilvl="2" w:tplc="71E28308">
        <w:start w:val="1"/>
        <w:numFmt w:val="decimal"/>
        <w:lvlText w:val="%3."/>
        <w:lvlJc w:val="right"/>
        <w:pPr>
          <w:ind w:left="1500" w:hanging="180"/>
        </w:pPr>
      </w:lvl>
    </w:lvlOverride>
    <w:lvlOverride w:ilvl="3">
      <w:startOverride w:val="1"/>
      <w:lvl w:ilvl="3" w:tplc="6CF6B8D6">
        <w:start w:val="1"/>
        <w:numFmt w:val="decimal"/>
        <w:lvlText w:val="%4."/>
        <w:lvlJc w:val="right"/>
        <w:pPr>
          <w:ind w:left="2000" w:hanging="180"/>
        </w:pPr>
      </w:lvl>
    </w:lvlOverride>
    <w:lvlOverride w:ilvl="4">
      <w:startOverride w:val="1"/>
      <w:lvl w:ilvl="4" w:tplc="5A4A32B6">
        <w:start w:val="1"/>
        <w:numFmt w:val="decimal"/>
        <w:lvlText w:val="%5."/>
        <w:lvlJc w:val="right"/>
        <w:pPr>
          <w:ind w:left="2500" w:hanging="180"/>
        </w:pPr>
      </w:lvl>
    </w:lvlOverride>
    <w:lvlOverride w:ilvl="5">
      <w:startOverride w:val="1"/>
      <w:lvl w:ilvl="5" w:tplc="BB9001BC">
        <w:start w:val="1"/>
        <w:numFmt w:val="decimal"/>
        <w:lvlText w:val="%6."/>
        <w:lvlJc w:val="right"/>
        <w:pPr>
          <w:ind w:left="3000" w:hanging="180"/>
        </w:pPr>
      </w:lvl>
    </w:lvlOverride>
    <w:lvlOverride w:ilvl="6">
      <w:startOverride w:val="1"/>
      <w:lvl w:ilvl="6" w:tplc="D7B24302">
        <w:start w:val="1"/>
        <w:numFmt w:val="decimal"/>
        <w:lvlText w:val="%7."/>
        <w:lvlJc w:val="right"/>
        <w:pPr>
          <w:ind w:left="3500" w:hanging="180"/>
        </w:pPr>
      </w:lvl>
    </w:lvlOverride>
    <w:lvlOverride w:ilvl="7">
      <w:startOverride w:val="1"/>
      <w:lvl w:ilvl="7" w:tplc="1046D4F8">
        <w:start w:val="1"/>
        <w:numFmt w:val="decimal"/>
        <w:lvlText w:val="%8."/>
        <w:lvlJc w:val="right"/>
        <w:pPr>
          <w:ind w:left="4000" w:hanging="180"/>
        </w:pPr>
      </w:lvl>
    </w:lvlOverride>
    <w:lvlOverride w:ilvl="8">
      <w:startOverride w:val="1"/>
      <w:lvl w:ilvl="8" w:tplc="C96A7890">
        <w:start w:val="1"/>
        <w:numFmt w:val="decimal"/>
        <w:lvlText w:val="%9."/>
        <w:lvlJc w:val="right"/>
        <w:pPr>
          <w:ind w:left="4500" w:hanging="180"/>
        </w:pPr>
      </w:lvl>
    </w:lvlOverride>
  </w:num>
  <w:num w:numId="10">
    <w:abstractNumId w:val="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revisionView w:markup="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C44F680-F619-4DA1-A8A7-4C564E84D947"/>
    <w:docVar w:name="LW_COVERPAGE_TYPE" w:val="1"/>
    <w:docVar w:name="LW_CROSSREFERENCE" w:val="&lt;UNUSED&gt;"/>
    <w:docVar w:name="LW_DocType" w:val="NORMAL"/>
    <w:docVar w:name="LW_EMISSION" w:val="8.4.2019"/>
    <w:docVar w:name="LW_EMISSION_ISODATE" w:val="2019-04-08"/>
    <w:docVar w:name="LW_EMISSION_LOCATION" w:val="BRX"/>
    <w:docVar w:name="LW_EMISSION_PREFIX" w:val="Bruxelas, "/>
    <w:docVar w:name="LW_EMISSION_SUFFIX" w:val=" "/>
    <w:docVar w:name="LW_ID_DOCTYPE_NONLW" w:val="CP-014"/>
    <w:docVar w:name="LW_LANGUE" w:val="PT"/>
    <w:docVar w:name="LW_LEVEL_OF_SENSITIVITY" w:val="Standard treatment"/>
    <w:docVar w:name="LW_NOM.INST" w:val="COMISSÃO EUROPEIA"/>
    <w:docVar w:name="LW_NOM.INST_JOINTDOC" w:val="&lt;EMPTY&gt;"/>
    <w:docVar w:name="LW_PART_NBR" w:val="1"/>
    <w:docVar w:name="LW_PART_NBR_TOTAL" w:val="1"/>
    <w:docVar w:name="LW_REF.INST.NEW" w:val="COM"/>
    <w:docVar w:name="LW_REF.INST.NEW_ADOPTED" w:val="final"/>
    <w:docVar w:name="LW_REF.INST.NEW_TEXT" w:val="(2019) 16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Aumentar a confiança numa inteligência artificial centrada no ser humano_x000b_"/>
    <w:docVar w:name="LW_TYPE.DOC.CP" w:val="COMUNICAÇÃO DA COMISSÃO AO PARLAMENTO EUROPEU, AO CONSELHO, AO COMITÉ ECONÓMICO E SOCIAL EUROPEU E AO COMITÉ DAS REGIÕES"/>
    <w:docVar w:name="LW_TYPE.DOC.CP.USERTEXT" w:val="&lt;EMPTY&gt;"/>
    <w:docVar w:name="Stamp" w:val="\\dossiers.dgt.cec.eu.int\dossiers\CNECT\CNECT-2019-00118\CNECT-2019-00118-00-00-EN-EDT-00.201903120915467957681.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link w:val="TypedudocumentChar"/>
    <w:pPr>
      <w:spacing w:before="360" w:after="0" w:line="240" w:lineRule="auto"/>
      <w:jc w:val="center"/>
    </w:pPr>
    <w:rPr>
      <w:rFonts w:ascii="Times New Roman" w:hAnsi="Times New Roman" w:cs="Times New Roman"/>
      <w:b/>
      <w:bCs/>
      <w:sz w:val="24"/>
      <w:szCs w:val="24"/>
    </w:r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rPr>
      <w:sz w:val="20"/>
      <w:szCs w:val="20"/>
    </w:rPr>
  </w:style>
  <w:style w:type="character" w:styleId="FootnoteReference">
    <w:name w:val="footnote reference"/>
    <w:basedOn w:val="DefaultParagraphFont"/>
    <w:uiPriority w:val="99"/>
    <w:unhideWhenUsed/>
    <w:rPr>
      <w:vertAlign w:val="superscript"/>
    </w:rPr>
  </w:style>
  <w:style w:type="character" w:customStyle="1" w:styleId="TypedudocumentChar">
    <w:name w:val="Type du document Char"/>
    <w:basedOn w:val="DefaultParagraphFont"/>
    <w:link w:val="Typedudocument"/>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white-space">
    <w:name w:val="white-space"/>
    <w:basedOn w:val="DefaultParagraphFont"/>
  </w:style>
  <w:style w:type="character" w:customStyle="1" w:styleId="st">
    <w:name w:val="st"/>
    <w:basedOn w:val="DefaultParagraphFont"/>
  </w:style>
  <w:style w:type="character" w:styleId="Hyperlink">
    <w:name w:val="Hyperlink"/>
    <w:basedOn w:val="DefaultParagraphFont"/>
    <w:uiPriority w:val="99"/>
    <w:unhideWhenUsed/>
    <w:rPr>
      <w:color w:val="0000FF" w:themeColor="hyperlink"/>
      <w:u w:val="single"/>
    </w:rPr>
  </w:style>
  <w:style w:type="character" w:customStyle="1" w:styleId="update1">
    <w:name w:val="update1"/>
    <w:basedOn w:val="DefaultParagraphFont"/>
    <w:rPr>
      <w:color w:val="006666"/>
    </w:rPr>
  </w:style>
  <w:style w:type="character" w:customStyle="1" w:styleId="bold1">
    <w:name w:val="bold1"/>
    <w:basedOn w:val="DefaultParagraphFont"/>
    <w:rPr>
      <w:b/>
      <w:bCs/>
    </w:rPr>
  </w:style>
  <w:style w:type="paragraph" w:styleId="Revision">
    <w:name w:val="Revision"/>
    <w:hidden/>
    <w:uiPriority w:val="99"/>
    <w:semiHidden/>
    <w:pPr>
      <w:spacing w:after="0" w:line="240" w:lineRule="auto"/>
    </w:pPr>
  </w:style>
  <w:style w:type="paragraph" w:styleId="ListParagraph">
    <w:name w:val="List Paragraph"/>
    <w:basedOn w:val="Normal"/>
    <w:link w:val="ListParagraphChar"/>
    <w:uiPriority w:val="34"/>
    <w:qFormat/>
    <w:pPr>
      <w:ind w:left="720"/>
      <w:contextualSpacing/>
    </w:pPr>
  </w:style>
  <w:style w:type="paragraph" w:customStyle="1" w:styleId="Normal1">
    <w:name w:val="Normal1"/>
    <w:rPr>
      <w:rFonts w:ascii="Calibri" w:eastAsia="Calibri" w:hAnsi="Calibri" w:cs="Calibri"/>
      <w:lang w:eastAsia="fr-FR"/>
    </w:rPr>
  </w:style>
  <w:style w:type="character" w:customStyle="1" w:styleId="ListParagraphChar">
    <w:name w:val="List Paragraph Char"/>
    <w:basedOn w:val="DefaultParagraphFont"/>
    <w:link w:val="ListParagraph"/>
    <w:uiPriority w:val="34"/>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link w:val="TypedudocumentChar"/>
    <w:pPr>
      <w:spacing w:before="360" w:after="0" w:line="240" w:lineRule="auto"/>
      <w:jc w:val="center"/>
    </w:pPr>
    <w:rPr>
      <w:rFonts w:ascii="Times New Roman" w:hAnsi="Times New Roman" w:cs="Times New Roman"/>
      <w:b/>
      <w:bCs/>
      <w:sz w:val="24"/>
      <w:szCs w:val="24"/>
    </w:r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rPr>
      <w:sz w:val="20"/>
      <w:szCs w:val="20"/>
    </w:rPr>
  </w:style>
  <w:style w:type="character" w:styleId="FootnoteReference">
    <w:name w:val="footnote reference"/>
    <w:basedOn w:val="DefaultParagraphFont"/>
    <w:uiPriority w:val="99"/>
    <w:unhideWhenUsed/>
    <w:rPr>
      <w:vertAlign w:val="superscript"/>
    </w:rPr>
  </w:style>
  <w:style w:type="character" w:customStyle="1" w:styleId="TypedudocumentChar">
    <w:name w:val="Type du document Char"/>
    <w:basedOn w:val="DefaultParagraphFont"/>
    <w:link w:val="Typedudocument"/>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white-space">
    <w:name w:val="white-space"/>
    <w:basedOn w:val="DefaultParagraphFont"/>
  </w:style>
  <w:style w:type="character" w:customStyle="1" w:styleId="st">
    <w:name w:val="st"/>
    <w:basedOn w:val="DefaultParagraphFont"/>
  </w:style>
  <w:style w:type="character" w:styleId="Hyperlink">
    <w:name w:val="Hyperlink"/>
    <w:basedOn w:val="DefaultParagraphFont"/>
    <w:uiPriority w:val="99"/>
    <w:unhideWhenUsed/>
    <w:rPr>
      <w:color w:val="0000FF" w:themeColor="hyperlink"/>
      <w:u w:val="single"/>
    </w:rPr>
  </w:style>
  <w:style w:type="character" w:customStyle="1" w:styleId="update1">
    <w:name w:val="update1"/>
    <w:basedOn w:val="DefaultParagraphFont"/>
    <w:rPr>
      <w:color w:val="006666"/>
    </w:rPr>
  </w:style>
  <w:style w:type="character" w:customStyle="1" w:styleId="bold1">
    <w:name w:val="bold1"/>
    <w:basedOn w:val="DefaultParagraphFont"/>
    <w:rPr>
      <w:b/>
      <w:bCs/>
    </w:rPr>
  </w:style>
  <w:style w:type="paragraph" w:styleId="Revision">
    <w:name w:val="Revision"/>
    <w:hidden/>
    <w:uiPriority w:val="99"/>
    <w:semiHidden/>
    <w:pPr>
      <w:spacing w:after="0" w:line="240" w:lineRule="auto"/>
    </w:pPr>
  </w:style>
  <w:style w:type="paragraph" w:styleId="ListParagraph">
    <w:name w:val="List Paragraph"/>
    <w:basedOn w:val="Normal"/>
    <w:link w:val="ListParagraphChar"/>
    <w:uiPriority w:val="34"/>
    <w:qFormat/>
    <w:pPr>
      <w:ind w:left="720"/>
      <w:contextualSpacing/>
    </w:pPr>
  </w:style>
  <w:style w:type="paragraph" w:customStyle="1" w:styleId="Normal1">
    <w:name w:val="Normal1"/>
    <w:rPr>
      <w:rFonts w:ascii="Calibri" w:eastAsia="Calibri" w:hAnsi="Calibri" w:cs="Calibri"/>
      <w:lang w:eastAsia="fr-FR"/>
    </w:rPr>
  </w:style>
  <w:style w:type="character" w:customStyle="1" w:styleId="ListParagraphChar">
    <w:name w:val="List Paragraph Char"/>
    <w:basedOn w:val="DefaultParagraphFont"/>
    <w:link w:val="ListParagraph"/>
    <w:uiPriority w:val="34"/>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3510">
      <w:bodyDiv w:val="1"/>
      <w:marLeft w:val="0"/>
      <w:marRight w:val="0"/>
      <w:marTop w:val="0"/>
      <w:marBottom w:val="0"/>
      <w:divBdr>
        <w:top w:val="none" w:sz="0" w:space="0" w:color="auto"/>
        <w:left w:val="none" w:sz="0" w:space="0" w:color="auto"/>
        <w:bottom w:val="none" w:sz="0" w:space="0" w:color="auto"/>
        <w:right w:val="none" w:sz="0" w:space="0" w:color="auto"/>
      </w:divBdr>
    </w:div>
    <w:div w:id="370040026">
      <w:bodyDiv w:val="1"/>
      <w:marLeft w:val="0"/>
      <w:marRight w:val="0"/>
      <w:marTop w:val="0"/>
      <w:marBottom w:val="0"/>
      <w:divBdr>
        <w:top w:val="none" w:sz="0" w:space="0" w:color="auto"/>
        <w:left w:val="none" w:sz="0" w:space="0" w:color="auto"/>
        <w:bottom w:val="none" w:sz="0" w:space="0" w:color="auto"/>
        <w:right w:val="none" w:sz="0" w:space="0" w:color="auto"/>
      </w:divBdr>
    </w:div>
    <w:div w:id="509221558">
      <w:bodyDiv w:val="1"/>
      <w:marLeft w:val="0"/>
      <w:marRight w:val="0"/>
      <w:marTop w:val="0"/>
      <w:marBottom w:val="0"/>
      <w:divBdr>
        <w:top w:val="none" w:sz="0" w:space="0" w:color="auto"/>
        <w:left w:val="none" w:sz="0" w:space="0" w:color="auto"/>
        <w:bottom w:val="none" w:sz="0" w:space="0" w:color="auto"/>
        <w:right w:val="none" w:sz="0" w:space="0" w:color="auto"/>
      </w:divBdr>
      <w:divsChild>
        <w:div w:id="336855731">
          <w:marLeft w:val="0"/>
          <w:marRight w:val="0"/>
          <w:marTop w:val="0"/>
          <w:marBottom w:val="0"/>
          <w:divBdr>
            <w:top w:val="none" w:sz="0" w:space="0" w:color="auto"/>
            <w:left w:val="none" w:sz="0" w:space="0" w:color="auto"/>
            <w:bottom w:val="none" w:sz="0" w:space="0" w:color="auto"/>
            <w:right w:val="none" w:sz="0" w:space="0" w:color="auto"/>
          </w:divBdr>
          <w:divsChild>
            <w:div w:id="1923754161">
              <w:marLeft w:val="0"/>
              <w:marRight w:val="0"/>
              <w:marTop w:val="0"/>
              <w:marBottom w:val="0"/>
              <w:divBdr>
                <w:top w:val="none" w:sz="0" w:space="0" w:color="auto"/>
                <w:left w:val="none" w:sz="0" w:space="0" w:color="auto"/>
                <w:bottom w:val="none" w:sz="0" w:space="0" w:color="auto"/>
                <w:right w:val="none" w:sz="0" w:space="0" w:color="auto"/>
              </w:divBdr>
              <w:divsChild>
                <w:div w:id="1160150108">
                  <w:marLeft w:val="0"/>
                  <w:marRight w:val="0"/>
                  <w:marTop w:val="0"/>
                  <w:marBottom w:val="0"/>
                  <w:divBdr>
                    <w:top w:val="none" w:sz="0" w:space="0" w:color="auto"/>
                    <w:left w:val="none" w:sz="0" w:space="0" w:color="auto"/>
                    <w:bottom w:val="none" w:sz="0" w:space="0" w:color="auto"/>
                    <w:right w:val="none" w:sz="0" w:space="0" w:color="auto"/>
                  </w:divBdr>
                  <w:divsChild>
                    <w:div w:id="2019504200">
                      <w:marLeft w:val="-150"/>
                      <w:marRight w:val="-150"/>
                      <w:marTop w:val="0"/>
                      <w:marBottom w:val="0"/>
                      <w:divBdr>
                        <w:top w:val="none" w:sz="0" w:space="0" w:color="auto"/>
                        <w:left w:val="none" w:sz="0" w:space="0" w:color="auto"/>
                        <w:bottom w:val="none" w:sz="0" w:space="0" w:color="auto"/>
                        <w:right w:val="none" w:sz="0" w:space="0" w:color="auto"/>
                      </w:divBdr>
                      <w:divsChild>
                        <w:div w:id="1677922925">
                          <w:marLeft w:val="0"/>
                          <w:marRight w:val="0"/>
                          <w:marTop w:val="0"/>
                          <w:marBottom w:val="0"/>
                          <w:divBdr>
                            <w:top w:val="none" w:sz="0" w:space="0" w:color="auto"/>
                            <w:left w:val="none" w:sz="0" w:space="0" w:color="auto"/>
                            <w:bottom w:val="none" w:sz="0" w:space="0" w:color="auto"/>
                            <w:right w:val="none" w:sz="0" w:space="0" w:color="auto"/>
                          </w:divBdr>
                          <w:divsChild>
                            <w:div w:id="20597494">
                              <w:marLeft w:val="0"/>
                              <w:marRight w:val="0"/>
                              <w:marTop w:val="0"/>
                              <w:marBottom w:val="0"/>
                              <w:divBdr>
                                <w:top w:val="none" w:sz="0" w:space="0" w:color="auto"/>
                                <w:left w:val="none" w:sz="0" w:space="0" w:color="auto"/>
                                <w:bottom w:val="none" w:sz="0" w:space="0" w:color="auto"/>
                                <w:right w:val="none" w:sz="0" w:space="0" w:color="auto"/>
                              </w:divBdr>
                              <w:divsChild>
                                <w:div w:id="1867257444">
                                  <w:marLeft w:val="0"/>
                                  <w:marRight w:val="0"/>
                                  <w:marTop w:val="0"/>
                                  <w:marBottom w:val="300"/>
                                  <w:divBdr>
                                    <w:top w:val="none" w:sz="0" w:space="0" w:color="auto"/>
                                    <w:left w:val="none" w:sz="0" w:space="0" w:color="auto"/>
                                    <w:bottom w:val="none" w:sz="0" w:space="0" w:color="auto"/>
                                    <w:right w:val="none" w:sz="0" w:space="0" w:color="auto"/>
                                  </w:divBdr>
                                  <w:divsChild>
                                    <w:div w:id="130440271">
                                      <w:marLeft w:val="0"/>
                                      <w:marRight w:val="0"/>
                                      <w:marTop w:val="0"/>
                                      <w:marBottom w:val="0"/>
                                      <w:divBdr>
                                        <w:top w:val="none" w:sz="0" w:space="0" w:color="auto"/>
                                        <w:left w:val="none" w:sz="0" w:space="0" w:color="auto"/>
                                        <w:bottom w:val="none" w:sz="0" w:space="0" w:color="auto"/>
                                        <w:right w:val="none" w:sz="0" w:space="0" w:color="auto"/>
                                      </w:divBdr>
                                      <w:divsChild>
                                        <w:div w:id="610481409">
                                          <w:marLeft w:val="0"/>
                                          <w:marRight w:val="0"/>
                                          <w:marTop w:val="0"/>
                                          <w:marBottom w:val="0"/>
                                          <w:divBdr>
                                            <w:top w:val="none" w:sz="0" w:space="0" w:color="auto"/>
                                            <w:left w:val="none" w:sz="0" w:space="0" w:color="auto"/>
                                            <w:bottom w:val="none" w:sz="0" w:space="0" w:color="auto"/>
                                            <w:right w:val="none" w:sz="0" w:space="0" w:color="auto"/>
                                          </w:divBdr>
                                          <w:divsChild>
                                            <w:div w:id="165829429">
                                              <w:marLeft w:val="0"/>
                                              <w:marRight w:val="0"/>
                                              <w:marTop w:val="0"/>
                                              <w:marBottom w:val="0"/>
                                              <w:divBdr>
                                                <w:top w:val="none" w:sz="0" w:space="0" w:color="auto"/>
                                                <w:left w:val="none" w:sz="0" w:space="0" w:color="auto"/>
                                                <w:bottom w:val="none" w:sz="0" w:space="0" w:color="auto"/>
                                                <w:right w:val="none" w:sz="0" w:space="0" w:color="auto"/>
                                              </w:divBdr>
                                              <w:divsChild>
                                                <w:div w:id="48310018">
                                                  <w:marLeft w:val="0"/>
                                                  <w:marRight w:val="0"/>
                                                  <w:marTop w:val="0"/>
                                                  <w:marBottom w:val="0"/>
                                                  <w:divBdr>
                                                    <w:top w:val="none" w:sz="0" w:space="0" w:color="auto"/>
                                                    <w:left w:val="none" w:sz="0" w:space="0" w:color="auto"/>
                                                    <w:bottom w:val="none" w:sz="0" w:space="0" w:color="auto"/>
                                                    <w:right w:val="none" w:sz="0" w:space="0" w:color="auto"/>
                                                  </w:divBdr>
                                                  <w:divsChild>
                                                    <w:div w:id="817963300">
                                                      <w:marLeft w:val="0"/>
                                                      <w:marRight w:val="0"/>
                                                      <w:marTop w:val="0"/>
                                                      <w:marBottom w:val="0"/>
                                                      <w:divBdr>
                                                        <w:top w:val="none" w:sz="0" w:space="0" w:color="auto"/>
                                                        <w:left w:val="none" w:sz="0" w:space="0" w:color="auto"/>
                                                        <w:bottom w:val="none" w:sz="0" w:space="0" w:color="auto"/>
                                                        <w:right w:val="none" w:sz="0" w:space="0" w:color="auto"/>
                                                      </w:divBdr>
                                                      <w:divsChild>
                                                        <w:div w:id="429468116">
                                                          <w:marLeft w:val="0"/>
                                                          <w:marRight w:val="0"/>
                                                          <w:marTop w:val="0"/>
                                                          <w:marBottom w:val="0"/>
                                                          <w:divBdr>
                                                            <w:top w:val="none" w:sz="0" w:space="0" w:color="auto"/>
                                                            <w:left w:val="none" w:sz="0" w:space="0" w:color="auto"/>
                                                            <w:bottom w:val="none" w:sz="0" w:space="0" w:color="auto"/>
                                                            <w:right w:val="none" w:sz="0" w:space="0" w:color="auto"/>
                                                          </w:divBdr>
                                                          <w:divsChild>
                                                            <w:div w:id="1808012353">
                                                              <w:marLeft w:val="0"/>
                                                              <w:marRight w:val="0"/>
                                                              <w:marTop w:val="0"/>
                                                              <w:marBottom w:val="0"/>
                                                              <w:divBdr>
                                                                <w:top w:val="none" w:sz="0" w:space="0" w:color="auto"/>
                                                                <w:left w:val="none" w:sz="0" w:space="0" w:color="auto"/>
                                                                <w:bottom w:val="none" w:sz="0" w:space="0" w:color="auto"/>
                                                                <w:right w:val="none" w:sz="0" w:space="0" w:color="auto"/>
                                                              </w:divBdr>
                                                              <w:divsChild>
                                                                <w:div w:id="909582297">
                                                                  <w:marLeft w:val="0"/>
                                                                  <w:marRight w:val="0"/>
                                                                  <w:marTop w:val="0"/>
                                                                  <w:marBottom w:val="0"/>
                                                                  <w:divBdr>
                                                                    <w:top w:val="none" w:sz="0" w:space="0" w:color="auto"/>
                                                                    <w:left w:val="none" w:sz="0" w:space="0" w:color="auto"/>
                                                                    <w:bottom w:val="none" w:sz="0" w:space="0" w:color="auto"/>
                                                                    <w:right w:val="none" w:sz="0" w:space="0" w:color="auto"/>
                                                                  </w:divBdr>
                                                                  <w:divsChild>
                                                                    <w:div w:id="19103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075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urohpc-ju.europa.eu/" TargetMode="External"/><Relationship Id="rId3" Type="http://schemas.openxmlformats.org/officeDocument/2006/relationships/hyperlink" Target="https://ec.europa.eu/futurium/en/system/files/ged/consultation_feedback_on_draft_ai_ethics_guidelines_4.pdf" TargetMode="External"/><Relationship Id="rId7" Type="http://schemas.openxmlformats.org/officeDocument/2006/relationships/hyperlink" Target="http://s3platform.jrc.ec.europa.eu/digital-innovation-hubs" TargetMode="External"/><Relationship Id="rId2" Type="http://schemas.openxmlformats.org/officeDocument/2006/relationships/hyperlink" Target="https://ec.europa.eu/digital-single-market/en/european-ai-alliance" TargetMode="External"/><Relationship Id="rId1" Type="http://schemas.openxmlformats.org/officeDocument/2006/relationships/hyperlink" Target="https://ec.europa.eu/digital-single-market/en/high-level-expert-group-artificial-intelligence" TargetMode="External"/><Relationship Id="rId6" Type="http://schemas.openxmlformats.org/officeDocument/2006/relationships/hyperlink" Target="https://ec.europa.eu/digital-single-market/en/news/artificial-intelligence-ai4eu-project-launches-1-january-2019" TargetMode="External"/><Relationship Id="rId5" Type="http://schemas.openxmlformats.org/officeDocument/2006/relationships/hyperlink" Target="https://ec.europa.eu/futurium/en/ai-alliance-consultation/guidelines" TargetMode="External"/><Relationship Id="rId10" Type="http://schemas.openxmlformats.org/officeDocument/2006/relationships/hyperlink" Target="file://net1.cec.eu.int/HOMES/022/saryuma/Desktop/www.european-processor-initiative.eu" TargetMode="External"/><Relationship Id="rId4" Type="http://schemas.openxmlformats.org/officeDocument/2006/relationships/hyperlink" Target="https://data.consilium.europa.eu/doc/document/ST-6177-2019-INIT/pt/pdf" TargetMode="External"/><Relationship Id="rId9" Type="http://schemas.openxmlformats.org/officeDocument/2006/relationships/hyperlink" Target="file://net1.cec.eu.int/HOMES/022/saryuma/Desktop/www.ecsel.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C2A6F52-A4B3-44D6-923A-5B642B49C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4762</Words>
  <Characters>25622</Characters>
  <Application>Microsoft Office Word</Application>
  <DocSecurity>0</DocSecurity>
  <Lines>413</Lines>
  <Paragraphs>100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2019-04-01T13:08:00Z</dcterms:created>
  <dcterms:modified xsi:type="dcterms:W3CDTF">2019-04-08T06:29:00Z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reated using">
    <vt:lpwstr>LW 6.0.1, Build 20180503</vt:lpwstr>
  </property>
</Properties>
</file>