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7A6AE924-4545-485C-9C37-111B0616CB96" style="width:450.75pt;height:320.2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Heading1"/>
        <w:numPr>
          <w:ilvl w:val="0"/>
          <w:numId w:val="31"/>
        </w:numPr>
        <w:spacing w:after="120" w:afterAutospacing="0"/>
        <w:rPr>
          <w:noProof/>
          <w:szCs w:val="24"/>
        </w:rPr>
      </w:pPr>
      <w:bookmarkStart w:id="1" w:name="_Toc424032363"/>
      <w:bookmarkStart w:id="2" w:name="_Toc493679473"/>
      <w:bookmarkStart w:id="3" w:name="_GoBack"/>
      <w:bookmarkEnd w:id="3"/>
      <w:r>
        <w:rPr>
          <w:noProof/>
        </w:rPr>
        <w:lastRenderedPageBreak/>
        <w:t>Úvod</w:t>
      </w:r>
      <w:bookmarkEnd w:id="1"/>
      <w:bookmarkEnd w:id="2"/>
    </w:p>
    <w:p>
      <w:pPr>
        <w:rPr>
          <w:rFonts w:eastAsia="Calibri"/>
          <w:noProof/>
        </w:rPr>
      </w:pPr>
      <w:r>
        <w:rPr>
          <w:noProof/>
        </w:rPr>
        <w:t>Evropský parlament a Rada Evropské unie přijaly v prosinci 2018 revidovanou směrnici o energetické účinnosti</w:t>
      </w:r>
      <w:r>
        <w:rPr>
          <w:rStyle w:val="FootnoteReference"/>
          <w:noProof/>
        </w:rPr>
        <w:footnoteReference w:id="1"/>
      </w:r>
      <w:r>
        <w:rPr>
          <w:noProof/>
        </w:rPr>
        <w:t>. Tato revidovaná směrnice stanovila, aby cíl v oblasti energetické účinnosti do roku 2030 bylo dosáhnout alespoň 32,5 %</w:t>
      </w:r>
      <w:r>
        <w:rPr>
          <w:rStyle w:val="FootnoteReference"/>
          <w:noProof/>
        </w:rPr>
        <w:footnoteReference w:id="2"/>
      </w:r>
      <w:r>
        <w:rPr>
          <w:noProof/>
        </w:rPr>
        <w:t>. Zahrnovala rovněž možnou doložku o revizi směrem nahoru, která zvyšuje úroveň cílů ve srovnání s úsilím potřebným k dosažení cílů pro rok 2020. Energetická účinnost je silným motorem k dosažení cílů v oblasti klimatu pro roky 2020 a 2030 a také základním stavebním kamenem návrhu Komise s názvem „Evropská dlouhodobá strategická vize prosperující, moderní, konkurenceschopné a klimaticky neutrální ekonomiky“</w:t>
      </w:r>
      <w:r>
        <w:rPr>
          <w:rStyle w:val="FootnoteReference"/>
          <w:noProof/>
        </w:rPr>
        <w:footnoteReference w:id="3"/>
      </w:r>
      <w:r>
        <w:rPr>
          <w:noProof/>
        </w:rPr>
        <w:t>, který byl předložen v listopadu 2018.</w:t>
      </w:r>
    </w:p>
    <w:p>
      <w:pPr>
        <w:rPr>
          <w:rFonts w:eastAsia="Calibri"/>
          <w:noProof/>
        </w:rPr>
      </w:pPr>
      <w:r>
        <w:rPr>
          <w:noProof/>
        </w:rPr>
        <w:t>V této souvislosti je důležité, aby cíle v oblasti energetické účinnosti pro rok 2020 byly splněny prostřednictvím opatření, díky nimž bude možné dosahovat úspor energie i v příštím desetiletí.</w:t>
      </w:r>
    </w:p>
    <w:p>
      <w:pPr>
        <w:rPr>
          <w:rFonts w:eastAsia="Calibri"/>
          <w:noProof/>
        </w:rPr>
      </w:pPr>
      <w:r>
        <w:rPr>
          <w:noProof/>
        </w:rPr>
        <w:t>Tato zpráva uvádí nejnovější poznatky, pokud jde o pokrok učiněný do roku 2017 směrem k dosažení 20% cíle před rokem 2020</w:t>
      </w:r>
      <w:r>
        <w:rPr>
          <w:rStyle w:val="FootnoteReference"/>
          <w:noProof/>
        </w:rPr>
        <w:footnoteReference w:id="4"/>
      </w:r>
      <w:r>
        <w:rPr>
          <w:noProof/>
        </w:rPr>
        <w:t>. Jako primární zdroj údajů byly použity oficiální evropské statistiky o energii, které členské státy zaslaly Eurostatu do ledna 2019. Zpráva vychází ze zprávy o pokroku v oblasti energetické účinnosti z roku 2017</w:t>
      </w:r>
      <w:r>
        <w:rPr>
          <w:rStyle w:val="FootnoteReference"/>
          <w:noProof/>
        </w:rPr>
        <w:footnoteReference w:id="5"/>
      </w:r>
      <w:r>
        <w:rPr>
          <w:noProof/>
        </w:rPr>
        <w:t>, z výročních zpráv za rok 2018 předložených členskými státy a z doplňující analýzy provedené v průběhu roku 2018. K lepšímu porozumění faktorům ovlivňujícím nedávný vývoj byla použita dekompoziční analýza vyvinutá Společným výzkumným střediskem (JRC)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a v rámci projektu Odyssee-Mure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rPr>
          <w:rFonts w:eastAsia="Calibri"/>
          <w:noProof/>
        </w:rPr>
      </w:pPr>
      <w:r>
        <w:rPr>
          <w:noProof/>
        </w:rPr>
        <w:t>Nejvýznamnější jsou tato zjištění:</w:t>
      </w:r>
    </w:p>
    <w:p>
      <w:pPr>
        <w:numPr>
          <w:ilvl w:val="0"/>
          <w:numId w:val="46"/>
        </w:numPr>
        <w:spacing w:after="200" w:afterAutospacing="0"/>
        <w:contextualSpacing/>
        <w:rPr>
          <w:rFonts w:eastAsia="Calibri"/>
          <w:noProof/>
        </w:rPr>
      </w:pPr>
      <w:r>
        <w:rPr>
          <w:noProof/>
        </w:rPr>
        <w:t>Po postupném poklesu mezi lety 2007 a 2014 se spotřeba energie mezi lety 2014 a 2017 zvýšila.</w:t>
      </w:r>
    </w:p>
    <w:p>
      <w:pPr>
        <w:numPr>
          <w:ilvl w:val="0"/>
          <w:numId w:val="46"/>
        </w:numPr>
        <w:spacing w:after="200" w:afterAutospacing="0"/>
        <w:contextualSpacing/>
        <w:rPr>
          <w:rFonts w:eastAsia="Calibri"/>
          <w:noProof/>
        </w:rPr>
      </w:pPr>
      <w:r>
        <w:rPr>
          <w:noProof/>
        </w:rPr>
        <w:t>Spotřeba primární energie vzrostla v roce 2017 ve srovnání s rokem 2016 o 0,9 %. Konečná spotřeba energie vzrostla v roce 2017 o 1,1 %. V současné době jsou obě hodnoty mírně nad pevně stanovenou trajektorií k dosažení cíle pro rok 2020.</w:t>
      </w:r>
    </w:p>
    <w:p>
      <w:pPr>
        <w:numPr>
          <w:ilvl w:val="0"/>
          <w:numId w:val="46"/>
        </w:numPr>
        <w:spacing w:after="200" w:afterAutospacing="0"/>
        <w:contextualSpacing/>
        <w:rPr>
          <w:rFonts w:eastAsia="Calibri"/>
          <w:noProof/>
        </w:rPr>
      </w:pPr>
      <w:r>
        <w:rPr>
          <w:noProof/>
        </w:rPr>
        <w:t>Jednou z hlavních příčin pozorovaných výkyvů ve spotřebě energie v minulých letech jsou výkyvy počasí</w:t>
      </w:r>
      <w:r>
        <w:rPr>
          <w:rStyle w:val="FootnoteReference"/>
          <w:noProof/>
        </w:rPr>
        <w:footnoteReference w:id="8"/>
      </w:r>
      <w:r>
        <w:rPr>
          <w:noProof/>
        </w:rPr>
        <w:t>. Údaje o spotřebě energie opravené o vlivy počasí jsou méně kolísavé, od roku 2014 však vykazují rovněž rostoucí trend (graf 1).</w:t>
      </w:r>
    </w:p>
    <w:p>
      <w:pPr>
        <w:numPr>
          <w:ilvl w:val="0"/>
          <w:numId w:val="46"/>
        </w:numPr>
        <w:spacing w:after="200" w:afterAutospacing="0"/>
        <w:contextualSpacing/>
        <w:rPr>
          <w:rFonts w:eastAsia="Calibri"/>
          <w:noProof/>
        </w:rPr>
      </w:pPr>
      <w:r>
        <w:rPr>
          <w:noProof/>
        </w:rPr>
        <w:t>Růst hospodářské činnosti nepřestává vyvíjet tlak na růst spotřeby energie. Úspory energie pomohly kompenzovat dopad tohoto zvýšení, což vedlo k postupnému zlepšení energetické náročnosti. V posledních letech však úspory energie nebyly dostatečně vysoké, aby vyrovnaly dopad růstu hospodářské činnosti, možná i kvůli zpožděnému provádění politik v oblasti energetické účinnosti v některých členských státech.</w:t>
      </w:r>
    </w:p>
    <w:p>
      <w:pPr>
        <w:numPr>
          <w:ilvl w:val="0"/>
          <w:numId w:val="46"/>
        </w:numPr>
        <w:spacing w:after="200" w:afterAutospacing="0"/>
        <w:contextualSpacing/>
        <w:rPr>
          <w:rFonts w:eastAsia="Calibri"/>
          <w:noProof/>
        </w:rPr>
      </w:pPr>
      <w:r>
        <w:rPr>
          <w:noProof/>
        </w:rPr>
        <w:t>Z posouzení nejnovějších vnitrostátních akčních plánů energetické účinnosti a z výročních zpráv za rok 2018 jasně plyne, že při dosahování úspor energie podle článku 7 směrnice o energetické účinnosti dosahují členské státy společně značného pokroku. Některé členské státy však zaostávají a mohlo by se stát, že nedostojí požadavkům na své kumulativní úspory pro roky 2014–2020.</w:t>
      </w:r>
    </w:p>
    <w:p>
      <w:pPr>
        <w:contextualSpacing/>
        <w:rPr>
          <w:rFonts w:eastAsia="Calibri"/>
          <w:noProof/>
          <w:highlight w:val="yellow"/>
        </w:rPr>
      </w:pPr>
    </w:p>
    <w:p>
      <w:pPr>
        <w:contextualSpacing/>
        <w:rPr>
          <w:rFonts w:eastAsia="Calibri"/>
          <w:noProof/>
        </w:rPr>
      </w:pPr>
      <w:r>
        <w:rPr>
          <w:noProof/>
        </w:rPr>
        <w:t>Pokud bude pokračovat rostoucí trend spotřeby energie patrný od roku 2014, mohlo by být ohroženo dosažení cíle pro rok 2020, jak pokud jde o spotřebu primární energie, tak pokud jde o konečnou spotřebu energie. Je proto třeba dále zintenzivnit úsilí o dosažení úspor energie v krátkodobém horizontu.</w:t>
      </w:r>
    </w:p>
    <w:p>
      <w:pPr>
        <w:contextualSpacing/>
        <w:rPr>
          <w:rFonts w:eastAsia="Calibri"/>
          <w:noProof/>
        </w:rPr>
      </w:pPr>
    </w:p>
    <w:p>
      <w:pPr>
        <w:contextualSpacing/>
        <w:rPr>
          <w:rFonts w:eastAsia="Calibri"/>
          <w:noProof/>
        </w:rPr>
      </w:pPr>
      <w:r>
        <w:rPr>
          <w:noProof/>
        </w:rPr>
        <w:t>V červenci 2018 zřídila Evropská komise pracovní skupinu pro mobilizaci úsilí k dosažení cílů EU v oblasti energetické účinnosti do roku 2020 s cílem lépe posoudit rostoucí trend spotřeby energie a určit možný další postup</w:t>
      </w:r>
      <w:r>
        <w:rPr>
          <w:rStyle w:val="FootnoteReference"/>
          <w:noProof/>
        </w:rPr>
        <w:footnoteReference w:id="9"/>
      </w:r>
      <w:r>
        <w:rPr>
          <w:noProof/>
        </w:rPr>
        <w:t>. Pracovní skupina dosud zdůraznila zejména potřebu lépe mobilizovat finanční prostředky, zvýšit míru a rozsah renovace budov a zajistit, aby byly splněny minimální normy energetické náročnosti.</w:t>
      </w:r>
    </w:p>
    <w:p>
      <w:pPr>
        <w:pStyle w:val="Text1"/>
        <w:ind w:left="0"/>
        <w:rPr>
          <w:noProof/>
        </w:rPr>
      </w:pPr>
      <w:r>
        <w:rPr>
          <w:b/>
          <w:noProof/>
        </w:rPr>
        <w:t>Graf 1</w:t>
      </w:r>
      <w:r>
        <w:rPr>
          <w:noProof/>
        </w:rPr>
        <w:t>: HDP a konečná spotřeba energie v letech 1995–2016 opravená o výkyvy počasí</w:t>
      </w:r>
      <w:r>
        <w:rPr>
          <w:rStyle w:val="FootnoteReference"/>
          <w:noProof/>
        </w:rPr>
        <w:footnoteReference w:id="10"/>
      </w:r>
    </w:p>
    <w:p>
      <w:pPr>
        <w:spacing w:after="0" w:afterAutospacing="0"/>
        <w:jc w:val="left"/>
        <w:rPr>
          <w:noProof/>
          <w:highlight w:val="yellow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237018" cy="3310057"/>
            <wp:effectExtent l="0" t="0" r="190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73" cy="330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i/>
          <w:noProof/>
          <w:sz w:val="22"/>
        </w:rPr>
      </w:pPr>
      <w:r>
        <w:rPr>
          <w:i/>
          <w:noProof/>
          <w:sz w:val="22"/>
        </w:rPr>
        <w:t>Zdroj: Odyssee-Mure</w:t>
      </w:r>
    </w:p>
    <w:p>
      <w:pPr>
        <w:pStyle w:val="Heading1"/>
        <w:numPr>
          <w:ilvl w:val="0"/>
          <w:numId w:val="31"/>
        </w:numPr>
        <w:spacing w:after="120" w:afterAutospacing="0"/>
        <w:rPr>
          <w:noProof/>
          <w:szCs w:val="24"/>
        </w:rPr>
      </w:pPr>
      <w:bookmarkStart w:id="4" w:name="_Toc493679474"/>
      <w:r>
        <w:rPr>
          <w:noProof/>
        </w:rPr>
        <w:t>Pokrok v plnění cíle EU v oblasti energetické účinnosti pro rok 2020</w:t>
      </w:r>
      <w:bookmarkEnd w:id="4"/>
    </w:p>
    <w:p>
      <w:pPr>
        <w:shd w:val="clear" w:color="auto" w:fill="FFFFFF"/>
        <w:spacing w:after="105"/>
        <w:rPr>
          <w:noProof/>
        </w:rPr>
      </w:pPr>
      <w:r>
        <w:rPr>
          <w:noProof/>
        </w:rPr>
        <w:t>Konečná spotřeba energie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se snížila o 5,9 % z 1 193 Mtoe v roce 2005 na 1 122 Mtoe v roce 2017. To je o 3,3 % více než cíl konečné spotřeby energie ve výši 1 086 Mtoe stanovený pro rok 2020. Mezi lety 2005 a 2017 se snižovala průměrným ročním tempem 0,5 %, ačkoli tato sestupná tendence byla přerušena v roce 2015, kdy konečná spotřeba energie opět začala růst (v roce 2017 vzrostla v porovnání s předchozím rokem o 1,1 %).</w:t>
      </w:r>
    </w:p>
    <w:p>
      <w:pPr>
        <w:shd w:val="clear" w:color="auto" w:fill="FFFFFF"/>
        <w:spacing w:after="105"/>
        <w:rPr>
          <w:rFonts w:eastAsia="Calibri"/>
          <w:noProof/>
        </w:rPr>
      </w:pPr>
      <w:r>
        <w:rPr>
          <w:noProof/>
        </w:rPr>
        <w:t>V roce 2017 byla vyšší spotřeba energie zaznamenána především v dopravě (meziroční nárůst +2,5 %) a v průmyslu (+1,6 %). Spotřeba energie v odvětví služeb zůstala beze změn a v sektoru domácností se snížila (–0,5 %).</w:t>
      </w:r>
    </w:p>
    <w:p>
      <w:pPr>
        <w:shd w:val="clear" w:color="auto" w:fill="FFFFFF"/>
        <w:spacing w:after="105"/>
        <w:rPr>
          <w:rFonts w:eastAsia="Calibri"/>
          <w:noProof/>
        </w:rPr>
      </w:pPr>
      <w:r>
        <w:rPr>
          <w:noProof/>
        </w:rPr>
        <w:t>V roce 2017 připadalo 34 % konečné spotřeby energie na dopravu, následovanou sektorem domácností a průmyslem (oba 25 %), odvětvím služeb (13 %) a ostatními odvětvími (3 %).</w:t>
      </w:r>
    </w:p>
    <w:p>
      <w:pPr>
        <w:rPr>
          <w:noProof/>
        </w:rPr>
      </w:pPr>
      <w:r>
        <w:rPr>
          <w:noProof/>
        </w:rPr>
        <w:t>Spotřeba primární energie v EU klesla o 9,2 % z 1 720 Mtoe v roce 2005 na 1 561 Mtoe v roce 2017. To je o 5,3 % více než cíl ve výši 1 483 Mtoe pro rok 2020. Od roku 2005 do roku 2017 se snižovala v průměru o 0,8 % ročně, ale od roku 2015 opět rostla. V roce 2017 byl zaznamenán meziroční nárůst o 0,9 %.</w:t>
      </w:r>
    </w:p>
    <w:p>
      <w:pPr>
        <w:pStyle w:val="Heading1"/>
        <w:numPr>
          <w:ilvl w:val="0"/>
          <w:numId w:val="31"/>
        </w:numPr>
        <w:spacing w:after="120" w:afterAutospacing="0"/>
        <w:rPr>
          <w:noProof/>
          <w:szCs w:val="24"/>
        </w:rPr>
      </w:pPr>
      <w:bookmarkStart w:id="5" w:name="_Toc493679475"/>
      <w:r>
        <w:rPr>
          <w:noProof/>
        </w:rPr>
        <w:t xml:space="preserve">Vnitrostátní </w:t>
      </w:r>
      <w:bookmarkEnd w:id="5"/>
      <w:r>
        <w:rPr>
          <w:noProof/>
        </w:rPr>
        <w:t>cíle</w:t>
      </w:r>
    </w:p>
    <w:p>
      <w:pPr>
        <w:rPr>
          <w:rFonts w:eastAsia="Calibri"/>
          <w:noProof/>
        </w:rPr>
      </w:pPr>
      <w:r>
        <w:rPr>
          <w:noProof/>
        </w:rPr>
        <w:t>Do roku 2017 dokázalo sedmnáct členských států snížit nebo udržet úroveň konečné spotřeby energie pod svou hypotetickou lineární trajektorií pro dosažení svých odhadovaných cílů do roku 2020</w:t>
      </w:r>
      <w:r>
        <w:rPr>
          <w:rStyle w:val="FootnoteReference"/>
          <w:noProof/>
        </w:rPr>
        <w:footnoteReference w:id="12"/>
      </w:r>
      <w:r>
        <w:rPr>
          <w:noProof/>
        </w:rPr>
        <w:t>. Co se však týče spotřeby primární energie, patnáct členských států se v roce 2017 stále ještě nacházelo nad svými hypotetickými lineárními trajektoriemi</w:t>
      </w:r>
      <w:r>
        <w:rPr>
          <w:rStyle w:val="FootnoteReference"/>
          <w:noProof/>
        </w:rPr>
        <w:footnoteReference w:id="13"/>
      </w:r>
      <w:r>
        <w:rPr>
          <w:noProof/>
        </w:rPr>
        <w:t>. Celkově byla konečná spotřeba energie sedmnácti členských států (v roce 2015 to bylo ještě osmnáct) v roce 2017 nižší než jejich orientační cíl konečné spotřeby energie v roce 2020</w:t>
      </w:r>
      <w:r>
        <w:rPr>
          <w:rStyle w:val="FootnoteReference"/>
          <w:noProof/>
        </w:rPr>
        <w:footnoteReference w:id="14"/>
      </w:r>
      <w:r>
        <w:rPr>
          <w:noProof/>
        </w:rPr>
        <w:t>. V roce 2017 pouze čtrnáct členských států (v roce 2015 to bylo ještě sedmnáct) dosáhlo nebo dokázalo udržet úroveň spotřeby primární energie nižší než jejich orientační cíl pro rok 2020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. </w:t>
      </w:r>
    </w:p>
    <w:p>
      <w:pPr>
        <w:rPr>
          <w:rFonts w:eastAsia="Calibri"/>
          <w:noProof/>
        </w:rPr>
      </w:pPr>
      <w:r>
        <w:rPr>
          <w:noProof/>
        </w:rPr>
        <w:t>Je třeba poznamenat, že na rozdíl od příspěvků k plnění cílů pro rok 2030 neexistuje požadavek na to, aby vnitrostátní cíle pro rok 2020 v součtu tvořily cíl EU. Součet vnitrostátních cílů a cíl EU se totiž neshodují. Pokud jde o konečnou spotřebu energie, vnitrostátní orientační cíle v souhrnu činí 1 085 Mtoe, tj. o 1 Mtoe méně, než je cíl EU. Pokud jde o spotřebu primární energie, tyto cíle činí v souhrnu 1 533 Mtoe, tj. o 50 Mtoe více, než je cíl EU</w:t>
      </w:r>
      <w:r>
        <w:rPr>
          <w:rStyle w:val="FootnoteReference"/>
          <w:noProof/>
        </w:rPr>
        <w:footnoteReference w:id="16"/>
      </w:r>
      <w:r>
        <w:rPr>
          <w:noProof/>
        </w:rPr>
        <w:t>.</w:t>
      </w:r>
    </w:p>
    <w:p>
      <w:pPr>
        <w:pStyle w:val="Heading1"/>
        <w:numPr>
          <w:ilvl w:val="0"/>
          <w:numId w:val="31"/>
        </w:numPr>
        <w:spacing w:after="120" w:afterAutospacing="0"/>
        <w:rPr>
          <w:noProof/>
          <w:szCs w:val="24"/>
        </w:rPr>
      </w:pPr>
      <w:bookmarkStart w:id="6" w:name="_Toc430878879"/>
      <w:bookmarkStart w:id="7" w:name="_Toc430878922"/>
      <w:bookmarkStart w:id="8" w:name="_Toc431237765"/>
      <w:bookmarkStart w:id="9" w:name="_Toc431237768"/>
      <w:bookmarkStart w:id="10" w:name="_Toc429074881"/>
      <w:bookmarkStart w:id="11" w:name="_Toc429127287"/>
      <w:bookmarkStart w:id="12" w:name="_Toc429074882"/>
      <w:bookmarkStart w:id="13" w:name="_Toc429127288"/>
      <w:bookmarkStart w:id="14" w:name="_Toc429074883"/>
      <w:bookmarkStart w:id="15" w:name="_Toc429127289"/>
      <w:bookmarkStart w:id="16" w:name="_Toc432184207"/>
      <w:bookmarkStart w:id="17" w:name="_Toc432184208"/>
      <w:bookmarkStart w:id="18" w:name="_Toc49367947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noProof/>
        </w:rPr>
        <w:t xml:space="preserve">Trendy ve spotřebě energie </w:t>
      </w:r>
      <w:bookmarkEnd w:id="18"/>
      <w:r>
        <w:rPr>
          <w:noProof/>
        </w:rPr>
        <w:t>v členských státech</w:t>
      </w:r>
    </w:p>
    <w:p>
      <w:pPr>
        <w:rPr>
          <w:rFonts w:eastAsia="Calibri"/>
          <w:noProof/>
        </w:rPr>
      </w:pPr>
      <w:r>
        <w:rPr>
          <w:noProof/>
        </w:rPr>
        <w:t>Od roku 2005 klesla konečná spotřeba energie ve všech členských státech s výjimkou Kypru, Litvy, Malty, Polska a Rakouska. Avšak v porovnání s rokem 2016 konečná spotřeba energie v roce 2017 v 24 členských státech vzrostla, přičemž nejvyšší nárůst byl zaznamenán na Slovensku (+7 %), na Maltě (+6,7 %) a v Polsku (+6,5 %). K největšímu snížení došlo v Belgii (–1,2 %), ve Spojeném království (–0,8 %) a v Itálii (–0,6 %).</w:t>
      </w:r>
    </w:p>
    <w:p>
      <w:pPr>
        <w:rPr>
          <w:rFonts w:eastAsia="Calibri"/>
          <w:noProof/>
        </w:rPr>
      </w:pPr>
      <w:r>
        <w:rPr>
          <w:noProof/>
        </w:rPr>
        <w:t>Spotřeba primární energie se od roku 2005 snížila ve všech členských státech s výjimkou Estonska, Kypru a Polska. Mezi státy s největším poklesem spotřeby primární energie patří Litva (–23,4 %), Řecko (–23,2 %), Spojené království (–20,8 %) a Itálie (–17 %). Nicméně v roce 2017 spotřeba primární energie ve dvaceti členských státech v porovnání s předchozím rokem vzrostla, přičemž největší nárůst byl zaznamenán na Maltě (+12,9 %), v Rumunsku (+5,7 %) a Španělsku (+5,4 %). Nejvyšší meziroční pokles v porovnání s rokem 2016 vykázalo Estonsko (–4,2 %), po něm následovalo Spojené království (–1,6 %) a Irsko (–1,4 %).</w:t>
      </w:r>
    </w:p>
    <w:p>
      <w:pPr>
        <w:rPr>
          <w:noProof/>
        </w:rPr>
      </w:pPr>
      <w:r>
        <w:rPr>
          <w:noProof/>
        </w:rPr>
        <w:t>Klesající trend se v tříletém období od roku 2014 do roku 2017 obrátil, jelikož v porovnání s rokem 2014 konečná spotřeba energie vzrostla ve všech členských státech a spotřeba primární energie v 23 členských státech</w:t>
      </w:r>
      <w:r>
        <w:rPr>
          <w:rStyle w:val="FootnoteReference"/>
          <w:noProof/>
        </w:rPr>
        <w:footnoteReference w:id="17"/>
      </w:r>
      <w:r>
        <w:rPr>
          <w:noProof/>
        </w:rPr>
        <w:t>. Nárůst spotřeby primární energie v tomto období však byl menší než růst HDP. To znamená, že došlo ke snížení primární energetické náročnosti ve všech členských státech s výjimkou šesti (Belgie, Řecko, Itálie, Maďarsko, Rakousko a Portugalsko).</w:t>
      </w:r>
    </w:p>
    <w:p>
      <w:pPr>
        <w:spacing w:after="0" w:afterAutospacing="0"/>
        <w:jc w:val="left"/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rPr>
          <w:rFonts w:eastAsia="Calibri"/>
          <w:noProof/>
          <w:sz w:val="26"/>
        </w:rPr>
      </w:pPr>
      <w:r>
        <w:rPr>
          <w:b/>
          <w:noProof/>
        </w:rPr>
        <w:t>Graf 2</w:t>
      </w:r>
      <w:r>
        <w:rPr>
          <w:noProof/>
        </w:rPr>
        <w:t>: Relativní změna spotřeby primární energie, primární energetické náročnosti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a HDP, 2014–2017</w:t>
      </w:r>
    </w:p>
    <w:p>
      <w:pPr>
        <w:spacing w:after="0" w:afterAutospacing="0"/>
        <w:jc w:val="center"/>
        <w:rPr>
          <w:rFonts w:eastAsia="Calibri"/>
          <w:noProof/>
          <w:highlight w:val="yellow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59497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9594" cy="29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Calibri"/>
          <w:i/>
          <w:noProof/>
          <w:sz w:val="22"/>
        </w:rPr>
      </w:pPr>
      <w:r>
        <w:rPr>
          <w:i/>
          <w:noProof/>
          <w:sz w:val="22"/>
        </w:rPr>
        <w:t>Zdroj: Eurostat</w:t>
      </w:r>
    </w:p>
    <w:p>
      <w:pPr>
        <w:pStyle w:val="NormalWeb"/>
        <w:jc w:val="both"/>
        <w:rPr>
          <w:rFonts w:eastAsia="Calibri"/>
          <w:noProof/>
        </w:rPr>
      </w:pPr>
      <w:r>
        <w:rPr>
          <w:noProof/>
        </w:rPr>
        <w:t>Za účelem lepšího pochopení faktorů, které stály za nedávným zvýšením spotřeby energie, uspořádala Evropská komise odborný seminář, který poskytl podklady pro zprávu, v níž se uvádějí příčiny nedávných trendů spotřeby energie</w:t>
      </w:r>
      <w:r>
        <w:rPr>
          <w:rStyle w:val="FootnoteReference"/>
          <w:noProof/>
        </w:rPr>
        <w:footnoteReference w:id="19"/>
      </w:r>
      <w:r>
        <w:rPr>
          <w:noProof/>
        </w:rPr>
        <w:t>. Z analýzy možných faktorů, které ovlivnily rostoucí tendence spotřeby v letech od roku 2014, vyplývá, že lze zaznamenat rozdíly mezi odvětvími: hlavní nárůst spotřeby energie byl zaznamenán u budov (domácnosti a služby), a to i přes mírný sestupný trend v roce 2017, následuje odvětví dopravy, zatímco spotřeba energie v průmyslu rostla velmi málo. Spotřeba v dodávkách energie (výroba, přenos a distribuce) klesla v důsledku přechodu na energii z obnovitelných zdrojů při výrobě elektřiny. Zpráva rovněž potvrdila, že neexistuje jeden konkrétní důvod, proč se spotřeba energie v EU od roku 2014 zvýšila. Tento nárůst by mohl být způsoben částečně dobrou hospodářskou výkonností od roku 2014, částečně nízkými cenami ropy a částečně chladnější zimou v letech 2015 a 2016, přičemž kombinace těchto faktorů se bude v jednotlivých odvětvích lišit.</w:t>
      </w:r>
    </w:p>
    <w:p>
      <w:pPr>
        <w:pStyle w:val="NormalWeb"/>
        <w:jc w:val="both"/>
        <w:rPr>
          <w:rFonts w:eastAsia="Calibri"/>
          <w:noProof/>
        </w:rPr>
      </w:pPr>
    </w:p>
    <w:p>
      <w:pPr>
        <w:pStyle w:val="NormalWeb"/>
        <w:jc w:val="both"/>
        <w:rPr>
          <w:rFonts w:eastAsia="Calibri"/>
          <w:noProof/>
        </w:rPr>
      </w:pPr>
      <w:r>
        <w:rPr>
          <w:noProof/>
        </w:rPr>
        <w:t>Zástupci členských států se na podzim roku 2018 dvakrát setkali v rámci zvláštní pracovní skupiny vytvořené Komisí, aby prodiskutovali rostoucí trendy spotřeby energie a našli možná řešení, která by EU vrátila na cestu k dosažení cílů energetické účinnosti do roku 2020. Zpráva o činnosti pracovní skupiny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 odhalila některé další příčiny růstu spotřeby energie související se situací v jednotlivých členských státech. Jednalo se mimo jiné o: i) opožděné provádění politik v oblasti energetické účinnosti, ii) rozdíl mezi odhadovanými a skutečně dosaženými úsporami energie, iii) nedostatečné posouzení dopadu behaviorálních aspektů, jako je zpětný účinek, iv) nedostatečné financování politik v oblasti energetické účinnosti a v) omezení týkající se pravidel EU pro státní podporu.</w:t>
      </w:r>
    </w:p>
    <w:p>
      <w:pPr>
        <w:pStyle w:val="NormalWeb"/>
        <w:jc w:val="both"/>
        <w:rPr>
          <w:rFonts w:eastAsia="Calibri"/>
          <w:noProof/>
        </w:rPr>
      </w:pPr>
    </w:p>
    <w:p>
      <w:pPr>
        <w:pStyle w:val="NormalWeb"/>
        <w:jc w:val="both"/>
        <w:rPr>
          <w:rFonts w:eastAsia="Calibri"/>
          <w:noProof/>
        </w:rPr>
      </w:pPr>
      <w:r>
        <w:rPr>
          <w:noProof/>
        </w:rPr>
        <w:t>Díky dekompoziční analýze vypracované Společným výzkumným střediskem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 a v rámci projektu Odyssee-Mure</w:t>
      </w:r>
      <w:r>
        <w:rPr>
          <w:rStyle w:val="FootnoteReference"/>
          <w:noProof/>
        </w:rPr>
        <w:footnoteReference w:id="22"/>
      </w:r>
      <w:r>
        <w:rPr>
          <w:noProof/>
        </w:rPr>
        <w:t xml:space="preserve"> je možné provést kvantitativnější analýzu různých faktorů vedoucích ke změnám spotřeby energie. Obě analýzy však zahrnují údaje pouze do roku 2016.</w:t>
      </w:r>
    </w:p>
    <w:p>
      <w:pPr>
        <w:pStyle w:val="NormalWeb"/>
        <w:jc w:val="both"/>
        <w:rPr>
          <w:rFonts w:eastAsia="Calibri"/>
          <w:noProof/>
          <w:highlight w:val="yellow"/>
        </w:rPr>
      </w:pPr>
    </w:p>
    <w:p>
      <w:pPr>
        <w:rPr>
          <w:rFonts w:eastAsia="Calibri"/>
          <w:noProof/>
        </w:rPr>
      </w:pPr>
      <w:r>
        <w:rPr>
          <w:noProof/>
        </w:rPr>
        <w:t>Hlavním faktorem snižování spotřeby primární energie byl pokles konečné spotřeby energie v důsledku zlepšení konečné energetické náročnosti (graf 3). To přispělo k celkovému poklesu spotřeby primární energie o 122 Mtoe, což odpovídá 7 % spotřeby v roce 2005. Zvýšení účinnosti přeměny představovalo v letech 2005–2016 pokles o 30 Mtoe. Snížení distribučních ztrát a spotřeby konverzního sektoru vedlo k dalšímu snížení spotřeby primární energie o 9,5 Mtoe. Rostoucí podíl energie z obnovitelných zdrojů na hrubé konečné spotřebě energie, který na úrovni EU vzrostl z 9 % na 17 %</w:t>
      </w:r>
      <w:r>
        <w:rPr>
          <w:rStyle w:val="FootnoteReference"/>
          <w:noProof/>
        </w:rPr>
        <w:footnoteReference w:id="23"/>
      </w:r>
      <w:r>
        <w:rPr>
          <w:noProof/>
        </w:rPr>
        <w:t>, rovněž snížil úrovně spotřeby primární energie. Rostoucí využívání elektrické energie však mělo vyvažující účinek, takže celkový vliv účinnosti přeměny v podobě snížení o –30 Mtoe (což odpovídá poklesu o –2 % v porovnání se spotřebou primární energie v roce 2005) byl poměrně mírný.</w:t>
      </w:r>
    </w:p>
    <w:p>
      <w:pPr>
        <w:pStyle w:val="Caption"/>
        <w:keepNext/>
        <w:rPr>
          <w:i/>
          <w:noProof/>
          <w:sz w:val="24"/>
        </w:rPr>
      </w:pPr>
      <w:bookmarkStart w:id="19" w:name="_Ref493094938"/>
      <w:r>
        <w:rPr>
          <w:noProof/>
          <w:sz w:val="24"/>
        </w:rPr>
        <w:t xml:space="preserve">Graf </w:t>
      </w:r>
      <w:bookmarkEnd w:id="19"/>
      <w:r>
        <w:rPr>
          <w:noProof/>
          <w:sz w:val="24"/>
        </w:rPr>
        <w:t xml:space="preserve">3: </w:t>
      </w:r>
      <w:r>
        <w:rPr>
          <w:b w:val="0"/>
          <w:noProof/>
          <w:sz w:val="24"/>
        </w:rPr>
        <w:t xml:space="preserve">Rozčlenění změn ve spotřebě primární energie (v Mtoe) v EU-28 za období 2005–2016 pomocí přístupu Divisiova indexu aditivních logaritmických průměrů (Logarithmic Mean Divisia Index, LMDI). </w:t>
      </w:r>
    </w:p>
    <w:p>
      <w:pPr>
        <w:pStyle w:val="Caption"/>
        <w:keepNext/>
        <w:spacing w:after="0" w:afterAutospacing="0"/>
        <w:rPr>
          <w:rFonts w:eastAsia="Calibri"/>
          <w:i/>
          <w:noProof/>
          <w:sz w:val="30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60720" cy="41022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i/>
          <w:noProof/>
          <w:sz w:val="22"/>
          <w:szCs w:val="18"/>
        </w:rPr>
      </w:pPr>
      <w:r>
        <w:rPr>
          <w:i/>
          <w:noProof/>
          <w:sz w:val="22"/>
        </w:rPr>
        <w:t>Zdroj: Společné výzkumné středisko (JRC)</w:t>
      </w:r>
    </w:p>
    <w:p>
      <w:pPr>
        <w:pStyle w:val="NormalWeb"/>
        <w:jc w:val="both"/>
        <w:rPr>
          <w:noProof/>
        </w:rPr>
      </w:pPr>
      <w:r>
        <w:rPr>
          <w:noProof/>
        </w:rPr>
        <w:t>Pokles konečné spotřeby energie byl způsoben zejména snížením v průmyslu (–15 % v roce 2017 v porovnání s rokem 2005) a v odvětví domácností (–9 %). Oproti roku 2005 se naopak spotřeba energie zvýšila v odvětví služeb (+4 %) a v dopravě (+3 %).</w:t>
      </w:r>
    </w:p>
    <w:p>
      <w:pPr>
        <w:spacing w:after="0" w:afterAutospacing="0"/>
        <w:jc w:val="left"/>
        <w:rPr>
          <w:rFonts w:eastAsiaTheme="minorHAnsi"/>
          <w:noProof/>
        </w:rPr>
      </w:pPr>
      <w:r>
        <w:rPr>
          <w:noProof/>
        </w:rPr>
        <w:br w:type="page"/>
      </w:r>
    </w:p>
    <w:p>
      <w:pPr>
        <w:pStyle w:val="NormalWeb"/>
        <w:jc w:val="both"/>
        <w:rPr>
          <w:rFonts w:eastAsia="Calibri"/>
          <w:noProof/>
        </w:rPr>
      </w:pPr>
    </w:p>
    <w:p>
      <w:pPr>
        <w:pStyle w:val="NormalWeb"/>
        <w:jc w:val="both"/>
        <w:rPr>
          <w:rFonts w:eastAsia="Calibri"/>
          <w:noProof/>
          <w:highlight w:val="yellow"/>
        </w:rPr>
      </w:pPr>
    </w:p>
    <w:p>
      <w:pPr>
        <w:rPr>
          <w:noProof/>
        </w:rPr>
      </w:pPr>
      <w:bookmarkStart w:id="20" w:name="_Ref493094915"/>
      <w:r>
        <w:rPr>
          <w:b/>
          <w:noProof/>
        </w:rPr>
        <w:t>Graf 4:</w:t>
      </w:r>
      <w:r>
        <w:rPr>
          <w:noProof/>
        </w:rPr>
        <w:t xml:space="preserve"> Rozčlenění změn v konečné spotřebě energie (v Mtoe) v EU-28 za období 2005–2016 pomocí přístupu Divisiova indexu aditivních logaritmických průměrů (Logarithmic Mean Divisia Index, LMDI).</w:t>
      </w:r>
    </w:p>
    <w:p>
      <w:pPr>
        <w:spacing w:after="0" w:afterAutospacing="0"/>
        <w:rPr>
          <w:rFonts w:eastAsia="Calibri"/>
          <w:noProof/>
          <w:sz w:val="26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60720" cy="334337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0"/>
    <w:p>
      <w:pPr>
        <w:rPr>
          <w:i/>
          <w:noProof/>
          <w:sz w:val="22"/>
          <w:szCs w:val="18"/>
        </w:rPr>
      </w:pPr>
      <w:r>
        <w:rPr>
          <w:i/>
          <w:noProof/>
          <w:sz w:val="22"/>
        </w:rPr>
        <w:t>Zdroj: Společné výzkumné středisko (JRC)</w:t>
      </w:r>
    </w:p>
    <w:p>
      <w:pPr>
        <w:rPr>
          <w:rFonts w:eastAsia="Calibri"/>
          <w:noProof/>
        </w:rPr>
      </w:pPr>
      <w:r>
        <w:rPr>
          <w:noProof/>
        </w:rPr>
        <w:t>Analýza JRC ukazuje, že stejně jako v případě primární energie bylo snížení konečné spotřeby energie za období 2005–2016 způsobeno zlepšením konečné energetické náročnosti (–171,4 Mtoe), které vyvážilo zvýšení spotřeby energie v důsledku hospodářského růstu (+117,4 Mtoe). Strukturální posun k energeticky účinnějším odvětvím vedl ke snížení konečné spotřeby energie o 9,1 Mtoe a teplejší zimy měly za následek snížení spotřeby energie o 13,1 Mtoe. Výsledkem bylo snížení konečné spotřeby energie v celé EU v letech 2005–2016 z 1 174 na 1 098 Mtoe (viz graf 4).</w:t>
      </w:r>
    </w:p>
    <w:p>
      <w:pPr>
        <w:rPr>
          <w:rFonts w:eastAsia="Calibri"/>
          <w:noProof/>
        </w:rPr>
      </w:pPr>
      <w:r>
        <w:rPr>
          <w:noProof/>
        </w:rPr>
        <w:t>V období 2015–2016 byl v EU zaznamenán nárůst celkové konečné spotřeby energie o +20,8 Mtoe. V tomto krátkém období zlepšení náročnosti (–4,6 Mtoe) nestačila k vyrovnání účinku hospodářského růstu (účinek činnosti: +20,9 Mtoe) a chladného počasí (+4,5 Mtoe).</w:t>
      </w:r>
    </w:p>
    <w:p>
      <w:pPr>
        <w:rPr>
          <w:noProof/>
        </w:rPr>
      </w:pPr>
      <w:r>
        <w:rPr>
          <w:noProof/>
        </w:rPr>
        <w:t>Analýza vypracovaná v rámci projektu Odyssee-Mure dokládá pro období 2005–2016 podobné trendy. Potvrzuje, že úspory energie hrály hlavní úlohu ve vyvážení nárůstu spotřeby stimulované účinkem činnosti, životním stylem a demografií v tomto období. Nicméně význam různých faktorů a jejich rozsah není stejný z důvodu rozdílů v metodice a vstupních údajích. Nižší spotřeba primární energie byla způsobena zejména poklesem konečné spotřeby energie (–85 Mtoe), avšak poměrně významnou úlohu hrálo rovněž zlepšení účinnosti a změny ve skladbě paliv při výrobě energie (–75 Mtoe). Pokud jde o konečnou spotřebu energie, účinek činnosti vedl ke zvýšení o 58 Mtoe, zatímco životní styl a demografie se podílely dalšími 32 Mtoe, resp. 25 Mtoe. Toto zvýšení bylo vyváženo mnohem vyššími úsporami energie mezi roky 2005 a 2016 (–163 Mtoe) a strukturální změna a počasí vedly k dalšímu snížení o 11 Mtoe na každý z těchto faktorů.</w:t>
      </w:r>
    </w:p>
    <w:p>
      <w:pPr>
        <w:pStyle w:val="Heading2"/>
        <w:rPr>
          <w:noProof/>
        </w:rPr>
      </w:pPr>
      <w:bookmarkStart w:id="21" w:name="_Toc430878883"/>
      <w:bookmarkStart w:id="22" w:name="_Toc430878926"/>
      <w:bookmarkStart w:id="23" w:name="_Toc430878884"/>
      <w:bookmarkStart w:id="24" w:name="_Toc430878927"/>
      <w:bookmarkStart w:id="25" w:name="_Toc430878885"/>
      <w:bookmarkStart w:id="26" w:name="_Toc430878928"/>
      <w:bookmarkStart w:id="27" w:name="_Toc429074888"/>
      <w:bookmarkStart w:id="28" w:name="_Toc429127294"/>
      <w:bookmarkStart w:id="29" w:name="_Toc430878887"/>
      <w:bookmarkStart w:id="30" w:name="_Toc430878930"/>
      <w:bookmarkStart w:id="31" w:name="_Toc430878888"/>
      <w:bookmarkStart w:id="32" w:name="_Toc430878931"/>
      <w:bookmarkStart w:id="33" w:name="_Toc430878889"/>
      <w:bookmarkStart w:id="34" w:name="_Toc430878932"/>
      <w:bookmarkStart w:id="35" w:name="_Toc430878890"/>
      <w:bookmarkStart w:id="36" w:name="_Toc430878933"/>
      <w:bookmarkStart w:id="37" w:name="_Toc430878891"/>
      <w:bookmarkStart w:id="38" w:name="_Toc430878934"/>
      <w:bookmarkStart w:id="39" w:name="_Toc429074891"/>
      <w:bookmarkStart w:id="40" w:name="_Toc429127297"/>
      <w:bookmarkStart w:id="41" w:name="_Toc416447014"/>
      <w:bookmarkStart w:id="42" w:name="_Toc424032366"/>
      <w:bookmarkStart w:id="43" w:name="_Toc49367947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noProof/>
        </w:rPr>
        <w:t>Průmysl</w:t>
      </w:r>
      <w:bookmarkEnd w:id="41"/>
      <w:bookmarkEnd w:id="42"/>
      <w:bookmarkEnd w:id="43"/>
    </w:p>
    <w:p>
      <w:pPr>
        <w:rPr>
          <w:rFonts w:eastAsia="Calibri"/>
          <w:noProof/>
        </w:rPr>
      </w:pPr>
      <w:r>
        <w:rPr>
          <w:noProof/>
        </w:rPr>
        <w:t xml:space="preserve">Konečná spotřeba energie v průmyslu v EU se v absolutních hodnotách snížila z 332 Mtoe v roce 2005 na 283 Mtoe v roce 2017 (–15 %). V některých státech však spotřeba energie v průmyslu během tohoto období vzrostla, konkrétně v Maďarsku (+25 %), na Maltě (+9 %), v Lotyšsku (+7 %), v Rakousku (+7 %), v Belgii, v Německu a v Polsku (každý o méně než 5 %). V porovnání s předchozím rokem se konečná spotřeba energie v EU v roce 2017 zvýšila o 1,6 %, avšak vývoj v jednotlivých členských státech se lišil (jedenáct členských států zaznamenalo pokles). Státy s největším nárůstem byly Lucembursko, Polsko, Dánsko (přibližně o +4 %), Finsko a Belgie (+3 %). Objem průmyslové výroby vzrostl mezi lety 2014 a 2017 o 9 % (v roce 2017 meziročně o 3,4 %), ale tento nárůst činnosti se odrazil jen částečně ve změnách spotřeby energie, která ve stejném období vzrostla o 2 %.  </w:t>
      </w:r>
    </w:p>
    <w:p>
      <w:pPr>
        <w:rPr>
          <w:rFonts w:eastAsia="Calibri"/>
          <w:noProof/>
        </w:rPr>
      </w:pPr>
      <w:r>
        <w:rPr>
          <w:noProof/>
        </w:rPr>
        <w:t>Pokud jde o energetickou náročnost</w:t>
      </w:r>
      <w:r>
        <w:rPr>
          <w:rStyle w:val="FootnoteReference"/>
          <w:noProof/>
        </w:rPr>
        <w:footnoteReference w:id="24"/>
      </w:r>
      <w:r>
        <w:rPr>
          <w:noProof/>
        </w:rPr>
        <w:t>, téměř všem členským státům se podařilo mezi lety 2005 a 2017 zlepšit výsledky svého průmyslu, což vedlo k celkovému snížení energetické náročnosti v EU o 22 %. Pouze Maďarsko (+24 %), Řecko (+17 %) a Lotyšsko (+9 %) zvýšily svou konečnou spotřebu energie jako podíl hrubé přidané hodnoty (HPH) svého průmyslového odvětví. Největší zlepšení zaznamenaly naopak Rumunsko, Estonsko, Bulharsko a Irsko (více než 50 %). Pokud jde o roční vývoj ve srovnání s rokem 2016, pouze Řecko, Lotyšsko, Maďarsko a Kypr zaznamenaly v roce 2017 zvýšení energetické náročnosti průmyslu, zatímco všechny ostatní členské státy i nadále zlepšovaly výkonnost svého průmyslu.</w:t>
      </w:r>
    </w:p>
    <w:p>
      <w:pPr>
        <w:pStyle w:val="Heading2"/>
        <w:rPr>
          <w:noProof/>
        </w:rPr>
      </w:pPr>
      <w:bookmarkStart w:id="44" w:name="_Toc416447015"/>
      <w:bookmarkStart w:id="45" w:name="_Toc424032367"/>
      <w:bookmarkStart w:id="46" w:name="_Ref469334616"/>
      <w:bookmarkStart w:id="47" w:name="_Toc493679478"/>
      <w:r>
        <w:rPr>
          <w:noProof/>
        </w:rPr>
        <w:t>Domácnosti</w:t>
      </w:r>
      <w:bookmarkEnd w:id="44"/>
      <w:bookmarkEnd w:id="45"/>
      <w:bookmarkEnd w:id="46"/>
      <w:bookmarkEnd w:id="47"/>
    </w:p>
    <w:p>
      <w:pPr>
        <w:pStyle w:val="Text1"/>
        <w:ind w:left="0"/>
        <w:rPr>
          <w:noProof/>
        </w:rPr>
      </w:pPr>
      <w:r>
        <w:rPr>
          <w:noProof/>
        </w:rPr>
        <w:t>Konečná spotřeba energie v sektoru domácností se snížila o zhruba 9 % z 310 Mtoe v roce 2005 na 284 Mtoe v roce 2017. V letech 2014 až 2017 však spotřeba energie vzrostla o 7 % (v roce 2017 došlo k poklesu o –0,5 %). Tento nárůst byl do jisté míry důsledkem chladnějšího zimního počasí po mimořádně teplé zimě v roce 2014, když uvážíme, že spotřeba energie pro vytápění představuje přibližně 2/3 spotřeby energie domácností. Spotřeba tepelné energie pro vytápění opravená o vlivy počasí byla od roku 2010 po určitém snížení v předchozích letech víceméně neměnná. V roce 2017 byl počet vytápěcích denostupňů jen mírně vyšší než v roce 2016 a spotřeba energie meziročně dokonce klesla o 0,5 %. Ačkoli podíl chlazení prostor na spotřebě energie je stále spíše omezený, v některých státech rychle rostl, přičemž ve srovnání s rokem 2014 se téměř zdvojnásobil počet chladicích denostupňů</w:t>
      </w:r>
      <w:r>
        <w:rPr>
          <w:rStyle w:val="FootnoteReference"/>
          <w:noProof/>
        </w:rPr>
        <w:footnoteReference w:id="25"/>
      </w:r>
      <w:r>
        <w:rPr>
          <w:noProof/>
        </w:rPr>
        <w:t>.</w:t>
      </w:r>
    </w:p>
    <w:p>
      <w:pPr>
        <w:pStyle w:val="Text1"/>
        <w:ind w:left="0"/>
        <w:rPr>
          <w:noProof/>
        </w:rPr>
      </w:pPr>
      <w:r>
        <w:rPr>
          <w:noProof/>
        </w:rPr>
        <w:t>Zdá se, že vliv bohatství (které se mimo jiné odráží ve vyšším počtu obydlí a větší průměrné obytné podlahové ploše) a změny životního stylu (například rostoucí penetrace nových malých spotřebičů) by mohly být dalšími faktory, které stojí za nedávným zvýšením spotřeby energie. V případě veřejných budov byla jako jeden z faktorů přispívajících k trendu rostoucí spotřeby energie uvedena vyšší míra energetického pohodlí</w:t>
      </w:r>
      <w:r>
        <w:rPr>
          <w:rStyle w:val="FootnoteReference"/>
          <w:noProof/>
        </w:rPr>
        <w:footnoteReference w:id="26"/>
      </w:r>
      <w:r>
        <w:rPr>
          <w:noProof/>
        </w:rPr>
        <w:t>.</w:t>
      </w:r>
    </w:p>
    <w:p>
      <w:pPr>
        <w:pStyle w:val="Text1"/>
        <w:ind w:left="0"/>
        <w:rPr>
          <w:noProof/>
        </w:rPr>
      </w:pPr>
      <w:r>
        <w:rPr>
          <w:noProof/>
        </w:rPr>
        <w:t>Energetická náročnost sektoru domácností, pokud jde o spotřebu energie na obyvatele, se v období 2005–2017 v EU snížila zhruba o 12 % (ve srovnání s rokem 2016 se v roce 2017 snížila rovněž téměř o 1 %). Vývoj v jednotlivých členských státech však nebyl stejný. V sedmi státech se energetická náročnost zhoršila, přičemž největší nárůst byl zaznamenán v Bulharsku (+20 %), Litvě (+14 %) a na Maltě (+8 %). Naopak Belgie (–26 %), Irsko (–25 %) a Spojené království (–23 %) dokázaly dosáhnout největšího snížení své energetické náročnosti.</w:t>
      </w:r>
    </w:p>
    <w:p>
      <w:pPr>
        <w:pStyle w:val="Heading2"/>
        <w:rPr>
          <w:noProof/>
        </w:rPr>
      </w:pPr>
      <w:bookmarkStart w:id="48" w:name="_Toc429074894"/>
      <w:bookmarkStart w:id="49" w:name="_Toc429127300"/>
      <w:bookmarkStart w:id="50" w:name="_Toc429074895"/>
      <w:bookmarkStart w:id="51" w:name="_Toc429127301"/>
      <w:bookmarkStart w:id="52" w:name="_Toc416447017"/>
      <w:bookmarkStart w:id="53" w:name="_Toc424032369"/>
      <w:bookmarkStart w:id="54" w:name="_Ref469334625"/>
      <w:bookmarkStart w:id="55" w:name="_Toc493679479"/>
      <w:bookmarkEnd w:id="48"/>
      <w:bookmarkEnd w:id="49"/>
      <w:bookmarkEnd w:id="50"/>
      <w:bookmarkEnd w:id="51"/>
      <w:r>
        <w:rPr>
          <w:noProof/>
        </w:rPr>
        <w:t>Odvětví služeb</w:t>
      </w:r>
      <w:bookmarkEnd w:id="52"/>
      <w:bookmarkEnd w:id="53"/>
      <w:bookmarkEnd w:id="54"/>
      <w:bookmarkEnd w:id="55"/>
    </w:p>
    <w:p>
      <w:pPr>
        <w:pStyle w:val="Text1"/>
        <w:ind w:left="0"/>
        <w:rPr>
          <w:noProof/>
          <w:szCs w:val="24"/>
          <w:highlight w:val="yellow"/>
        </w:rPr>
      </w:pPr>
      <w:r>
        <w:rPr>
          <w:noProof/>
        </w:rPr>
        <w:t>Odvětví služeb zaznamenalo nejvyšší nárůst spotřeby energie od roku 2005 do roku 2017 (+4 %). V tomto nárůstu se do jisté míry odrazil vysoký růst úrovně činnosti – hrubá přidaná hodnota odvětví služeb vzrostla mezi lety 2005 a 2017 přibližně o 19 %. V odvětví služeb je zřetelnější vztah mezi rostoucí zaměstnaností a spotřebou energie, jelikož spotřeba energie rostla v období poměrně silného růstu zaměstnanosti do roku 2008 a opět v období od roku 2014. Odhadem 45 % spotřeby energie v odvětví služeb nadto připadá na vytápění prostor, takže významný meziroční dopad na celkovou spotřebu v odvětví služeb mají i zimní teploty.</w:t>
      </w:r>
    </w:p>
    <w:p>
      <w:pPr>
        <w:pStyle w:val="Text1"/>
        <w:ind w:left="0"/>
        <w:rPr>
          <w:noProof/>
        </w:rPr>
      </w:pPr>
      <w:r>
        <w:rPr>
          <w:noProof/>
        </w:rPr>
        <w:t>Konečná energetická náročnost v odvětví služeb se v období 2005-2017 snížila o 13 %. Nejvýraznějších zlepšení se podařilo dosáhnout v Irsku, Maďarsku, na Slovensku, v Rakousku a ve Švédsku. V porovnání s rokem 2016 se energetická náročnost v EU v roce 2017 dále zlepšovala; spotřeba energie zůstala stabilní, zatímco hrubá přidaná hodnota odvětví se zvýšila přibližně o 2 %.</w:t>
      </w:r>
    </w:p>
    <w:p>
      <w:pPr>
        <w:pStyle w:val="Heading2"/>
        <w:rPr>
          <w:noProof/>
        </w:rPr>
      </w:pPr>
      <w:bookmarkStart w:id="56" w:name="_Toc429074897"/>
      <w:bookmarkStart w:id="57" w:name="_Toc429127303"/>
      <w:bookmarkStart w:id="58" w:name="_Toc429074898"/>
      <w:bookmarkStart w:id="59" w:name="_Toc429127304"/>
      <w:bookmarkStart w:id="60" w:name="_Toc429074899"/>
      <w:bookmarkStart w:id="61" w:name="_Toc429127305"/>
      <w:bookmarkStart w:id="62" w:name="_Toc429074900"/>
      <w:bookmarkStart w:id="63" w:name="_Toc429127306"/>
      <w:bookmarkStart w:id="64" w:name="_Toc429074901"/>
      <w:bookmarkStart w:id="65" w:name="_Toc429127307"/>
      <w:bookmarkStart w:id="66" w:name="_Toc429074902"/>
      <w:bookmarkStart w:id="67" w:name="_Toc429127308"/>
      <w:bookmarkStart w:id="68" w:name="_Toc429074903"/>
      <w:bookmarkStart w:id="69" w:name="_Toc429127309"/>
      <w:bookmarkStart w:id="70" w:name="_Toc416447016"/>
      <w:bookmarkStart w:id="71" w:name="_Toc424032368"/>
      <w:bookmarkStart w:id="72" w:name="_Toc49367948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rPr>
          <w:noProof/>
        </w:rPr>
        <w:t>Odvětví</w:t>
      </w:r>
      <w:bookmarkEnd w:id="70"/>
      <w:bookmarkEnd w:id="71"/>
      <w:r>
        <w:rPr>
          <w:noProof/>
        </w:rPr>
        <w:t xml:space="preserve"> dopravy</w:t>
      </w:r>
      <w:bookmarkEnd w:id="72"/>
    </w:p>
    <w:p>
      <w:pPr>
        <w:rPr>
          <w:rFonts w:eastAsia="Calibri"/>
          <w:noProof/>
        </w:rPr>
      </w:pPr>
      <w:r>
        <w:rPr>
          <w:noProof/>
        </w:rPr>
        <w:t>Konečná spotřeba energie v EU v dopravě</w:t>
      </w:r>
      <w:r>
        <w:rPr>
          <w:rStyle w:val="FootnoteReference"/>
          <w:noProof/>
        </w:rPr>
        <w:footnoteReference w:id="27"/>
      </w:r>
      <w:r>
        <w:rPr>
          <w:noProof/>
        </w:rPr>
        <w:t xml:space="preserve"> se zvýšila o 2,5 % z 369 Mtoe v roce 2005 na 378 Mtoe v roce 2017. Devatenáct členských států zvýšilo v roce 2017 svou spotřebu energie v tomto odvětví ve srovnání s úrovněmi roku 2005</w:t>
      </w:r>
      <w:r>
        <w:rPr>
          <w:rStyle w:val="FootnoteReference"/>
          <w:noProof/>
        </w:rPr>
        <w:footnoteReference w:id="28"/>
      </w:r>
      <w:r>
        <w:rPr>
          <w:noProof/>
        </w:rPr>
        <w:t>. Spotřeba se významně zvýšila (o více než 40 % od roku 2005) v Polsku, Rumunsku, v Litvě a na Maltě. Naopak v Řecku a Itálii klesla o více než 10 %.</w:t>
      </w:r>
    </w:p>
    <w:p>
      <w:pPr>
        <w:rPr>
          <w:rFonts w:eastAsia="Calibri"/>
          <w:noProof/>
        </w:rPr>
      </w:pPr>
      <w:r>
        <w:rPr>
          <w:noProof/>
        </w:rPr>
        <w:t>Konečná spotřeba energie v EU v dopravě vzrostla od roku 2016 do roku 2017 o 2,5 %, přičemž nárůst ohlásily všechny členské státy s výjimkou tří</w:t>
      </w:r>
      <w:r>
        <w:rPr>
          <w:rStyle w:val="FootnoteReference"/>
          <w:noProof/>
        </w:rPr>
        <w:footnoteReference w:id="29"/>
      </w:r>
      <w:r>
        <w:rPr>
          <w:noProof/>
        </w:rPr>
        <w:t>. Toto zvýšení je pokračováním vývoje od roku 2014: spotřeba energie v dopravě vzrostla mezi lety 2014 a 2017 o 7 %. Přibližně 81 % konečné spotřeby energie v dopravě připadá na silniční dopravu, přičemž ropné produkty (benzín a nafta) jsou v tomto odvětví zdaleka nejvíce používanými nosiči energie. Stále roste podíl letecké dopravy na celkové spotřebě energie v dopravě, ve stejném období se jednalo o nárůst o 14 %. Mezi státy s největším meziročním nárůstem patří Polsko (+16 %), Slovensko (+13 %), Chorvatsko, Malta a Rumunsko (každý +8 %).</w:t>
      </w:r>
    </w:p>
    <w:p>
      <w:pPr>
        <w:rPr>
          <w:noProof/>
        </w:rPr>
      </w:pPr>
      <w:r>
        <w:rPr>
          <w:noProof/>
        </w:rPr>
        <w:t>Hlavní příčinou zvyšující se spotřeby energie byl růst dopravní činnosti a nízké ceny ropy během uvedeného období. V letech 2012 až 2016 se přeprava cestujících po třech letech poklesu zvýšila o 8,3 %. Zvýšení o 3,2 % v roce 2016 bylo nejrychlejší tempo růstu za posledních dvacet let. Nákladní doprava se od roku 2012 rovněž zvýšila, a to o 7,9 % do roku 2016. I přes tento vzestupný trend je počet přepravených tunokilometrů stále o 2,4 % nižší ve srovnání s maximem v roce 2007. K vyšší poptávce po energii v odvětví dopravy nadto dále přispěla kongesce, a to zejména ve velkých městech.</w:t>
      </w:r>
    </w:p>
    <w:p>
      <w:pPr>
        <w:rPr>
          <w:noProof/>
        </w:rPr>
      </w:pPr>
      <w:r>
        <w:rPr>
          <w:noProof/>
        </w:rPr>
        <w:t xml:space="preserve">Mezi hospodářským růstem a poptávkou po komerční silniční nákladní dopravě existuje silná korelace, zatímco vztah mezi růstem HDP a přepravou cestujících je složitější a je ovlivněn mnoha faktory. Rovněž se uvádí, že relativně nižší ceny paliv zvýšily tlak na poptávku po pohonných hmotách a měnící se makroekonomické prostředí ovlivnilo vztah mezi cenami paliv a poptávkou po dopravě v EU v období od roku 2000. Pokud jde o přechod na jiný druh dopravy na úrovni EU, změny v podílech různých druhů přepravy cestujících, k nimž došlo za posledních několik let, neměly na spotřebu energie významný dopad. Pokračující nárůst cestování letadlem však vyvíjí určitý tlak směrem k vyšší spotřebě. V nákladní dopravě zůstávají podíly různých druhů dopravy v průběhu času víceméně konstantní. </w:t>
      </w:r>
    </w:p>
    <w:p>
      <w:pPr>
        <w:rPr>
          <w:noProof/>
        </w:rPr>
      </w:pPr>
      <w:r>
        <w:rPr>
          <w:noProof/>
        </w:rPr>
        <w:t>Efektivnost segmentu lehkých osobních vozidel se v průběhu času zlepšuje a zvyšující se počet nových registrací pomohl zlepšit spotřebu paliva celého vozového parku. V posledních letech byl však zaznamenán obzvláště vysoký nárůst počtu registrací v segmentu sportovně užitkových vozidel (SUV). V porovnání s jinými typy vozidel mají SUV charakteristiky, jako jsou velké čelní plochy a vysoké koeficienty odporu, které mají negativní dopad na spotřebu paliva. Podle společnosti JATO</w:t>
      </w:r>
      <w:r>
        <w:rPr>
          <w:rStyle w:val="FootnoteReference"/>
          <w:noProof/>
        </w:rPr>
        <w:footnoteReference w:id="30"/>
      </w:r>
      <w:r>
        <w:rPr>
          <w:noProof/>
        </w:rPr>
        <w:t xml:space="preserve"> připadalo v Evropě v roce 2016 na vozidla SUV 26 % celkového prodeje osobních automobilů, oproti 8 % v roce 2007.</w:t>
      </w:r>
      <w:r>
        <w:rPr>
          <w:noProof/>
          <w:color w:val="000000"/>
        </w:rPr>
        <w:t xml:space="preserve"> Podle LMC</w:t>
      </w:r>
      <w:r>
        <w:rPr>
          <w:rStyle w:val="FootnoteReference"/>
          <w:noProof/>
          <w:color w:val="000000"/>
        </w:rPr>
        <w:footnoteReference w:id="31"/>
      </w:r>
      <w:r>
        <w:rPr>
          <w:noProof/>
          <w:color w:val="000000"/>
        </w:rPr>
        <w:t xml:space="preserve"> se navíc očekává, že tento silný vzestupný trend bude pokračovat a podíl SUV na celkovém evropském prodeji osobních automobilů v roce 2020 dosáhne 34 %.</w:t>
      </w:r>
    </w:p>
    <w:p>
      <w:pPr>
        <w:pStyle w:val="Heading1"/>
        <w:numPr>
          <w:ilvl w:val="0"/>
          <w:numId w:val="31"/>
        </w:numPr>
        <w:spacing w:after="120" w:afterAutospacing="0"/>
        <w:rPr>
          <w:rFonts w:eastAsia="Calibri"/>
          <w:noProof/>
        </w:rPr>
      </w:pPr>
      <w:bookmarkStart w:id="73" w:name="_Toc432184214"/>
      <w:bookmarkStart w:id="74" w:name="_Toc430878897"/>
      <w:bookmarkStart w:id="75" w:name="_Toc430878940"/>
      <w:bookmarkStart w:id="76" w:name="_Toc431237775"/>
      <w:bookmarkStart w:id="77" w:name="_Toc429074905"/>
      <w:bookmarkStart w:id="78" w:name="_Toc429127311"/>
      <w:bookmarkStart w:id="79" w:name="_Toc429074906"/>
      <w:bookmarkStart w:id="80" w:name="_Toc429127312"/>
      <w:bookmarkStart w:id="81" w:name="_Toc429074907"/>
      <w:bookmarkStart w:id="82" w:name="_Toc429127313"/>
      <w:bookmarkStart w:id="83" w:name="_Toc429074908"/>
      <w:bookmarkStart w:id="84" w:name="_Toc429127314"/>
      <w:bookmarkStart w:id="85" w:name="_Toc429074909"/>
      <w:bookmarkStart w:id="86" w:name="_Toc429127315"/>
      <w:bookmarkStart w:id="87" w:name="_Toc429074910"/>
      <w:bookmarkStart w:id="88" w:name="_Toc429127316"/>
      <w:bookmarkStart w:id="89" w:name="_Toc429074911"/>
      <w:bookmarkStart w:id="90" w:name="_Toc429127317"/>
      <w:bookmarkStart w:id="91" w:name="_Toc429074912"/>
      <w:bookmarkStart w:id="92" w:name="_Toc429127318"/>
      <w:bookmarkStart w:id="93" w:name="_Toc433987954"/>
      <w:bookmarkStart w:id="94" w:name="_Toc433987993"/>
      <w:bookmarkStart w:id="95" w:name="_Toc433988263"/>
      <w:bookmarkStart w:id="96" w:name="_Toc433882706"/>
      <w:bookmarkStart w:id="97" w:name="_Toc433987955"/>
      <w:bookmarkStart w:id="98" w:name="_Toc433987994"/>
      <w:bookmarkStart w:id="99" w:name="_Toc433988264"/>
      <w:bookmarkStart w:id="100" w:name="_Toc493679483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>
        <w:rPr>
          <w:noProof/>
        </w:rPr>
        <w:t>Stav provádění směrnice o energetické účinnosti</w:t>
      </w:r>
      <w:bookmarkEnd w:id="100"/>
    </w:p>
    <w:p>
      <w:pPr>
        <w:pStyle w:val="Text1"/>
        <w:ind w:left="0"/>
        <w:rPr>
          <w:noProof/>
        </w:rPr>
      </w:pPr>
      <w:bookmarkStart w:id="101" w:name="_Toc432184217"/>
      <w:bookmarkStart w:id="102" w:name="_Toc430878899"/>
      <w:bookmarkStart w:id="103" w:name="_Toc430878942"/>
      <w:bookmarkStart w:id="104" w:name="_Toc431237777"/>
      <w:bookmarkStart w:id="105" w:name="_Toc430878900"/>
      <w:bookmarkStart w:id="106" w:name="_Toc430878943"/>
      <w:bookmarkStart w:id="107" w:name="_Toc431237778"/>
      <w:bookmarkStart w:id="108" w:name="_Toc430878901"/>
      <w:bookmarkStart w:id="109" w:name="_Toc430878944"/>
      <w:bookmarkStart w:id="110" w:name="_Toc431237779"/>
      <w:bookmarkStart w:id="111" w:name="_Toc430878902"/>
      <w:bookmarkStart w:id="112" w:name="_Toc430878945"/>
      <w:bookmarkStart w:id="113" w:name="_Toc431237780"/>
      <w:bookmarkStart w:id="114" w:name="_Toc430878903"/>
      <w:bookmarkStart w:id="115" w:name="_Toc430878946"/>
      <w:bookmarkStart w:id="116" w:name="_Toc431237781"/>
      <w:bookmarkStart w:id="117" w:name="_Toc430878904"/>
      <w:bookmarkStart w:id="118" w:name="_Toc430878947"/>
      <w:bookmarkStart w:id="119" w:name="_Toc431237782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>
        <w:rPr>
          <w:noProof/>
        </w:rPr>
        <w:t xml:space="preserve">Komise v úzké spolupráci s členskými státy i nadále sleduje provedení směrnice o energetické účinnosti ve vnitrostátním právu a její provádění. </w:t>
      </w:r>
    </w:p>
    <w:p>
      <w:pPr>
        <w:pStyle w:val="Text1"/>
        <w:ind w:left="0"/>
        <w:rPr>
          <w:noProof/>
        </w:rPr>
      </w:pPr>
      <w:r>
        <w:rPr>
          <w:noProof/>
        </w:rPr>
        <w:t>V roce 2018 Komise pokračovala ve strukturovaném dialogu (žádosti o informace prostřednictvím systému EU Pilot) zahájeném s členskými státy v předchozím roce s cílem zajistit, aby se všechny povinnosti a požadavky podle směrnice o energetické účinnosti správně odrážely ve vnitrostátních právních předpisech a politice. V návaznosti na posouzení odpovědí v rámci projektu EU Pilot zaslala Komise všem členským státům výzvy k dalšímu objasnění zbývajících nevyřešených otázek.</w:t>
      </w:r>
    </w:p>
    <w:p>
      <w:pPr>
        <w:pStyle w:val="Text1"/>
        <w:ind w:left="0"/>
        <w:rPr>
          <w:noProof/>
          <w:szCs w:val="20"/>
        </w:rPr>
      </w:pPr>
      <w:r>
        <w:rPr>
          <w:noProof/>
        </w:rPr>
        <w:t>Pokud jde o povinnost podávat Komisi zprávy, byly, byť v několika případech s velkým zpožděním, předloženy všechny vnitrostátní akční plány energetické účinnosti, které měly být odevzdány do konce dubna 2017. Celkem deset členských států zahrnulo do svých vnitrostátních akčních plánů energetické účinnosti z roku 2017 aktualizace svých cílů nebo odhadů pro rok 2020. Tyto revidované cíle naznačovaly nárůst rozdílu mezi souhrnnými očekávanými příspěvky a cílem EU. Vnitrostátní akční plány energetické účinnosti obsahují podrobné informace o politikách a opatřeních v oblasti energetické účinnosti plánovaných členskými státy pro následující tři roky s cílem dosáhnout jejich vnitrostátních cílů energetické účinnosti. Ve zprávě JRC</w:t>
      </w:r>
      <w:r>
        <w:rPr>
          <w:rStyle w:val="FootnoteReference"/>
          <w:noProof/>
        </w:rPr>
        <w:footnoteReference w:id="32"/>
      </w:r>
      <w:r>
        <w:rPr>
          <w:noProof/>
        </w:rPr>
        <w:t xml:space="preserve"> byl předložen přehled a posouzení nových opatření a používání různých nástrojů (regulačních, finančních, daňových, jakož i systémů povinného zvyšování energetické účinnosti). Uvedená zpráva rovněž analyzuje provádění opatření v oblasti energetické účinnosti v různých odvětvích (domácnosti, průmysl, doprava, zemědělství a veřejný sektor) a posuzuje úspory energie, jichž se má dosáhnout prostřednictvím hlavních politických iniciativ a programů.</w:t>
      </w:r>
    </w:p>
    <w:p>
      <w:pPr>
        <w:pStyle w:val="Text1"/>
        <w:ind w:left="0"/>
        <w:rPr>
          <w:noProof/>
        </w:rPr>
      </w:pPr>
      <w:r>
        <w:rPr>
          <w:noProof/>
        </w:rPr>
        <w:t>Všechny výroční zprávy členských států za rok 2018 byly předloženy v průběhu roku 2018, jak se požaduje v článku 24 směrnice o energetické účinnosti. Stále je však možné zlepšit nejen harmonogram předkládání, ale i kvalitu a úplnost poskytovaných informací. Společné výzkumné středisko provedlo analýzu těchto výročních zpráv v roce 2018</w:t>
      </w:r>
      <w:r>
        <w:rPr>
          <w:rStyle w:val="FootnoteReference"/>
          <w:noProof/>
        </w:rPr>
        <w:footnoteReference w:id="33"/>
      </w:r>
      <w:r>
        <w:rPr>
          <w:noProof/>
        </w:rPr>
        <w:t>.</w:t>
      </w:r>
    </w:p>
    <w:p>
      <w:pPr>
        <w:pStyle w:val="Heading2"/>
        <w:rPr>
          <w:noProof/>
        </w:rPr>
      </w:pPr>
      <w:r>
        <w:rPr>
          <w:noProof/>
        </w:rPr>
        <w:t>Pokrok podle článku 7 (závazek v oblasti úspor energie)</w:t>
      </w:r>
    </w:p>
    <w:p>
      <w:pPr>
        <w:pStyle w:val="Text1"/>
        <w:ind w:left="0"/>
        <w:rPr>
          <w:noProof/>
        </w:rPr>
      </w:pPr>
      <w:r>
        <w:rPr>
          <w:noProof/>
        </w:rPr>
        <w:t>Podle článku 7 vykázaly členské státy v období 2014–2016 úspory; na úrovni EU se jednalo o celkem 54 547 ktoe. To je přibližně 24 % součtu všech kumulativních úspor energie požadovaných ke konci roku 2020 a přibližně o 10 % více než odhadovaný objem úspor pro období 2014–2016 za předpokladu, že dojde k lineárnímu plnění požadavků na úspory. Přestože součet úspor energie na úrovni EU ukazuje za rok 2016 vyšší míru úspor, měl by být pokrok podle článku 7 posouzen na vnitrostátní úrovni: každý členský stát by měl do konce roku 2020 dosáhnout svých požadavků na úspory energie.</w:t>
      </w:r>
    </w:p>
    <w:p>
      <w:pPr>
        <w:pStyle w:val="Text1"/>
        <w:ind w:left="0"/>
        <w:rPr>
          <w:noProof/>
        </w:rPr>
      </w:pPr>
      <w:r>
        <w:rPr>
          <w:noProof/>
        </w:rPr>
        <w:t>Analýza ukazuje, že několik členských států zaostává, pokud jde o dosažené úspory v roce 2016: Bulharsko, Chorvatsko, Kypr, Česká republika, Řecko, Lotyšsko, Lucembursko a Portugalsko dosáhly v roce 2016 méně než 60 % požadovaných úspor. Francie, Maďarsko, Itálie, Litva a Španělsko dosáhly více než 80 %, stále však nedosahují úrovně požadované pro rok 2016. Na druhé straně Belgie, Dánsko, Estonsko, Finsko, Irsko, Malta, Německo, Nizozemsko, Polsko, Rumunsko, Rakousko, Slovensko, Slovinsko, Spojené království a Švédsko požadavky plní nebo dosahují ještě lepších úspor energie, než se v období 2014–2016 požaduje.</w:t>
      </w:r>
    </w:p>
    <w:p>
      <w:pPr>
        <w:pStyle w:val="Text1"/>
        <w:ind w:left="0"/>
        <w:rPr>
          <w:noProof/>
        </w:rPr>
      </w:pPr>
      <w:r>
        <w:rPr>
          <w:noProof/>
        </w:rPr>
        <w:t>Ve své poslední výroční zprávě devět států</w:t>
      </w:r>
      <w:r>
        <w:rPr>
          <w:rStyle w:val="FootnoteReference"/>
          <w:noProof/>
        </w:rPr>
        <w:footnoteReference w:id="34"/>
      </w:r>
      <w:r>
        <w:rPr>
          <w:noProof/>
        </w:rPr>
        <w:t xml:space="preserve"> sdělilo, že zavedly nová politická opatření. Kromě toho některé státy aktualizovaly své odhady očekávaných/realizovaných úspor pro roky 2014 a 2015, které jsou výsledkem dříve sdělených politických opatření.</w:t>
      </w:r>
    </w:p>
    <w:p>
      <w:pPr>
        <w:pStyle w:val="Text1"/>
        <w:ind w:left="0"/>
        <w:rPr>
          <w:noProof/>
        </w:rPr>
      </w:pPr>
      <w:r>
        <w:rPr>
          <w:noProof/>
        </w:rPr>
        <w:t>Většiny (přibližně jedné třetiny) úspor energie bylo dosaženo prostřednictvím systémů povinného zvyšování energetické účinnosti, 23 % díky daním z energie nebo emisí CO</w:t>
      </w:r>
      <w:r>
        <w:rPr>
          <w:noProof/>
          <w:vertAlign w:val="subscript"/>
        </w:rPr>
        <w:t>2</w:t>
      </w:r>
      <w:r>
        <w:rPr>
          <w:noProof/>
        </w:rPr>
        <w:t xml:space="preserve"> a 18 % díky režimům financování nebo daňovým opatřením. Systémy označování energetickými štítky a vnitrostátní fondy se zasloužily pouze o malý podíl úspor energie.</w:t>
      </w:r>
    </w:p>
    <w:p>
      <w:pPr>
        <w:pStyle w:val="Caption"/>
        <w:keepNext/>
        <w:keepLines/>
        <w:rPr>
          <w:rFonts w:eastAsia="Calibri"/>
          <w:b w:val="0"/>
          <w:i/>
          <w:iCs/>
          <w:noProof/>
          <w:sz w:val="24"/>
          <w:szCs w:val="22"/>
        </w:rPr>
      </w:pPr>
      <w:bookmarkStart w:id="120" w:name="_Ref528148189"/>
      <w:r>
        <w:rPr>
          <w:noProof/>
          <w:sz w:val="24"/>
        </w:rPr>
        <w:t>Graf 5. Členění kumulativních úspor energie v období 2014–2016 podle typu politického opatření</w:t>
      </w:r>
    </w:p>
    <w:bookmarkEnd w:id="120"/>
    <w:p>
      <w:pPr>
        <w:pStyle w:val="BasistekstCEDelft"/>
        <w:jc w:val="center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4499991" cy="3908932"/>
            <wp:effectExtent l="0" t="0" r="15240" b="158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>
      <w:pPr>
        <w:pStyle w:val="BasistekstCEDelft"/>
        <w:jc w:val="both"/>
        <w:rPr>
          <w:rFonts w:ascii="Times New Roman" w:hAnsi="Times New Roman" w:cs="Times New Roman"/>
          <w:i/>
          <w:noProof/>
          <w:sz w:val="22"/>
        </w:rPr>
      </w:pPr>
      <w:r>
        <w:rPr>
          <w:rFonts w:ascii="Times New Roman" w:hAnsi="Times New Roman"/>
          <w:i/>
          <w:noProof/>
          <w:sz w:val="22"/>
        </w:rPr>
        <w:t>Zdroj: Vlastní výpočty na základě výročních zpráv členských států za rok 2018</w:t>
      </w:r>
    </w:p>
    <w:p>
      <w:pPr>
        <w:pStyle w:val="BasistekstCEDelft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</w:p>
    <w:p>
      <w:pPr>
        <w:pStyle w:val="BasistekstCEDelft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</w:rPr>
        <w:t>Více než dvou třetin dosažených úspor (68 %) se podařilo dosáhnout díky průřezovým opatřením zaměřeným na různá odvětví, včetně budov. Zbývající úspory energie byly dosaženy díky opatřením zaměřeným na domácnosti (12 %) a dopravu (9 %), dále pak na průmysl (6 %) a odvětví služeb (2 %). U 3 % vykázaných úspor bylo odvětví nejasné.</w:t>
      </w:r>
    </w:p>
    <w:p>
      <w:pPr>
        <w:pStyle w:val="Heading2"/>
        <w:rPr>
          <w:noProof/>
        </w:rPr>
      </w:pPr>
      <w:r>
        <w:rPr>
          <w:noProof/>
        </w:rPr>
        <w:t>Pokrok podle článku 5 (příkladná úloha budov veřejných subjektů)</w:t>
      </w:r>
    </w:p>
    <w:p>
      <w:pPr>
        <w:pStyle w:val="JRCText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Při předkládání svých výročních zpráv za rok 2018 nedodalo sedm členských států požadovanou aktualizaci týkající se článku 5, přičemž třináct členských států nedodrželo tuto povinnost v předchozím roce. Z těchto států neoznámily Komisi své výsledky za poslední dva roky Švédsko, Finsko, Belgie, Řecko, Rumunsko a Malta.</w:t>
      </w:r>
    </w:p>
    <w:p>
      <w:pPr>
        <w:pStyle w:val="JRCText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Mezi členskými státy, které si zvolily standardní přístup</w:t>
      </w:r>
      <w:r>
        <w:rPr>
          <w:rStyle w:val="FootnoteReference"/>
          <w:rFonts w:ascii="Times New Roman" w:hAnsi="Times New Roman"/>
          <w:noProof/>
          <w:sz w:val="24"/>
        </w:rPr>
        <w:footnoteReference w:id="35"/>
      </w:r>
      <w:r>
        <w:rPr>
          <w:rFonts w:ascii="Times New Roman" w:hAnsi="Times New Roman"/>
          <w:noProof/>
          <w:sz w:val="24"/>
        </w:rPr>
        <w:t>, je šest, které dosáhly svých ročních cílů, pokud jde o renovovanou podlahovou plochu. Jsou to: Estonsko, Španělsko, Itálie, Litva, Lotyšsko, Lucembursko a Slovinsko. Z členských států, které zavedly alternativní přístup, dosáhlo šest členských států svých ročních cílů v oblasti úspor energie. Jedná se o Českou republiku, Francii, Chorvatsko, Irsko, Nizozemsko a Polsko. Sedm států zároveň poskytlo příslušné údaje, z nichž vyplývá, že  v letech 2014–2017 splnily své kumulativní cíle podle článku 5. Jedná se o Kypr, Německo, Irsko, Chorvatsko, Finsko, Polsko a Spojené království.</w:t>
      </w:r>
    </w:p>
    <w:p>
      <w:pPr>
        <w:pStyle w:val="Heading1"/>
        <w:numPr>
          <w:ilvl w:val="0"/>
          <w:numId w:val="31"/>
        </w:numPr>
        <w:spacing w:after="120" w:afterAutospacing="0"/>
        <w:rPr>
          <w:noProof/>
          <w:szCs w:val="24"/>
        </w:rPr>
      </w:pPr>
      <w:bookmarkStart w:id="121" w:name="_Toc493679484"/>
      <w:r>
        <w:rPr>
          <w:noProof/>
        </w:rPr>
        <w:t>Závěr</w:t>
      </w:r>
      <w:bookmarkEnd w:id="121"/>
    </w:p>
    <w:p>
      <w:pPr>
        <w:pStyle w:val="Text1"/>
        <w:ind w:left="0"/>
        <w:rPr>
          <w:noProof/>
          <w:szCs w:val="24"/>
        </w:rPr>
      </w:pPr>
      <w:r>
        <w:rPr>
          <w:noProof/>
        </w:rPr>
        <w:t>Z údajů z roku 2017 vyplývá, že od roku 2014 trvale roste spotřeba energie. V důsledku nárůstu, k němuž došlo v posledních třech letech až do roku 2017, spotřeba energie mírně překročila lineární trajektorii pro dosažení cílů pro rok 2020. I když zimy v letech 2015 a 2016 byly chladnější než v roce 2014, což zvýšilo poptávku po vytápění prostor, je zřejmé, že vlivy počasí nejsou jediným hybatelem nedávného zvyšování. Za vyšší poptávkou po energii rovněž stojí hospodářský růst, narůstající bohatství a změny životního stylu. Přestože opatření v oblasti energetické účinnosti tyto dopady v minulosti do značné míry vykompenzovala, zpoždění při provádění některých politik a nedostatek nového úsilí měly za následek, že úspory nebyly dostatečné k tomu, aby vedly ke snižování spotřeby energie.</w:t>
      </w:r>
    </w:p>
    <w:p>
      <w:pPr>
        <w:pStyle w:val="Text1"/>
        <w:ind w:left="0"/>
        <w:rPr>
          <w:noProof/>
          <w:szCs w:val="24"/>
        </w:rPr>
      </w:pPr>
      <w:r>
        <w:rPr>
          <w:noProof/>
        </w:rPr>
        <w:t>Dvě odlišné metodiky dekompoziční analýzy analyzované v této zprávě potvrdily, že energetická účinnost představovala klíčový faktor, který přispěl ke zlepšení energetické náročnosti napříč odvětvími. Až do nedávna to stačilo k tomu, aby se neutralizoval nárůst poptávky po energii stimulované hospodářskou činností, vyššími standardy, pokud jde o pohodlí při vytápění a chlazení, a změnami chování a životního stylu. Zdá se však, že se v poslední době množství dosažených úspor snížilo, zatímco vzrostly pozitivní účinky činnosti.</w:t>
      </w:r>
    </w:p>
    <w:p>
      <w:pPr>
        <w:pStyle w:val="Text1"/>
        <w:ind w:left="0"/>
        <w:rPr>
          <w:noProof/>
          <w:szCs w:val="24"/>
        </w:rPr>
      </w:pPr>
      <w:r>
        <w:rPr>
          <w:noProof/>
        </w:rPr>
        <w:t>V této souvislosti je zřejmé, že je třeba zvýšit úsilí nejen k dosažení cílů pro rok 2020, ale také stanovit správný základ pro následující desetiletí, kdy bude zapotřebí ještě vyšší úroveň ambicí. Intenzivnější úsilí o zlepšení energetické účinnosti by znamenalo také další přínosy, jako jsou nižší účty za energii, lepší zdravotní péče (díky zlepšení kvality ovzduší), větší pohodlí a méně energetické chudoby.</w:t>
      </w:r>
    </w:p>
    <w:p>
      <w:pPr>
        <w:pStyle w:val="Text1"/>
        <w:ind w:left="0"/>
        <w:rPr>
          <w:noProof/>
          <w:szCs w:val="24"/>
        </w:rPr>
      </w:pPr>
      <w:r>
        <w:rPr>
          <w:noProof/>
        </w:rPr>
        <w:t xml:space="preserve">Pracovní skupina zřízená Evropskou komisí se shodla na tom, že je třeba vyřešit nedostatky při plnění cílů strategie EU 2020. K dalšímu pokroku má napomoci soubor řešení. Za prvé je nezbytné zajistit úplné provedení stávajících právních předpisů, neboť došlo ke zpoždění při provedení směrnic o energetické účinnosti a o energetické náročnosti budov ve vnitrostátním právu, jakož i při jejich provádění. To zahrnuje úplné splnění povinnosti úspor energie podle článku 7 a splnění požadavku na provádění pravidelných inspekcí podle článků 14 a 15 směrnice o energetické náročnosti budov. Dále je důležité plně využít zbývajících možností financování v rámci evropských strukturálních a investičních fondů a provést dodatečná opatření na vnitrostátní úrovni. </w:t>
      </w:r>
    </w:p>
    <w:p>
      <w:pPr>
        <w:pStyle w:val="Text1"/>
        <w:ind w:left="0"/>
        <w:rPr>
          <w:noProof/>
          <w:szCs w:val="24"/>
        </w:rPr>
      </w:pPr>
      <w:r>
        <w:rPr>
          <w:noProof/>
        </w:rPr>
        <w:t>Evropská komise zintenzivnila výměnu informací a osvědčených postupů a zahájila proces posilování tržního dozoru členských států, pokud jde o požadavky na účinnost výrobků. Cílem jejích snah je rovněž pomoci členským státům vybudovat kapacity na podporu renovace budov ve veřejném sektoru, a to i prostřednictvím smluv o poskytování energetických služeb. Několik nedávno přijatých nebo připravovaných opatření by mělo po roce 2020 přinést další úspory energie v trochu delším časovém horizontu. Mezi ně patří právně závazné vnitrostátní cíle v oblasti klimatu na období 2021–2030 pro odvětví, jako jsou doprava a budovy, na něž se nevztahuje systém EU pro obchodování s emisemi, nedávno dohodnuté přísnější emisní normy CO</w:t>
      </w:r>
      <w:r>
        <w:rPr>
          <w:noProof/>
          <w:vertAlign w:val="subscript"/>
        </w:rPr>
        <w:t>2</w:t>
      </w:r>
      <w:r>
        <w:rPr>
          <w:noProof/>
        </w:rPr>
        <w:t xml:space="preserve"> pro lehká užitková vozidla po roce 2020, jakož i optimalizovaný systém monitorování, emisní normy CO</w:t>
      </w:r>
      <w:r>
        <w:rPr>
          <w:noProof/>
          <w:vertAlign w:val="subscript"/>
        </w:rPr>
        <w:t>2</w:t>
      </w:r>
      <w:r>
        <w:rPr>
          <w:noProof/>
        </w:rPr>
        <w:t xml:space="preserve"> pro nové nákladní automobily, legislativní balíček nových norem pro energetickou účinnost a označování výrobků energetickými štítky, jakož i posílený článek 7 v revidované směrnici o energetické účinnosti. Skutečnost, že revidovaná směrnice o energetické náročnosti budov lépe začleňuje digitální rozměr, usnadní zavádění IKT a inteligentních technologií, u nichž se očekává, že v nadcházejících letech budou hrát důležitou úlohu při zlepšování energetické náročnosti budov a snižování spotřeby energie v budovách. Lepší koordinace a opravné mechanismy podle nařízení o správě energetické unie</w:t>
      </w:r>
      <w:r>
        <w:rPr>
          <w:rStyle w:val="FootnoteReference"/>
          <w:noProof/>
        </w:rPr>
        <w:footnoteReference w:id="36"/>
      </w:r>
      <w:r>
        <w:rPr>
          <w:noProof/>
        </w:rPr>
        <w:t xml:space="preserve"> by rovněž měly pomoci vrátit EU zpět na cestu plnění stanovených cílů v případě nedostatečných ambicí a pokroku v období po roce 2020.</w:t>
      </w:r>
    </w:p>
    <w:p>
      <w:pPr>
        <w:pStyle w:val="Text1"/>
        <w:ind w:left="0"/>
        <w:rPr>
          <w:noProof/>
          <w:szCs w:val="24"/>
        </w:rPr>
      </w:pPr>
      <w:r>
        <w:rPr>
          <w:noProof/>
        </w:rPr>
        <w:t>Komise bude i nadále sledovat pokrok členských států v plnění orientačních vnitrostátních cílů energetické účinnosti do roku 2020, jakož i provádění směrnice o energetické účinnosti z jejich strany. Pracovní skupině podá zprávu o pokroku v létě 2019, kdy budou k dispozici k posouzení předběžné údaje za rok 2018.</w:t>
      </w:r>
    </w:p>
    <w:p>
      <w:pPr>
        <w:pStyle w:val="Text1"/>
        <w:ind w:left="0"/>
        <w:rPr>
          <w:noProof/>
          <w:szCs w:val="24"/>
        </w:rPr>
      </w:pPr>
      <w:r>
        <w:rPr>
          <w:noProof/>
        </w:rPr>
        <w:t>Komise rovněž vyzývá Evropský parlament a Radu, aby se k tomuto posouzení vyjádřily.</w:t>
      </w:r>
    </w:p>
    <w:p>
      <w:pPr>
        <w:rPr>
          <w:rFonts w:eastAsia="Calibri"/>
          <w:noProof/>
          <w:highlight w:val="yellow"/>
        </w:rPr>
      </w:pPr>
      <w:r>
        <w:rPr>
          <w:noProof/>
        </w:rPr>
        <w:br w:type="page"/>
      </w:r>
    </w:p>
    <w:p>
      <w:pPr>
        <w:numPr>
          <w:ilvl w:val="1"/>
          <w:numId w:val="0"/>
        </w:numPr>
        <w:spacing w:after="0"/>
        <w:jc w:val="center"/>
        <w:rPr>
          <w:rFonts w:eastAsia="Calibri"/>
          <w:b/>
          <w:iCs/>
          <w:noProof/>
          <w:spacing w:val="15"/>
          <w:sz w:val="20"/>
        </w:rPr>
      </w:pPr>
      <w:r>
        <w:rPr>
          <w:b/>
          <w:noProof/>
          <w:spacing w:val="15"/>
          <w:sz w:val="20"/>
        </w:rPr>
        <w:t>Tabulka 1: Přehled ukazatelů</w:t>
      </w:r>
    </w:p>
    <w:p>
      <w:pPr>
        <w:jc w:val="center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4842510" cy="58762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58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noProof/>
        </w:rPr>
      </w:pPr>
      <w:r>
        <w:rPr>
          <w:noProof/>
        </w:rPr>
        <w:t>* Symbol „+“ znamená, že členské státy snižovaly mezi roky 2005 a 2017 svou spotřebu primární energie i konečnou spotřebu energie rychleji, než by bylo v období 2005–2020 zapotřebí, aby do roku 2020 dosáhly svých cílů spotřeby primární energie a konečné spotřeby energie. V ostatních případech byl použit symbol „–“. KSE – konečná spotřeba energie, SPE – spotřeba primární energie.</w:t>
      </w:r>
    </w:p>
    <w:p>
      <w:pPr>
        <w:numPr>
          <w:ilvl w:val="1"/>
          <w:numId w:val="0"/>
        </w:numPr>
        <w:spacing w:after="0"/>
        <w:jc w:val="center"/>
        <w:rPr>
          <w:rFonts w:eastAsia="Calibri"/>
          <w:b/>
          <w:iCs/>
          <w:noProof/>
          <w:spacing w:val="15"/>
          <w:sz w:val="20"/>
        </w:rPr>
      </w:pPr>
      <w:r>
        <w:rPr>
          <w:noProof/>
        </w:rPr>
        <w:br w:type="page"/>
      </w:r>
      <w:r>
        <w:rPr>
          <w:b/>
          <w:noProof/>
          <w:spacing w:val="15"/>
          <w:sz w:val="20"/>
        </w:rPr>
        <w:t>Tabulka 2: Přehled ukazatelů</w:t>
      </w:r>
    </w:p>
    <w:p>
      <w:pPr>
        <w:jc w:val="center"/>
        <w:rPr>
          <w:noProof/>
          <w:sz w:val="18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4746625" cy="588391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58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noProof/>
          <w:highlight w:val="yellow"/>
        </w:rPr>
      </w:pPr>
      <w:r>
        <w:rPr>
          <w:noProof/>
        </w:rPr>
        <w:br w:type="page"/>
      </w:r>
    </w:p>
    <w:p>
      <w:pPr>
        <w:numPr>
          <w:ilvl w:val="1"/>
          <w:numId w:val="0"/>
        </w:numPr>
        <w:spacing w:after="0"/>
        <w:rPr>
          <w:rFonts w:eastAsia="Calibri"/>
          <w:noProof/>
          <w:sz w:val="20"/>
        </w:rPr>
      </w:pPr>
      <w:r>
        <w:rPr>
          <w:b/>
          <w:noProof/>
          <w:spacing w:val="15"/>
          <w:sz w:val="20"/>
        </w:rPr>
        <w:t>Tabulka 3: Přehled úspor energie za rok 2016 oznámených podle článku 7 (ktoe)</w:t>
      </w:r>
    </w:p>
    <w:tbl>
      <w:tblPr>
        <w:tblStyle w:val="TabelstijlCEDelft"/>
        <w:tblW w:w="8820" w:type="dxa"/>
        <w:jc w:val="center"/>
        <w:tblLayout w:type="fixed"/>
        <w:tblLook w:val="06A0" w:firstRow="1" w:lastRow="0" w:firstColumn="1" w:lastColumn="0" w:noHBand="1" w:noVBand="1"/>
      </w:tblPr>
      <w:tblGrid>
        <w:gridCol w:w="1204"/>
        <w:gridCol w:w="889"/>
        <w:gridCol w:w="819"/>
        <w:gridCol w:w="959"/>
        <w:gridCol w:w="1228"/>
        <w:gridCol w:w="1229"/>
        <w:gridCol w:w="1228"/>
        <w:gridCol w:w="126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204" w:type="dxa"/>
            <w:vMerge w:val="restart"/>
            <w:noWrap/>
            <w:hideMark/>
          </w:tcPr>
          <w:p>
            <w:pPr>
              <w:pStyle w:val="TabelkopjeCEDelft"/>
              <w:rPr>
                <w:noProof/>
              </w:rPr>
            </w:pPr>
            <w:r>
              <w:rPr>
                <w:noProof/>
              </w:rPr>
              <w:t> </w:t>
            </w:r>
          </w:p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 </w:t>
            </w:r>
          </w:p>
        </w:tc>
        <w:tc>
          <w:tcPr>
            <w:tcW w:w="2667" w:type="dxa"/>
            <w:gridSpan w:val="3"/>
            <w:noWrap/>
            <w:hideMark/>
          </w:tcPr>
          <w:p>
            <w:pPr>
              <w:pStyle w:val="TabelkopjeCEDelft"/>
              <w:jc w:val="center"/>
              <w:rPr>
                <w:bCs/>
                <w:noProof/>
              </w:rPr>
            </w:pPr>
            <w:r>
              <w:rPr>
                <w:noProof/>
              </w:rPr>
              <w:t>2016</w:t>
            </w:r>
          </w:p>
        </w:tc>
        <w:tc>
          <w:tcPr>
            <w:tcW w:w="4949" w:type="dxa"/>
            <w:gridSpan w:val="4"/>
            <w:noWrap/>
            <w:hideMark/>
          </w:tcPr>
          <w:p>
            <w:pPr>
              <w:pStyle w:val="TabelkopjeCEDelft"/>
              <w:jc w:val="center"/>
              <w:rPr>
                <w:bCs/>
                <w:noProof/>
              </w:rPr>
            </w:pPr>
            <w:r>
              <w:rPr>
                <w:noProof/>
              </w:rPr>
              <w:t>Pokrok v plnění cíle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204" w:type="dxa"/>
            <w:vMerge/>
            <w:noWrap/>
            <w:hideMark/>
          </w:tcPr>
          <w:p>
            <w:pPr>
              <w:pStyle w:val="TabeltekstCEDelft"/>
              <w:rPr>
                <w:noProof/>
              </w:rPr>
            </w:pPr>
          </w:p>
        </w:tc>
        <w:tc>
          <w:tcPr>
            <w:tcW w:w="889" w:type="dxa"/>
            <w:hideMark/>
          </w:tcPr>
          <w:p>
            <w:pPr>
              <w:pStyle w:val="TabeltekstCEDelft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Nové úspory</w:t>
            </w:r>
          </w:p>
        </w:tc>
        <w:tc>
          <w:tcPr>
            <w:tcW w:w="819" w:type="dxa"/>
            <w:hideMark/>
          </w:tcPr>
          <w:p>
            <w:pPr>
              <w:pStyle w:val="TabeltekstCEDelft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Celkové roční úspory</w:t>
            </w:r>
          </w:p>
        </w:tc>
        <w:tc>
          <w:tcPr>
            <w:tcW w:w="959" w:type="dxa"/>
            <w:hideMark/>
          </w:tcPr>
          <w:p>
            <w:pPr>
              <w:pStyle w:val="TabeltekstCEDelft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Kumulativní úspory za období 2014–2016</w:t>
            </w:r>
          </w:p>
        </w:tc>
        <w:tc>
          <w:tcPr>
            <w:tcW w:w="1228" w:type="dxa"/>
            <w:hideMark/>
          </w:tcPr>
          <w:p>
            <w:pPr>
              <w:pStyle w:val="TabeltekstCEDelft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Celkové kumulativní úspory požadované do roku 2020 (cíl)</w:t>
            </w:r>
          </w:p>
        </w:tc>
        <w:tc>
          <w:tcPr>
            <w:tcW w:w="1229" w:type="dxa"/>
            <w:hideMark/>
          </w:tcPr>
          <w:p>
            <w:pPr>
              <w:pStyle w:val="TabeltekstCEDelft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Pokrok v plnění požadavku na celkové kumulativní úspory do roku 2020</w:t>
            </w:r>
          </w:p>
        </w:tc>
        <w:tc>
          <w:tcPr>
            <w:tcW w:w="1228" w:type="dxa"/>
            <w:hideMark/>
          </w:tcPr>
          <w:p>
            <w:pPr>
              <w:pStyle w:val="TabeltekstCEDelft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Odhadované roční úspory požadované v období 2014–2016</w:t>
            </w:r>
          </w:p>
        </w:tc>
        <w:tc>
          <w:tcPr>
            <w:tcW w:w="1264" w:type="dxa"/>
            <w:hideMark/>
          </w:tcPr>
          <w:p>
            <w:pPr>
              <w:pStyle w:val="TabeltekstCEDelft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2014–2016 ve srovnání s odhadovanými ročními úsporami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Rakousko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389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1 026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1 908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5 200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37 %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1 114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171 %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Belgie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226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779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1 640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6 911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24 %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1 481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111 %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Bulharsko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99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178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1 942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9 %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416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43 %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Chorvatsko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nejsou k dispozici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1 296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278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22 %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Kypr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242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6 %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28 %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Česká republika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310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521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4 882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11 %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1 046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50 %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Dánsko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256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699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1 346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3 841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35 %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823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163 %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Estonsko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184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284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610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47 %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131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217 %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Finsko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562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nejsou k dispozici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4 775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  <w:vertAlign w:val="superscript"/>
              </w:rPr>
            </w:pPr>
            <w:r>
              <w:rPr>
                <w:noProof/>
              </w:rPr>
              <w:t>4 213</w:t>
            </w:r>
            <w:r>
              <w:rPr>
                <w:noProof/>
                <w:vertAlign w:val="superscript"/>
              </w:rPr>
              <w:t>*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113 %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903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529 %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Francie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943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2 887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6 489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31 384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21 %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6 725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96 %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Německo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2 637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4 085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9 943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41 989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24 %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8 998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111 %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Řecko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174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394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3 333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12 %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714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55 %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Maďarsko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292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641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3 680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17 %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788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81 %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Irsko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116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330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609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2 164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28 %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464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131 %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Itálie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nejsou k dispozici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1 993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4 638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25 502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18 %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5 465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85 %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Lotyšsko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851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7 %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182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32 %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Litva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188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1 004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19 %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215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87 %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Lucembursko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nejsou k dispozici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515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22 %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Malta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nejsou k dispozici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24 %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112 %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Nizozemsko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586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3 416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5 211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11 512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45 %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2 467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211 %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Polsko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nejsou k dispozici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nejsou k dispozici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3 268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14 818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22 %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3 175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103 %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Portugalsko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206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2 532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8 %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543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38 %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Rumunsko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nejsou k dispozici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667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1 368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5 817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24 %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1 247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110 %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Slovensko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241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497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2 284</w:t>
            </w:r>
            <w:r>
              <w:rPr>
                <w:noProof/>
                <w:vertAlign w:val="superscript"/>
              </w:rPr>
              <w:t>**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22 %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489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102 %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Slovinsko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285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945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30 %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203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141 %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Španělsko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514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1 536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3 180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15 979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20 %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3 424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93 %</w:t>
            </w:r>
          </w:p>
        </w:tc>
      </w:tr>
      <w:tr>
        <w:trPr>
          <w:jc w:val="center"/>
        </w:trPr>
        <w:tc>
          <w:tcPr>
            <w:tcW w:w="1204" w:type="dxa"/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Švédsko</w:t>
            </w:r>
          </w:p>
        </w:tc>
        <w:tc>
          <w:tcPr>
            <w:tcW w:w="88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nejsou k dispozici</w:t>
            </w:r>
          </w:p>
        </w:tc>
        <w:tc>
          <w:tcPr>
            <w:tcW w:w="81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1 505</w:t>
            </w:r>
          </w:p>
        </w:tc>
        <w:tc>
          <w:tcPr>
            <w:tcW w:w="959" w:type="dxa"/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3 021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9 114</w:t>
            </w:r>
          </w:p>
        </w:tc>
        <w:tc>
          <w:tcPr>
            <w:tcW w:w="1229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33 %</w:t>
            </w:r>
          </w:p>
        </w:tc>
        <w:tc>
          <w:tcPr>
            <w:tcW w:w="1228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1 953</w:t>
            </w:r>
          </w:p>
        </w:tc>
        <w:tc>
          <w:tcPr>
            <w:tcW w:w="1264" w:type="dxa"/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155 %</w:t>
            </w:r>
          </w:p>
        </w:tc>
      </w:tr>
      <w:tr>
        <w:trPr>
          <w:jc w:val="center"/>
        </w:trPr>
        <w:tc>
          <w:tcPr>
            <w:tcW w:w="1204" w:type="dxa"/>
            <w:tcBorders>
              <w:bottom w:val="single" w:sz="4" w:space="0" w:color="009EE0"/>
            </w:tcBorders>
            <w:noWrap/>
            <w:hideMark/>
          </w:tcPr>
          <w:p>
            <w:pPr>
              <w:pStyle w:val="TabeltekstCEDelft"/>
              <w:rPr>
                <w:noProof/>
              </w:rPr>
            </w:pPr>
            <w:r>
              <w:rPr>
                <w:noProof/>
              </w:rPr>
              <w:t>Spojené království</w:t>
            </w:r>
          </w:p>
        </w:tc>
        <w:tc>
          <w:tcPr>
            <w:tcW w:w="889" w:type="dxa"/>
            <w:tcBorders>
              <w:bottom w:val="single" w:sz="4" w:space="0" w:color="009EE0"/>
            </w:tcBorders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nejsou k dispozici</w:t>
            </w:r>
          </w:p>
        </w:tc>
        <w:tc>
          <w:tcPr>
            <w:tcW w:w="819" w:type="dxa"/>
            <w:tcBorders>
              <w:bottom w:val="single" w:sz="4" w:space="0" w:color="009EE0"/>
            </w:tcBorders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2 984</w:t>
            </w:r>
          </w:p>
        </w:tc>
        <w:tc>
          <w:tcPr>
            <w:tcW w:w="959" w:type="dxa"/>
            <w:tcBorders>
              <w:bottom w:val="single" w:sz="4" w:space="0" w:color="009EE0"/>
            </w:tcBorders>
            <w:noWrap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6 208</w:t>
            </w:r>
          </w:p>
        </w:tc>
        <w:tc>
          <w:tcPr>
            <w:tcW w:w="1228" w:type="dxa"/>
            <w:tcBorders>
              <w:bottom w:val="single" w:sz="4" w:space="0" w:color="009EE0"/>
            </w:tcBorders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27 859</w:t>
            </w:r>
          </w:p>
        </w:tc>
        <w:tc>
          <w:tcPr>
            <w:tcW w:w="1229" w:type="dxa"/>
            <w:tcBorders>
              <w:bottom w:val="single" w:sz="4" w:space="0" w:color="009EE0"/>
            </w:tcBorders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22 %</w:t>
            </w:r>
          </w:p>
        </w:tc>
        <w:tc>
          <w:tcPr>
            <w:tcW w:w="1228" w:type="dxa"/>
            <w:tcBorders>
              <w:bottom w:val="single" w:sz="4" w:space="0" w:color="009EE0"/>
            </w:tcBorders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5 970</w:t>
            </w:r>
          </w:p>
        </w:tc>
        <w:tc>
          <w:tcPr>
            <w:tcW w:w="1264" w:type="dxa"/>
            <w:tcBorders>
              <w:bottom w:val="single" w:sz="4" w:space="0" w:color="009EE0"/>
            </w:tcBorders>
            <w:noWrap/>
            <w:vAlign w:val="bottom"/>
            <w:hideMark/>
          </w:tcPr>
          <w:p>
            <w:pPr>
              <w:pStyle w:val="TabeltekstCEDelft"/>
              <w:jc w:val="right"/>
              <w:rPr>
                <w:noProof/>
              </w:rPr>
            </w:pPr>
            <w:r>
              <w:rPr>
                <w:noProof/>
              </w:rPr>
              <w:t>104 %</w:t>
            </w:r>
          </w:p>
        </w:tc>
      </w:tr>
      <w:tr>
        <w:trPr>
          <w:jc w:val="center"/>
        </w:trPr>
        <w:tc>
          <w:tcPr>
            <w:tcW w:w="1204" w:type="dxa"/>
            <w:shd w:val="clear" w:color="auto" w:fill="E1F4FF"/>
            <w:noWrap/>
            <w:hideMark/>
          </w:tcPr>
          <w:p>
            <w:pPr>
              <w:pStyle w:val="TabeltekstCEDelft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Celkem</w:t>
            </w:r>
          </w:p>
        </w:tc>
        <w:tc>
          <w:tcPr>
            <w:tcW w:w="889" w:type="dxa"/>
            <w:shd w:val="clear" w:color="auto" w:fill="E1F4FF"/>
            <w:noWrap/>
            <w:hideMark/>
          </w:tcPr>
          <w:p>
            <w:pPr>
              <w:pStyle w:val="TabeltekstCEDelft"/>
              <w:jc w:val="right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6 794</w:t>
            </w:r>
          </w:p>
        </w:tc>
        <w:tc>
          <w:tcPr>
            <w:tcW w:w="819" w:type="dxa"/>
            <w:shd w:val="clear" w:color="auto" w:fill="E1F4FF"/>
            <w:noWrap/>
            <w:hideMark/>
          </w:tcPr>
          <w:p>
            <w:pPr>
              <w:pStyle w:val="TabeltekstCEDelft"/>
              <w:jc w:val="right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 xml:space="preserve">24 633 </w:t>
            </w:r>
          </w:p>
        </w:tc>
        <w:tc>
          <w:tcPr>
            <w:tcW w:w="959" w:type="dxa"/>
            <w:shd w:val="clear" w:color="auto" w:fill="E1F4FF"/>
            <w:noWrap/>
            <w:hideMark/>
          </w:tcPr>
          <w:p>
            <w:pPr>
              <w:pStyle w:val="TabeltekstCEDelft"/>
              <w:jc w:val="right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 xml:space="preserve">54 547 </w:t>
            </w:r>
          </w:p>
        </w:tc>
        <w:tc>
          <w:tcPr>
            <w:tcW w:w="1228" w:type="dxa"/>
            <w:shd w:val="clear" w:color="auto" w:fill="E1F4FF"/>
            <w:noWrap/>
            <w:vAlign w:val="bottom"/>
            <w:hideMark/>
          </w:tcPr>
          <w:p>
            <w:pPr>
              <w:pStyle w:val="TabeltekstCEDelft"/>
              <w:jc w:val="right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230 486</w:t>
            </w:r>
          </w:p>
        </w:tc>
        <w:tc>
          <w:tcPr>
            <w:tcW w:w="1229" w:type="dxa"/>
            <w:shd w:val="clear" w:color="auto" w:fill="E1F4FF"/>
            <w:noWrap/>
            <w:vAlign w:val="bottom"/>
            <w:hideMark/>
          </w:tcPr>
          <w:p>
            <w:pPr>
              <w:pStyle w:val="TabeltekstCEDelft"/>
              <w:jc w:val="right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24 %</w:t>
            </w:r>
          </w:p>
        </w:tc>
        <w:tc>
          <w:tcPr>
            <w:tcW w:w="1228" w:type="dxa"/>
            <w:shd w:val="clear" w:color="auto" w:fill="E1F4FF"/>
            <w:noWrap/>
            <w:vAlign w:val="bottom"/>
            <w:hideMark/>
          </w:tcPr>
          <w:p>
            <w:pPr>
              <w:pStyle w:val="TabeltekstCEDelft"/>
              <w:jc w:val="right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49 390</w:t>
            </w:r>
          </w:p>
        </w:tc>
        <w:tc>
          <w:tcPr>
            <w:tcW w:w="1264" w:type="dxa"/>
            <w:shd w:val="clear" w:color="auto" w:fill="E1F4FF"/>
            <w:noWrap/>
            <w:vAlign w:val="bottom"/>
            <w:hideMark/>
          </w:tcPr>
          <w:p>
            <w:pPr>
              <w:pStyle w:val="TabeltekstCEDelft"/>
              <w:jc w:val="right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110 %</w:t>
            </w:r>
          </w:p>
        </w:tc>
      </w:tr>
    </w:tbl>
    <w:p>
      <w:pPr>
        <w:rPr>
          <w:i/>
          <w:noProof/>
          <w:sz w:val="22"/>
        </w:rPr>
      </w:pPr>
      <w:r>
        <w:rPr>
          <w:i/>
          <w:noProof/>
          <w:sz w:val="22"/>
        </w:rPr>
        <w:t xml:space="preserve">Zdroj: Informace oznámené členskými státy, doplněné v případě potřeby výpočty a projekcemi Komise. </w: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4135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Směrnice 2018/2002/EU.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Cíl 32,5 % do roku 2030 se rovná konečné spotřebě energie ve výši 956 Mtoe a/nebo spotřebě primární energie ve výši 1 273 Mtoe v EU-28.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COM(2018) 773 final.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Cíl pro rok 2020 zahrnuje snížení celkové energetické spotřeby EU-28 na nejvýše 1 086 Mtoe a snížení spotřeby primární energie na nejvýše 1 483 Mtoe.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COM(2017) 687 final.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Economidou, M. and Romàn Collado, R. (2019), </w:t>
      </w:r>
      <w:hyperlink r:id="rId1">
        <w:r>
          <w:rPr>
            <w:rStyle w:val="Hyperlink"/>
            <w:i/>
          </w:rPr>
          <w:t>Assessing the progress towards the EU efficiency targets using index decomposition analysis 2015-2016</w:t>
        </w:r>
      </w:hyperlink>
      <w:r>
        <w:t xml:space="preserve"> (Posuzování pokroku při splnění cílů EU v oblasti energetické účinnosti za použití indexové dekompoziční analýzy 2015–2016), JRC Science for Policy Report.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>
        <w:r>
          <w:rPr>
            <w:rStyle w:val="Hyperlink"/>
          </w:rPr>
          <w:t>http://www.indicators.odyssee-mure.eu/decomposition.html</w:t>
        </w:r>
      </w:hyperlink>
      <w:r>
        <w:t>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Výsledkem výjimečně teplé zimy v roce 2014 byla mnohem nižší potřeba vytápění v tomto roce. Zimní teploty v letech 2015, 2016 a 2017 více odpovídaly klimatickému průměru (i když se nacházely stále ještě pod dlouhodobým průměrem), v důsledku čehož se zvýšila potřeba vytápění, jakož i spotřeba energie v sektoru domácností a v odvětví služeb.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Evropská komise (2019), </w:t>
      </w:r>
      <w:hyperlink r:id="rId3">
        <w:r>
          <w:rPr>
            <w:rStyle w:val="Hyperlink"/>
            <w:i/>
          </w:rPr>
          <w:t>Report of the work of the Task Force on mobilising efforts to reach the EU Energy efficiency targets for 2020</w:t>
        </w:r>
      </w:hyperlink>
      <w:r>
        <w:t xml:space="preserve"> (Zpráva o činnosti – pracovní skupina pro mobilizaci úsilí k dosažení cílů EU v oblasti energetické účinnosti do roku 2020)</w:t>
      </w:r>
      <w:r>
        <w:rPr>
          <w:i/>
          <w:color w:val="000000"/>
        </w:rPr>
        <w:t>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 xml:space="preserve"> Korekční faktor vlivů počasí byl stanoven jako podíl vytápěcích denostupňů v daném roce a průměru vytápěcích denostupňů v období 1980–2004. Tento korekční faktor byl uplatněn na spotřebu energie použité pro vytápění domácností.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 xml:space="preserve"> Ke sledování pokroku při dosahování cíle EU v oblasti energetické účinnosti na období 2020–2030 se používají ukazatele nové energetické bilance dle Eurostatu.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 xml:space="preserve"> S výjimkou Belgie, Bulharska, Estonska, Francie, Litvy, Maďarska, Německa, Polska, Rakouska, Slovenska a Švédska.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 xml:space="preserve"> S výjimkou Belgie, Bulharska, Estonska, Francie, Irska, Kypru, Maďarska, Německa, Nizozemska, Polska, Portugalska, Rakouska a Švédska.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 xml:space="preserve"> S výjimkou Belgie, Bulharska, Estonska, Francie, Litvy, Maďarska, Německa, Rakouska, Slovenska, Spojeného království a Švédska.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 xml:space="preserve"> S výjimkou Belgie, Bulharska, Kypru, Francie, Německa, Nizozemska, Rakouska, Spojeného království a Švédska.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 xml:space="preserve"> Rozdíl může být ještě větší vzhledem k tomu, že se stanovování úrovně spotřeby primární energie a konečné spotřeby energie u některých vnitrostátních cílů neřídí vhodnou metodikou.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 xml:space="preserve"> Je třeba poznamenat, že v roce 2014 byla výjimečně teplá zima, takže část zvýšení spotřeby energie jde na vrub návratu k průměrnějším zimním teplotám.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 xml:space="preserve"> Spotřeba primární energie ve vztahu k HDP.</w:t>
      </w:r>
    </w:p>
  </w:footnote>
  <w:footnote w:id="19">
    <w:p>
      <w:pPr>
        <w:pStyle w:val="Default"/>
        <w:rPr>
          <w:sz w:val="20"/>
          <w:szCs w:val="20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Samuel Thomas (2018), </w:t>
      </w:r>
      <w:hyperlink r:id="rId4">
        <w:r>
          <w:rPr>
            <w:rStyle w:val="Hyperlink"/>
            <w:i/>
            <w:sz w:val="20"/>
          </w:rPr>
          <w:t>Drivers of recent energy consumption trends across sectors in EU28</w:t>
        </w:r>
      </w:hyperlink>
      <w:r>
        <w:rPr>
          <w:sz w:val="20"/>
        </w:rPr>
        <w:t xml:space="preserve"> (Příčiny nedávných trendů spotřeby energie napříč odvětvími v EU-28).</w:t>
      </w:r>
    </w:p>
    <w:p>
      <w:pPr>
        <w:pStyle w:val="FootnoteText"/>
        <w:rPr>
          <w:color w:val="000000"/>
        </w:rPr>
      </w:pPr>
      <w:r>
        <w:rPr>
          <w:color w:val="000000"/>
        </w:rPr>
        <w:t>Energy Consumption Trends Workshop Report (Zpráva ze semináře o trendech vývoje spotřeby energie).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Evropská komise (2019), </w:t>
      </w:r>
      <w:r>
        <w:rPr>
          <w:i/>
          <w:color w:val="000000"/>
        </w:rPr>
        <w:t>Zpráva o činnosti..., op. cit.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Economidou, M. a Romàn Collado, R. </w:t>
      </w:r>
      <w:r>
        <w:rPr>
          <w:i/>
        </w:rPr>
        <w:t>op. cit.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>
        <w:r>
          <w:rPr>
            <w:rStyle w:val="Hyperlink"/>
          </w:rPr>
          <w:t>http://www.indicators.odyssee-mure.eu/decomposition.html</w:t>
        </w:r>
      </w:hyperlink>
      <w:r>
        <w:t>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 xml:space="preserve"> Údaje z roku 2016.</w:t>
      </w:r>
    </w:p>
  </w:footnote>
  <w:footnote w:id="24">
    <w:p>
      <w:pPr>
        <w:pStyle w:val="FootnoteText"/>
      </w:pPr>
      <w:r>
        <w:rPr>
          <w:vertAlign w:val="superscript"/>
        </w:rPr>
        <w:footnoteRef/>
      </w:r>
      <w:r>
        <w:t xml:space="preserve"> Spotřeba energie vztažená k hrubé přidané hodnotě.</w:t>
      </w:r>
    </w:p>
  </w:footnote>
  <w:footnote w:id="25">
    <w:p>
      <w:pPr>
        <w:pStyle w:val="FootnoteText"/>
        <w:jc w:val="left"/>
      </w:pPr>
      <w:r>
        <w:rPr>
          <w:rStyle w:val="FootnoteReference"/>
        </w:rPr>
        <w:footnoteRef/>
      </w:r>
      <w:r>
        <w:t xml:space="preserve"> Tsemekidi Tzeiranaki S., Bertoldi P (et al.) (2018), </w:t>
      </w:r>
      <w:hyperlink r:id="rId6">
        <w:r>
          <w:rPr>
            <w:rStyle w:val="Hyperlink"/>
            <w:i/>
          </w:rPr>
          <w:t>Energy consumption and energy efficiency trends in the EU-28 for the period 2000-2016</w:t>
        </w:r>
      </w:hyperlink>
      <w:r>
        <w:t xml:space="preserve"> (Spotřeba energie a trendy energetické účinnosti v EU-28 za období 2000–2016)</w:t>
      </w:r>
      <w:r>
        <w:rPr>
          <w:i/>
        </w:rPr>
        <w:t xml:space="preserve">, </w:t>
      </w:r>
      <w:r>
        <w:t>JRC Science for Policy Report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 xml:space="preserve"> Samuel Thomas (2018), op. cit.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Včetně potrubní dopravy, na rozdíl od přístupu použitého v dokumentu COM(2015) 574 final, neboť cíle energetické účinnosti pro rok 2020 nevylučují potrubní dopravu.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 xml:space="preserve"> Srovnání mezi jednotlivými členskými státy je nutno provést obezřetně, jelikož konečná spotřeba energie je založena na prodaných palivech, nikoli na palivech spotřebovaných na území dotyčného státu.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 xml:space="preserve"> Belgie, Itálie a Slovinsko.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 xml:space="preserve"> Munoz, F., (2018), </w:t>
      </w:r>
      <w:hyperlink r:id="rId7">
        <w:r>
          <w:rPr>
            <w:rStyle w:val="Hyperlink"/>
            <w:i/>
          </w:rPr>
          <w:t>The global domination of SUVs continues in 2017</w:t>
        </w:r>
      </w:hyperlink>
      <w:r>
        <w:rPr>
          <w:i/>
        </w:rPr>
        <w:t xml:space="preserve"> (Pokračování globální dominance vozů SUV v roce 2017).</w:t>
      </w:r>
      <w:r>
        <w:t xml:space="preserve"> 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 xml:space="preserve"> LMC (2018), </w:t>
      </w:r>
      <w:hyperlink r:id="rId8">
        <w:r>
          <w:rPr>
            <w:rStyle w:val="Hyperlink"/>
            <w:i/>
          </w:rPr>
          <w:t>Automotive sales, production, powertrain forecasting</w:t>
        </w:r>
      </w:hyperlink>
      <w:r>
        <w:rPr>
          <w:i/>
        </w:rPr>
        <w:t xml:space="preserve"> (Prognózy prodeje, výroby a hnacího ústrojí vozidel).</w:t>
      </w:r>
      <w:r>
        <w:t xml:space="preserve"> 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 xml:space="preserve"> Economidou, M., Labanca, N. (et al.) (2019), </w:t>
      </w:r>
      <w:hyperlink r:id="rId9">
        <w:r>
          <w:rPr>
            <w:rStyle w:val="Hyperlink"/>
            <w:i/>
          </w:rPr>
          <w:t>Assessment of the Second National Energy Efficiency Action Plans under the Energy Efficiency Directive</w:t>
        </w:r>
      </w:hyperlink>
      <w:r>
        <w:t xml:space="preserve"> (Posouzení druhé generace vnitrostátních akčních plánů energetické účinnosti podle směrnice o energetické účinnosti), JRC Science for Policy Report.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r>
        <w:t xml:space="preserve"> Tsemekidi-Tzeiranaki, S., Labanca, N. (et al.) (2019), </w:t>
      </w:r>
      <w:hyperlink r:id="rId10">
        <w:r>
          <w:rPr>
            <w:rStyle w:val="Hyperlink"/>
            <w:i/>
          </w:rPr>
          <w:t>Analysis of the annual reports 2018 under the Energy Efficiency Directive</w:t>
        </w:r>
      </w:hyperlink>
      <w:r>
        <w:t xml:space="preserve"> (Analýza výročních zpráv za rok 2018 podle směrnice o energetické účinnosti)</w:t>
      </w:r>
      <w:r>
        <w:rPr>
          <w:i/>
        </w:rPr>
        <w:t xml:space="preserve">, </w:t>
      </w:r>
      <w:r>
        <w:t>JRC Technical Reports.</w:t>
      </w:r>
    </w:p>
  </w:footnote>
  <w:footnote w:id="34">
    <w:p>
      <w:pPr>
        <w:pStyle w:val="FootnoteText"/>
      </w:pPr>
      <w:r>
        <w:rPr>
          <w:rStyle w:val="FootnoteReference"/>
        </w:rPr>
        <w:footnoteRef/>
      </w:r>
      <w:r>
        <w:t xml:space="preserve"> Bulharsko, Estonsko, Itálie, Kypr, Lotyšsko, Maďarsko, Portugalsko, Řecko a Španělsko.</w:t>
      </w:r>
    </w:p>
  </w:footnote>
  <w:footnote w:id="35">
    <w:p>
      <w:pPr>
        <w:pStyle w:val="FootnoteText"/>
      </w:pPr>
      <w:r>
        <w:rPr>
          <w:rStyle w:val="FootnoteReference"/>
        </w:rPr>
        <w:footnoteRef/>
      </w:r>
      <w:r>
        <w:t xml:space="preserve"> Článek 5 vyžaduje, aby členské státy každoročně renovovaly 3 % celkové podlahové plochy vytápěných a/nebo chlazených budov s užitnou plochou větší než 250 m</w:t>
      </w:r>
      <w:r>
        <w:rPr>
          <w:vertAlign w:val="superscript"/>
        </w:rPr>
        <w:t>2</w:t>
      </w:r>
      <w:r>
        <w:t xml:space="preserve"> ve vlastnictví a v užívání ústředních vládních institucí, které nesplňují minimální požadavky na energetickou náročnost, s cílem splnit alespoň minimální požadavky na energetickou náročnost (standardní přístup), nebo přijmout jiná nákladově efektivní opatření k dosažení rovnocenných úspor energie (alternativní přístup). </w:t>
      </w:r>
    </w:p>
  </w:footnote>
  <w:footnote w:id="36">
    <w:p>
      <w:pPr>
        <w:pStyle w:val="Default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</w:rPr>
        <w:t xml:space="preserve"> COM(2016) 759 final.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8A6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9F6AA4"/>
    <w:multiLevelType w:val="hybridMultilevel"/>
    <w:tmpl w:val="C8064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768C0"/>
    <w:multiLevelType w:val="multilevel"/>
    <w:tmpl w:val="54C6B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751731"/>
    <w:multiLevelType w:val="hybridMultilevel"/>
    <w:tmpl w:val="E190054A"/>
    <w:lvl w:ilvl="0" w:tplc="5C24634E">
      <w:start w:val="1"/>
      <w:numFmt w:val="decimal"/>
      <w:lvlText w:val="%1."/>
      <w:lvlJc w:val="left"/>
      <w:pPr>
        <w:ind w:left="108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3A0702"/>
    <w:multiLevelType w:val="hybridMultilevel"/>
    <w:tmpl w:val="0AC4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64DF"/>
    <w:multiLevelType w:val="multilevel"/>
    <w:tmpl w:val="3D66F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075007"/>
    <w:multiLevelType w:val="hybridMultilevel"/>
    <w:tmpl w:val="CFA0DE48"/>
    <w:lvl w:ilvl="0" w:tplc="B58A084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F32CFD"/>
    <w:multiLevelType w:val="hybridMultilevel"/>
    <w:tmpl w:val="5ABA0C8E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0F875606"/>
    <w:multiLevelType w:val="multilevel"/>
    <w:tmpl w:val="2E025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12023BB"/>
    <w:multiLevelType w:val="hybridMultilevel"/>
    <w:tmpl w:val="E7CAE4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47F21"/>
    <w:multiLevelType w:val="singleLevel"/>
    <w:tmpl w:val="E632BF7E"/>
    <w:lvl w:ilvl="0">
      <w:start w:val="1"/>
      <w:numFmt w:val="bullet"/>
      <w:pStyle w:val="ListBulletlas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</w:abstractNum>
  <w:abstractNum w:abstractNumId="12">
    <w:nsid w:val="280C20E9"/>
    <w:multiLevelType w:val="hybridMultilevel"/>
    <w:tmpl w:val="8CD8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B7BDF"/>
    <w:multiLevelType w:val="hybridMultilevel"/>
    <w:tmpl w:val="CC54642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1070C1B"/>
    <w:multiLevelType w:val="hybridMultilevel"/>
    <w:tmpl w:val="5AC471F0"/>
    <w:lvl w:ilvl="0" w:tplc="A314B90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F1C9A"/>
    <w:multiLevelType w:val="hybridMultilevel"/>
    <w:tmpl w:val="EBD621F6"/>
    <w:lvl w:ilvl="0" w:tplc="B58A08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>
    <w:nsid w:val="36063FAC"/>
    <w:multiLevelType w:val="hybridMultilevel"/>
    <w:tmpl w:val="BC2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BB79B2"/>
    <w:multiLevelType w:val="hybridMultilevel"/>
    <w:tmpl w:val="F24029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4B025C8D"/>
    <w:multiLevelType w:val="hybridMultilevel"/>
    <w:tmpl w:val="F2B8074A"/>
    <w:lvl w:ilvl="0" w:tplc="025E4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47BEC"/>
    <w:multiLevelType w:val="hybridMultilevel"/>
    <w:tmpl w:val="CF00CE6E"/>
    <w:lvl w:ilvl="0" w:tplc="B57E2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12FA4"/>
    <w:multiLevelType w:val="multilevel"/>
    <w:tmpl w:val="92F8E22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4B54E8E"/>
    <w:multiLevelType w:val="hybridMultilevel"/>
    <w:tmpl w:val="D7267BEC"/>
    <w:lvl w:ilvl="0" w:tplc="B57E2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854A8"/>
    <w:multiLevelType w:val="hybridMultilevel"/>
    <w:tmpl w:val="4D9CCB48"/>
    <w:lvl w:ilvl="0" w:tplc="6DA617D2">
      <w:numFmt w:val="bullet"/>
      <w:lvlText w:val="•"/>
      <w:lvlJc w:val="left"/>
      <w:pPr>
        <w:ind w:left="585" w:hanging="585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233697"/>
    <w:multiLevelType w:val="multilevel"/>
    <w:tmpl w:val="EDCA1094"/>
    <w:lvl w:ilvl="0">
      <w:start w:val="1"/>
      <w:numFmt w:val="decimal"/>
      <w:pStyle w:val="Heading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75B56AB8"/>
    <w:multiLevelType w:val="hybridMultilevel"/>
    <w:tmpl w:val="B2A8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9"/>
  </w:num>
  <w:num w:numId="5">
    <w:abstractNumId w:val="20"/>
  </w:num>
  <w:num w:numId="6">
    <w:abstractNumId w:val="14"/>
  </w:num>
  <w:num w:numId="7">
    <w:abstractNumId w:val="4"/>
  </w:num>
  <w:num w:numId="8">
    <w:abstractNumId w:val="6"/>
  </w:num>
  <w:num w:numId="9">
    <w:abstractNumId w:val="3"/>
  </w:num>
  <w:num w:numId="10">
    <w:abstractNumId w:val="6"/>
  </w:num>
  <w:num w:numId="11">
    <w:abstractNumId w:val="3"/>
  </w:num>
  <w:num w:numId="12">
    <w:abstractNumId w:val="6"/>
  </w:num>
  <w:num w:numId="13">
    <w:abstractNumId w:val="3"/>
  </w:num>
  <w:num w:numId="14">
    <w:abstractNumId w:val="25"/>
  </w:num>
  <w:num w:numId="15">
    <w:abstractNumId w:val="25"/>
  </w:num>
  <w:num w:numId="16">
    <w:abstractNumId w:val="0"/>
  </w:num>
  <w:num w:numId="17">
    <w:abstractNumId w:val="11"/>
  </w:num>
  <w:num w:numId="18">
    <w:abstractNumId w:val="25"/>
  </w:num>
  <w:num w:numId="19">
    <w:abstractNumId w:val="2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11"/>
  </w:num>
  <w:num w:numId="30">
    <w:abstractNumId w:val="15"/>
  </w:num>
  <w:num w:numId="31">
    <w:abstractNumId w:val="22"/>
  </w:num>
  <w:num w:numId="32">
    <w:abstractNumId w:val="17"/>
  </w:num>
  <w:num w:numId="33">
    <w:abstractNumId w:val="7"/>
  </w:num>
  <w:num w:numId="34">
    <w:abstractNumId w:val="18"/>
  </w:num>
  <w:num w:numId="35">
    <w:abstractNumId w:val="2"/>
  </w:num>
  <w:num w:numId="36">
    <w:abstractNumId w:val="19"/>
  </w:num>
  <w:num w:numId="37">
    <w:abstractNumId w:val="1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6"/>
  </w:num>
  <w:num w:numId="41">
    <w:abstractNumId w:val="10"/>
  </w:num>
  <w:num w:numId="42">
    <w:abstractNumId w:val="5"/>
  </w:num>
  <w:num w:numId="43">
    <w:abstractNumId w:val="26"/>
  </w:num>
  <w:num w:numId="44">
    <w:abstractNumId w:val="21"/>
  </w:num>
  <w:num w:numId="45">
    <w:abstractNumId w:val="23"/>
  </w:num>
  <w:num w:numId="46">
    <w:abstractNumId w:val="12"/>
  </w:num>
  <w:num w:numId="47">
    <w:abstractNumId w:val="8"/>
  </w:num>
  <w:num w:numId="48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SA Agnija (ENER)">
    <w15:presenceInfo w15:providerId="None" w15:userId="RASA Agnija (ENE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7A6AE924-4545-485C-9C37-111B0616CB96"/>
    <w:docVar w:name="LW_COVERPAGE_TYPE" w:val="1"/>
    <w:docVar w:name="LW_CROSSREFERENCE" w:val="&lt;UNUSED&gt;"/>
    <w:docVar w:name="LW_DocType" w:val="NORMAL"/>
    <w:docVar w:name="LW_EMISSION" w:val="9.4.2019"/>
    <w:docVar w:name="LW_EMISSION_ISODATE" w:val="2019-04-09"/>
    <w:docVar w:name="LW_EMISSION_LOCATION" w:val="BRX"/>
    <w:docVar w:name="LW_EMISSION_PREFIX" w:val="V Bruselu dne "/>
    <w:docVar w:name="LW_EMISSION_SUFFIX" w:val=" "/>
    <w:docVar w:name="LW_ID_DOCTYPE_NONLW" w:val="CP-006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22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Posouzení pokroku, jeho\u382? \u269?lenské státy dosáhly p\u345?i pln\u283?ní svých vnitrostátních cíl\u367? energetické ú\u269?innosti pro rok 2020 a p\u345?i provád\u283?ní sm\u283?rnice o energetické ú\u269?innosti 2012/27/EU, po\u382?adované podle \u269?l. 24 odst. 3 této sm\u283?rnice (2018)"/>
    <w:docVar w:name="LW_TYPE.DOC.CP" w:val="ZPRÁVA KOMISE EVROPSKÉMU PARLAMENTU A RAD\u282?"/>
    <w:docVar w:name="Stamp" w:val="\\dossiers.dgt.cec.eu.int\dossiers\ENER\ENER-2019-00346\ENER-2019-00346-00-00-EN-EDT-00.201903010916441757876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4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afterAutospacing="1"/>
      <w:jc w:val="both"/>
    </w:pPr>
  </w:style>
  <w:style w:type="paragraph" w:styleId="Heading1">
    <w:name w:val="heading 1"/>
    <w:aliases w:val=" Char,(Section),MOVE-it 1,Heading 11,Hoofdstuk,Επικεφαλίδα 1 ΌΧΙ,Heading 1 - Main Heading of Document,F3 Heading 1 - Section,Numbered - 1,Section,Chapter Hdg,h1,CH TITLE 1,Chapter Heading,AChapter,Sub code header,Section Heading,Do Not Use,1"/>
    <w:basedOn w:val="Normal"/>
    <w:next w:val="Normal"/>
    <w:link w:val="Heading1Char"/>
    <w:qFormat/>
    <w:pPr>
      <w:keepNext/>
      <w:numPr>
        <w:numId w:val="28"/>
      </w:numPr>
      <w:spacing w:before="360" w:after="18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eading Two,h2,(1.1,1.2,1.3 etc),Prophead 2,2,RFP Heading 2,Activit...,Activity,l2,H2,2/1,Heading 21,Paragraaf,cv titles,(SubSection),F4 Heading 2 - SubSection,(Main Heading),ASection,Heading 2 - Main Heading within Document,Major,Outline2,Par"/>
    <w:basedOn w:val="Normal"/>
    <w:link w:val="Heading2Char"/>
    <w:autoRedefine/>
    <w:qFormat/>
    <w:pPr>
      <w:keepNext/>
      <w:numPr>
        <w:ilvl w:val="1"/>
        <w:numId w:val="31"/>
      </w:numPr>
      <w:spacing w:before="120" w:after="120" w:afterAutospacing="0"/>
      <w:outlineLvl w:val="1"/>
    </w:pPr>
  </w:style>
  <w:style w:type="paragraph" w:styleId="Heading3">
    <w:name w:val="heading 3"/>
    <w:aliases w:val="H3,Prophead 3,h3,HHHeading,Heading 31,Heading 32,Heading 33,Heading...,Subparagraaf,Heading 3 - Bold heading for document - will appear in index,Outline3,F5 Heading 3,Numbered - 3,Heading level 3,l3,CT,h3 sub heading,Head 3,3m,H31,(Alt+3),1.2."/>
    <w:basedOn w:val="Normal"/>
    <w:next w:val="Normal"/>
    <w:link w:val="Heading3Char"/>
    <w:unhideWhenUsed/>
    <w:qFormat/>
    <w:pPr>
      <w:keepNext/>
      <w:numPr>
        <w:ilvl w:val="2"/>
        <w:numId w:val="28"/>
      </w:numPr>
      <w:spacing w:before="240" w:after="480"/>
      <w:outlineLvl w:val="2"/>
    </w:pPr>
    <w:rPr>
      <w:b/>
      <w:bCs/>
    </w:rPr>
  </w:style>
  <w:style w:type="paragraph" w:styleId="Heading4">
    <w:name w:val="heading 4"/>
    <w:aliases w:val="ALK_K4,NEA4,Kopje,Tussenkop,NEAbijlage,12u,ADVICE 4,Kop 4 Char,12u Char,ADVICE 4 Char,H4,h4,Kop 4 Char1,NEA4 Char1,12u Char1,ADVICE 4 Char1,Kop 4 Char Char,NEAbijlage Char Char,12u Char Char"/>
    <w:basedOn w:val="Normal"/>
    <w:next w:val="Normal"/>
    <w:link w:val="Heading4Char"/>
    <w:qFormat/>
    <w:pPr>
      <w:keepNext/>
      <w:numPr>
        <w:ilvl w:val="3"/>
        <w:numId w:val="28"/>
      </w:numPr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28"/>
      </w:numPr>
      <w:spacing w:before="240" w:after="60" w:afterAutospacing="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28"/>
      </w:numPr>
      <w:spacing w:before="240" w:after="60" w:afterAutospacing="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28"/>
      </w:numPr>
      <w:spacing w:before="240" w:after="60" w:afterAutospacing="0"/>
      <w:outlineLvl w:val="8"/>
    </w:pPr>
    <w:rPr>
      <w:rFonts w:ascii="Arial" w:hAnsi="Arial" w:cs="Arial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IIIA">
    <w:name w:val="Heading II IA"/>
    <w:basedOn w:val="Normal"/>
    <w:link w:val="HeadingIIIAChar"/>
    <w:autoRedefine/>
    <w:pPr>
      <w:autoSpaceDE w:val="0"/>
      <w:autoSpaceDN w:val="0"/>
      <w:adjustRightInd w:val="0"/>
      <w:spacing w:before="120" w:after="120"/>
      <w:ind w:left="720" w:hanging="360"/>
    </w:pPr>
    <w:rPr>
      <w:b/>
      <w:bCs/>
      <w:color w:val="000000"/>
    </w:rPr>
  </w:style>
  <w:style w:type="character" w:customStyle="1" w:styleId="HeadingIIIAChar">
    <w:name w:val="Heading II IA Char"/>
    <w:basedOn w:val="DefaultParagraphFont"/>
    <w:link w:val="HeadingIIIA"/>
    <w:rPr>
      <w:b/>
      <w:bCs/>
      <w:color w:val="000000"/>
    </w:rPr>
  </w:style>
  <w:style w:type="paragraph" w:customStyle="1" w:styleId="Style1">
    <w:name w:val="Style1"/>
    <w:basedOn w:val="Heading1"/>
    <w:link w:val="Style1Char"/>
    <w:pPr>
      <w:numPr>
        <w:numId w:val="0"/>
      </w:numPr>
      <w:autoSpaceDE w:val="0"/>
      <w:autoSpaceDN w:val="0"/>
      <w:adjustRightInd w:val="0"/>
      <w:spacing w:before="120" w:after="120"/>
      <w:ind w:left="1080" w:hanging="360"/>
    </w:pPr>
    <w:rPr>
      <w:rFonts w:ascii="Cambria" w:eastAsia="Times New Roman" w:hAnsi="Cambria" w:cs="Times New Roman"/>
      <w:b w:val="0"/>
      <w:bCs w:val="0"/>
      <w:sz w:val="28"/>
      <w:szCs w:val="23"/>
    </w:rPr>
  </w:style>
  <w:style w:type="character" w:customStyle="1" w:styleId="Style1Char">
    <w:name w:val="Style1 Char"/>
    <w:basedOn w:val="ListParagraphChar"/>
    <w:link w:val="Style1"/>
    <w:rPr>
      <w:rFonts w:ascii="Cambria" w:hAnsi="Cambria"/>
      <w:color w:val="000000"/>
      <w:kern w:val="32"/>
      <w:sz w:val="28"/>
      <w:szCs w:val="23"/>
      <w:lang w:eastAsia="cs-CZ"/>
    </w:rPr>
  </w:style>
  <w:style w:type="character" w:customStyle="1" w:styleId="Heading1Char">
    <w:name w:val="Heading 1 Char"/>
    <w:aliases w:val=" Char Char,(Section) Char,MOVE-it 1 Char,Heading 11 Char,Hoofdstuk Char,Επικεφαλίδα 1 ΌΧΙ Char,Heading 1 - Main Heading of Document Char,F3 Heading 1 - Section Char,Numbered - 1 Char,Section Char,Chapter Hdg Char,h1 Char,CH TITLE 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Two Char,h2 Char,(1.1 Char,1.2 Char,1.3 etc) Char,Prophead 2 Char,2 Char,RFP Heading 2 Char,Activit... Char,Activity Char,l2 Char,H2 Char,2/1 Char,Heading 21 Char,Paragraaf Char,cv titles Char,(SubSection) Char,(Main Heading) Char"/>
    <w:link w:val="Heading2"/>
    <w:rPr>
      <w:lang w:val="cs-CZ"/>
    </w:rPr>
  </w:style>
  <w:style w:type="character" w:customStyle="1" w:styleId="Heading3Char">
    <w:name w:val="Heading 3 Char"/>
    <w:aliases w:val="H3 Char,Prophead 3 Char,h3 Char,HHHeading Char,Heading 31 Char,Heading 32 Char,Heading 33 Char,Heading... Char,Subparagraaf Char,Heading 3 - Bold heading for document - will appear in index Char,Outline3 Char,F5 Heading 3 Char,l3 Char"/>
    <w:link w:val="Heading3"/>
    <w:rPr>
      <w:b/>
      <w:bCs/>
    </w:rPr>
  </w:style>
  <w:style w:type="character" w:customStyle="1" w:styleId="Heading4Char">
    <w:name w:val="Heading 4 Char"/>
    <w:aliases w:val="ALK_K4 Char,NEA4 Char,Kopje Char,Tussenkop Char,NEAbijlage Char,12u Char2,ADVICE 4 Char2,Kop 4 Char Char1,12u Char Char1,ADVICE 4 Char Char,H4 Char,h4 Char,Kop 4 Char1 Char,NEA4 Char1 Char,12u Char1 Char,ADVICE 4 Char1 Char"/>
    <w:link w:val="Heading4"/>
    <w:rPr>
      <w:b/>
      <w:bCs/>
      <w:szCs w:val="28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Arial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i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left" w:pos="440"/>
        <w:tab w:val="right" w:leader="dot" w:pos="9062"/>
      </w:tabs>
    </w:pPr>
    <w:rPr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ind w:left="440"/>
    </w:pPr>
  </w:style>
  <w:style w:type="paragraph" w:styleId="FootnoteText">
    <w:name w:val="footnote text"/>
    <w:aliases w:val="-E Fußnotentext,Fußnotentext Ursprung,-E Fußnotentext1,-E Fußnotentext2,-E Fußnotentext3,Schriftart: 9 pt,Schriftart: 10 pt,Schriftart: 8 pt,WB-Fußnotentext,fn,Footnotes,Footnote ak,Char,Fußnote,Carattere,Footnote Text Char1,fn Char Char,f"/>
    <w:basedOn w:val="Normal"/>
    <w:link w:val="FootnoteTextChar"/>
    <w:uiPriority w:val="99"/>
    <w:qFormat/>
    <w:pPr>
      <w:spacing w:after="0" w:afterAutospacing="0"/>
    </w:pPr>
    <w:rPr>
      <w:sz w:val="20"/>
      <w:szCs w:val="20"/>
    </w:rPr>
  </w:style>
  <w:style w:type="paragraph" w:styleId="Caption">
    <w:name w:val="caption"/>
    <w:aliases w:val="caption for tables,figures,Beschriftung Char1 Cha...,Beschriftung Char2,Beschriftung Char1 Char1,Beschriftung Char Char Char1,Beschriftung Char1 Char Char,Beschriftung Char Char Char Char,Beschriftung Char Char1 Char,Tasks,Bijschrift CE Delft"/>
    <w:basedOn w:val="Normal"/>
    <w:next w:val="Normal"/>
    <w:link w:val="CaptionChar"/>
    <w:uiPriority w:val="4"/>
    <w:unhideWhenUsed/>
    <w:qFormat/>
    <w:rPr>
      <w:b/>
      <w:bCs/>
      <w:sz w:val="20"/>
      <w:szCs w:val="20"/>
    </w:rPr>
  </w:style>
  <w:style w:type="character" w:customStyle="1" w:styleId="CaptionChar">
    <w:name w:val="Caption Char"/>
    <w:aliases w:val="caption for tables Char,figures Char,Beschriftung Char1 Cha... Char,Beschriftung Char2 Char,Beschriftung Char1 Char1 Char,Beschriftung Char Char Char1 Char,Beschriftung Char1 Char Char Char,Beschriftung Char Char Char Char Char,Tasks Char"/>
    <w:link w:val="Caption"/>
    <w:uiPriority w:val="99"/>
    <w:locked/>
    <w:rPr>
      <w:b/>
      <w:bCs/>
      <w:sz w:val="20"/>
      <w:szCs w:val="20"/>
    </w:rPr>
  </w:style>
  <w:style w:type="character" w:styleId="FootnoteReference">
    <w:name w:val="footnote reference"/>
    <w:aliases w:val="SUPERS,Footnote symbol,Footnote,Voetnootverwijzing,Footnote number,fr,o,Footnotemark,FR,Footnotemark1,Footnotemark2,FR1,Footnotemark3,FR2,Footnotemark4,FR3,Footnotemark5,FR4,Footnotemark6,Footnotemark7,Footnotemark8,FR5,Footnotemark11"/>
    <w:uiPriority w:val="99"/>
    <w:qFormat/>
    <w:rPr>
      <w:vertAlign w:val="superscript"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F5 List Paragraph,Heading 2_sj,Report Para,WinDForce-Letter,List Paragraph (numbered (a),LISTA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,Heading 2_sj Char"/>
    <w:link w:val="ListParagraph"/>
    <w:uiPriority w:val="99"/>
    <w:qFormat/>
    <w:locked/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eastAsia="MS Gothic" w:cs="Times New Roman"/>
      <w:color w:val="365F91"/>
      <w:kern w:val="0"/>
      <w:sz w:val="28"/>
      <w:szCs w:val="28"/>
    </w:rPr>
  </w:style>
  <w:style w:type="paragraph" w:customStyle="1" w:styleId="Style3heading3">
    <w:name w:val="Style3_heading 3"/>
    <w:basedOn w:val="Heading3"/>
    <w:link w:val="Style3heading3Char"/>
    <w:qFormat/>
    <w:pPr>
      <w:numPr>
        <w:ilvl w:val="0"/>
        <w:numId w:val="0"/>
      </w:numPr>
      <w:spacing w:afterAutospacing="0"/>
      <w:ind w:left="720" w:hanging="720"/>
      <w:jc w:val="left"/>
    </w:pPr>
    <w:rPr>
      <w:b w:val="0"/>
      <w:i/>
    </w:rPr>
  </w:style>
  <w:style w:type="character" w:customStyle="1" w:styleId="Style3heading3Char">
    <w:name w:val="Style3_heading 3 Char"/>
    <w:basedOn w:val="DefaultParagraphFont"/>
    <w:link w:val="Style3heading3"/>
    <w:locked/>
    <w:rPr>
      <w:bCs/>
      <w:i/>
    </w:rPr>
  </w:style>
  <w:style w:type="paragraph" w:customStyle="1" w:styleId="Style2Heading2">
    <w:name w:val="Style2_Heading 2"/>
    <w:basedOn w:val="Heading3"/>
    <w:link w:val="Style2Heading2Char"/>
    <w:qFormat/>
    <w:pPr>
      <w:numPr>
        <w:ilvl w:val="0"/>
        <w:numId w:val="0"/>
      </w:numPr>
      <w:spacing w:afterAutospacing="0"/>
      <w:ind w:left="720" w:hanging="720"/>
      <w:jc w:val="left"/>
    </w:pPr>
  </w:style>
  <w:style w:type="character" w:customStyle="1" w:styleId="Style2Heading2Char">
    <w:name w:val="Style2_Heading 2 Char"/>
    <w:basedOn w:val="Heading3Char"/>
    <w:link w:val="Style2Heading2"/>
    <w:rPr>
      <w:b/>
      <w:bCs/>
    </w:rPr>
  </w:style>
  <w:style w:type="paragraph" w:customStyle="1" w:styleId="Releasable">
    <w:name w:val="Releasable"/>
    <w:basedOn w:val="Normal"/>
    <w:qFormat/>
    <w:pPr>
      <w:spacing w:after="0" w:afterAutospacing="0"/>
      <w:jc w:val="center"/>
    </w:pPr>
    <w:rPr>
      <w:b/>
      <w:caps/>
      <w:sz w:val="32"/>
      <w:szCs w:val="20"/>
    </w:rPr>
  </w:style>
  <w:style w:type="paragraph" w:customStyle="1" w:styleId="Normaldense">
    <w:name w:val="Normal dense"/>
    <w:basedOn w:val="Normal"/>
    <w:link w:val="NormaldenseChar"/>
    <w:qFormat/>
    <w:pPr>
      <w:spacing w:after="180" w:afterAutospacing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rmaldenseChar">
    <w:name w:val="Normal dense Char"/>
    <w:basedOn w:val="DefaultParagraphFont"/>
    <w:link w:val="Normaldense"/>
    <w:rPr>
      <w:rFonts w:asciiTheme="minorHAnsi" w:eastAsiaTheme="minorHAnsi" w:hAnsiTheme="minorHAnsi" w:cstheme="minorBidi"/>
      <w:sz w:val="20"/>
      <w:szCs w:val="20"/>
      <w:lang w:eastAsia="cs-CZ"/>
    </w:rPr>
  </w:style>
  <w:style w:type="paragraph" w:customStyle="1" w:styleId="ListBulletlast">
    <w:name w:val="List Bullet last"/>
    <w:basedOn w:val="ListBullet"/>
    <w:next w:val="BodyText"/>
    <w:qFormat/>
    <w:pPr>
      <w:numPr>
        <w:numId w:val="29"/>
      </w:numPr>
      <w:tabs>
        <w:tab w:val="left" w:pos="6840"/>
      </w:tabs>
      <w:spacing w:after="240" w:afterAutospacing="0" w:line="280" w:lineRule="exact"/>
      <w:contextualSpacing w:val="0"/>
      <w:jc w:val="left"/>
    </w:pPr>
    <w:rPr>
      <w:rFonts w:ascii="Arial" w:hAnsi="Arial"/>
      <w:snapToGrid w:val="0"/>
      <w:sz w:val="22"/>
      <w:szCs w:val="20"/>
    </w:rPr>
  </w:style>
  <w:style w:type="paragraph" w:styleId="ListBullet">
    <w:name w:val="List Bullet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afterAutospacing="0"/>
      <w:jc w:val="left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sz w:val="22"/>
      <w:szCs w:val="22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spacing w:val="15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 w:hint="default"/>
      <w:b/>
      <w:bCs/>
      <w:smallCaps/>
      <w:spacing w:val="5"/>
    </w:rPr>
  </w:style>
  <w:style w:type="paragraph" w:customStyle="1" w:styleId="Text1">
    <w:name w:val="Text 1"/>
    <w:basedOn w:val="Normal"/>
    <w:pPr>
      <w:spacing w:before="120" w:after="120" w:afterAutospacing="0"/>
      <w:ind w:left="850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afterAutospacing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HAnsi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200" w:afterAutospacing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eastAsiaTheme="minorHAnsi" w:hAnsiTheme="minorHAnsi" w:cstheme="minorBidi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Theme="minorHAnsi" w:eastAsiaTheme="minorHAnsi" w:hAnsiTheme="minorHAnsi" w:cstheme="minorBidi"/>
      <w:b/>
      <w:bCs/>
      <w:sz w:val="20"/>
      <w:szCs w:val="20"/>
      <w:lang w:eastAsia="cs-CZ"/>
    </w:rPr>
  </w:style>
  <w:style w:type="paragraph" w:customStyle="1" w:styleId="Tiret1">
    <w:name w:val="Tiret 1"/>
    <w:basedOn w:val="Normal"/>
    <w:pPr>
      <w:numPr>
        <w:numId w:val="34"/>
      </w:numPr>
      <w:tabs>
        <w:tab w:val="clear" w:pos="1417"/>
        <w:tab w:val="num" w:pos="360"/>
      </w:tabs>
      <w:spacing w:before="120" w:after="120" w:afterAutospacing="0"/>
      <w:ind w:left="0" w:firstLine="0"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afterAutospacing="0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Cs w:val="22"/>
      <w:lang w:eastAsia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afterAutospacing="0"/>
      <w:ind w:left="-850" w:right="-850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Cs w:val="22"/>
      <w:lang w:eastAsia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afterAutospacing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afterAutospacing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afterAutospacing="0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afterAutospacing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Theme="minorHAnsi" w:eastAsiaTheme="minorHAnsi" w:hAnsiTheme="minorHAnsi" w:cstheme="minorBidi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rPr>
      <w:rFonts w:asciiTheme="minorHAnsi" w:eastAsiaTheme="minorHAnsi" w:hAnsiTheme="minorHAnsi" w:cstheme="minorBidi"/>
      <w:sz w:val="22"/>
      <w:szCs w:val="22"/>
    </w:rPr>
  </w:style>
  <w:style w:type="paragraph" w:customStyle="1" w:styleId="ListDash">
    <w:name w:val="List Dash"/>
    <w:basedOn w:val="Normal"/>
    <w:pPr>
      <w:numPr>
        <w:numId w:val="40"/>
      </w:numPr>
      <w:spacing w:after="240" w:afterAutospacing="0"/>
    </w:pPr>
    <w:rPr>
      <w:szCs w:val="20"/>
    </w:rPr>
  </w:style>
  <w:style w:type="paragraph" w:customStyle="1" w:styleId="CM1">
    <w:name w:val="CM1"/>
    <w:basedOn w:val="Default"/>
    <w:next w:val="Default"/>
    <w:uiPriority w:val="99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EUAlbertina" w:hAnsi="EUAlbertina" w:cstheme="minorBidi"/>
      <w:color w:val="auto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afterAutospacing="0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 w:val="22"/>
      <w:szCs w:val="21"/>
      <w:lang w:eastAsia="cs-CZ"/>
    </w:rPr>
  </w:style>
  <w:style w:type="paragraph" w:styleId="NormalWeb">
    <w:name w:val="Normal (Web)"/>
    <w:basedOn w:val="Normal"/>
    <w:uiPriority w:val="99"/>
    <w:semiHidden/>
    <w:unhideWhenUsed/>
    <w:pPr>
      <w:spacing w:after="0" w:afterAutospacing="0"/>
      <w:jc w:val="left"/>
    </w:pPr>
    <w:rPr>
      <w:rFonts w:eastAsiaTheme="minorHAnsi"/>
    </w:rPr>
  </w:style>
  <w:style w:type="table" w:customStyle="1" w:styleId="GridTable4-Accent51">
    <w:name w:val="Grid Table 4 - Accent 51"/>
    <w:basedOn w:val="TableNormal"/>
    <w:uiPriority w:val="4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</w:rPr>
  </w:style>
  <w:style w:type="table" w:styleId="LightList-Accent1">
    <w:name w:val="Light List Accent 1"/>
    <w:basedOn w:val="TableNormal"/>
    <w:uiPriority w:val="6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classification">
    <w:name w:val="Declassification"/>
    <w:basedOn w:val="Normal"/>
    <w:next w:val="Normal"/>
    <w:pPr>
      <w:spacing w:after="0" w:afterAutospacing="0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afterAutospacing="0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afterAutospacing="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afterAutospacing="0"/>
      <w:ind w:left="-567" w:right="-567"/>
      <w:jc w:val="left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afterAutospacing="0"/>
      <w:ind w:left="113" w:right="113"/>
      <w:jc w:val="center"/>
    </w:pPr>
    <w:rPr>
      <w:b/>
      <w:sz w:val="32"/>
    </w:rPr>
  </w:style>
  <w:style w:type="paragraph" w:customStyle="1" w:styleId="BasistekstCEDelft">
    <w:name w:val="Basistekst CE Delft"/>
    <w:basedOn w:val="Normal"/>
    <w:qFormat/>
    <w:pPr>
      <w:spacing w:after="0" w:afterAutospacing="0" w:line="240" w:lineRule="atLeast"/>
      <w:jc w:val="left"/>
    </w:pPr>
    <w:rPr>
      <w:rFonts w:ascii="Calibri" w:hAnsi="Calibri" w:cs="Maiandra GD"/>
      <w:color w:val="000000" w:themeColor="text1"/>
      <w:sz w:val="20"/>
      <w:szCs w:val="18"/>
    </w:rPr>
  </w:style>
  <w:style w:type="paragraph" w:customStyle="1" w:styleId="JRCText">
    <w:name w:val="JRC_Text"/>
    <w:basedOn w:val="Normal"/>
    <w:autoRedefine/>
    <w:qFormat/>
    <w:pPr>
      <w:spacing w:before="120" w:after="120" w:afterAutospacing="0"/>
      <w:ind w:left="66"/>
    </w:pPr>
    <w:rPr>
      <w:rFonts w:ascii="Verdana" w:eastAsia="Calibri" w:hAnsi="Verdana"/>
      <w:sz w:val="20"/>
      <w:szCs w:val="22"/>
    </w:rPr>
  </w:style>
  <w:style w:type="paragraph" w:styleId="Bibliography">
    <w:name w:val="Bibliography"/>
    <w:basedOn w:val="Normal"/>
    <w:next w:val="Normal"/>
    <w:uiPriority w:val="37"/>
    <w:unhideWhenUsed/>
    <w:pPr>
      <w:spacing w:before="120" w:after="120" w:afterAutospacing="0"/>
    </w:pPr>
    <w:rPr>
      <w:rFonts w:ascii="Verdana" w:hAnsi="Verdana"/>
      <w:sz w:val="20"/>
      <w:szCs w:val="22"/>
    </w:rPr>
  </w:style>
  <w:style w:type="paragraph" w:customStyle="1" w:styleId="TabeltekstCEDelft">
    <w:name w:val="Tabeltekst CE Delft"/>
    <w:basedOn w:val="Normal"/>
    <w:uiPriority w:val="4"/>
    <w:pPr>
      <w:spacing w:after="0" w:afterAutospacing="0" w:line="240" w:lineRule="atLeast"/>
      <w:jc w:val="left"/>
    </w:pPr>
    <w:rPr>
      <w:rFonts w:ascii="Calibri" w:hAnsi="Calibri" w:cs="Maiandra GD"/>
      <w:color w:val="000000" w:themeColor="text1"/>
      <w:sz w:val="16"/>
      <w:szCs w:val="18"/>
    </w:rPr>
  </w:style>
  <w:style w:type="paragraph" w:customStyle="1" w:styleId="TabelkopjeCEDelft">
    <w:name w:val="Tabelkopje CE Delft"/>
    <w:basedOn w:val="Normal"/>
    <w:next w:val="TabeltekstCEDelft"/>
    <w:uiPriority w:val="4"/>
    <w:pPr>
      <w:spacing w:after="0" w:afterAutospacing="0" w:line="240" w:lineRule="atLeast"/>
      <w:jc w:val="left"/>
    </w:pPr>
    <w:rPr>
      <w:rFonts w:ascii="Calibri" w:hAnsi="Calibri" w:cs="Maiandra GD"/>
      <w:b/>
      <w:color w:val="000000" w:themeColor="text1"/>
      <w:sz w:val="16"/>
      <w:szCs w:val="18"/>
    </w:rPr>
  </w:style>
  <w:style w:type="table" w:customStyle="1" w:styleId="TabelstijlCEDelft">
    <w:name w:val="Tabelstijl CE Delft"/>
    <w:basedOn w:val="TableNormal"/>
    <w:uiPriority w:val="99"/>
    <w:pPr>
      <w:spacing w:line="240" w:lineRule="atLeast"/>
    </w:pPr>
    <w:rPr>
      <w:sz w:val="20"/>
      <w:szCs w:val="20"/>
    </w:rPr>
    <w:tblPr>
      <w:tblStyleRowBandSize w:val="1"/>
      <w:tblBorders>
        <w:top w:val="single" w:sz="4" w:space="0" w:color="009EE0"/>
        <w:left w:val="single" w:sz="4" w:space="0" w:color="009EE0"/>
        <w:bottom w:val="single" w:sz="4" w:space="0" w:color="009EE0"/>
        <w:right w:val="single" w:sz="4" w:space="0" w:color="009EE0"/>
        <w:insideH w:val="single" w:sz="4" w:space="0" w:color="009EE0"/>
        <w:insideV w:val="single" w:sz="4" w:space="0" w:color="009EE0"/>
      </w:tblBorders>
      <w:tblCellMar>
        <w:left w:w="85" w:type="dxa"/>
        <w:right w:w="85" w:type="dxa"/>
      </w:tblCellMar>
    </w:tblPr>
    <w:tblStylePr w:type="firstRow">
      <w:tblPr/>
      <w:tcPr>
        <w:shd w:val="clear" w:color="auto" w:fill="B9E4FF"/>
      </w:tcPr>
    </w:tblStylePr>
    <w:tblStylePr w:type="band2Horz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single" w:sz="4" w:space="0" w:color="4F81BD" w:themeColor="accent1"/>
          <w:tl2br w:val="nil"/>
          <w:tr2bl w:val="nil"/>
        </w:tcBorders>
        <w:shd w:val="clear" w:color="auto" w:fill="E1F4FF"/>
      </w:tcPr>
    </w:tblStylePr>
  </w:style>
  <w:style w:type="character" w:customStyle="1" w:styleId="FootnoteTextChar">
    <w:name w:val="Footnote Text Char"/>
    <w:aliases w:val="-E Fußnotentext Char,Fußnotentext Ursprung Char,-E Fußnotentext1 Char,-E Fußnotentext2 Char,-E Fußnotentext3 Char,Schriftart: 9 pt Char,Schriftart: 10 pt Char,Schriftart: 8 pt Char,WB-Fußnotentext Char,fn Char,Footnotes Char,Char Char"/>
    <w:basedOn w:val="DefaultParagraphFont"/>
    <w:link w:val="FootnoteText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4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afterAutospacing="1"/>
      <w:jc w:val="both"/>
    </w:pPr>
  </w:style>
  <w:style w:type="paragraph" w:styleId="Heading1">
    <w:name w:val="heading 1"/>
    <w:aliases w:val=" Char,(Section),MOVE-it 1,Heading 11,Hoofdstuk,Επικεφαλίδα 1 ΌΧΙ,Heading 1 - Main Heading of Document,F3 Heading 1 - Section,Numbered - 1,Section,Chapter Hdg,h1,CH TITLE 1,Chapter Heading,AChapter,Sub code header,Section Heading,Do Not Use,1"/>
    <w:basedOn w:val="Normal"/>
    <w:next w:val="Normal"/>
    <w:link w:val="Heading1Char"/>
    <w:qFormat/>
    <w:pPr>
      <w:keepNext/>
      <w:numPr>
        <w:numId w:val="28"/>
      </w:numPr>
      <w:spacing w:before="360" w:after="18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eading Two,h2,(1.1,1.2,1.3 etc),Prophead 2,2,RFP Heading 2,Activit...,Activity,l2,H2,2/1,Heading 21,Paragraaf,cv titles,(SubSection),F4 Heading 2 - SubSection,(Main Heading),ASection,Heading 2 - Main Heading within Document,Major,Outline2,Par"/>
    <w:basedOn w:val="Normal"/>
    <w:link w:val="Heading2Char"/>
    <w:autoRedefine/>
    <w:qFormat/>
    <w:pPr>
      <w:keepNext/>
      <w:numPr>
        <w:ilvl w:val="1"/>
        <w:numId w:val="31"/>
      </w:numPr>
      <w:spacing w:before="120" w:after="120" w:afterAutospacing="0"/>
      <w:outlineLvl w:val="1"/>
    </w:pPr>
  </w:style>
  <w:style w:type="paragraph" w:styleId="Heading3">
    <w:name w:val="heading 3"/>
    <w:aliases w:val="H3,Prophead 3,h3,HHHeading,Heading 31,Heading 32,Heading 33,Heading...,Subparagraaf,Heading 3 - Bold heading for document - will appear in index,Outline3,F5 Heading 3,Numbered - 3,Heading level 3,l3,CT,h3 sub heading,Head 3,3m,H31,(Alt+3),1.2."/>
    <w:basedOn w:val="Normal"/>
    <w:next w:val="Normal"/>
    <w:link w:val="Heading3Char"/>
    <w:unhideWhenUsed/>
    <w:qFormat/>
    <w:pPr>
      <w:keepNext/>
      <w:numPr>
        <w:ilvl w:val="2"/>
        <w:numId w:val="28"/>
      </w:numPr>
      <w:spacing w:before="240" w:after="480"/>
      <w:outlineLvl w:val="2"/>
    </w:pPr>
    <w:rPr>
      <w:b/>
      <w:bCs/>
    </w:rPr>
  </w:style>
  <w:style w:type="paragraph" w:styleId="Heading4">
    <w:name w:val="heading 4"/>
    <w:aliases w:val="ALK_K4,NEA4,Kopje,Tussenkop,NEAbijlage,12u,ADVICE 4,Kop 4 Char,12u Char,ADVICE 4 Char,H4,h4,Kop 4 Char1,NEA4 Char1,12u Char1,ADVICE 4 Char1,Kop 4 Char Char,NEAbijlage Char Char,12u Char Char"/>
    <w:basedOn w:val="Normal"/>
    <w:next w:val="Normal"/>
    <w:link w:val="Heading4Char"/>
    <w:qFormat/>
    <w:pPr>
      <w:keepNext/>
      <w:numPr>
        <w:ilvl w:val="3"/>
        <w:numId w:val="28"/>
      </w:numPr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28"/>
      </w:numPr>
      <w:spacing w:before="240" w:after="60" w:afterAutospacing="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28"/>
      </w:numPr>
      <w:spacing w:before="240" w:after="60" w:afterAutospacing="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28"/>
      </w:numPr>
      <w:spacing w:before="240" w:after="60" w:afterAutospacing="0"/>
      <w:outlineLvl w:val="8"/>
    </w:pPr>
    <w:rPr>
      <w:rFonts w:ascii="Arial" w:hAnsi="Arial" w:cs="Arial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IIIA">
    <w:name w:val="Heading II IA"/>
    <w:basedOn w:val="Normal"/>
    <w:link w:val="HeadingIIIAChar"/>
    <w:autoRedefine/>
    <w:pPr>
      <w:autoSpaceDE w:val="0"/>
      <w:autoSpaceDN w:val="0"/>
      <w:adjustRightInd w:val="0"/>
      <w:spacing w:before="120" w:after="120"/>
      <w:ind w:left="720" w:hanging="360"/>
    </w:pPr>
    <w:rPr>
      <w:b/>
      <w:bCs/>
      <w:color w:val="000000"/>
    </w:rPr>
  </w:style>
  <w:style w:type="character" w:customStyle="1" w:styleId="HeadingIIIAChar">
    <w:name w:val="Heading II IA Char"/>
    <w:basedOn w:val="DefaultParagraphFont"/>
    <w:link w:val="HeadingIIIA"/>
    <w:rPr>
      <w:b/>
      <w:bCs/>
      <w:color w:val="000000"/>
    </w:rPr>
  </w:style>
  <w:style w:type="paragraph" w:customStyle="1" w:styleId="Style1">
    <w:name w:val="Style1"/>
    <w:basedOn w:val="Heading1"/>
    <w:link w:val="Style1Char"/>
    <w:pPr>
      <w:numPr>
        <w:numId w:val="0"/>
      </w:numPr>
      <w:autoSpaceDE w:val="0"/>
      <w:autoSpaceDN w:val="0"/>
      <w:adjustRightInd w:val="0"/>
      <w:spacing w:before="120" w:after="120"/>
      <w:ind w:left="1080" w:hanging="360"/>
    </w:pPr>
    <w:rPr>
      <w:rFonts w:ascii="Cambria" w:eastAsia="Times New Roman" w:hAnsi="Cambria" w:cs="Times New Roman"/>
      <w:b w:val="0"/>
      <w:bCs w:val="0"/>
      <w:sz w:val="28"/>
      <w:szCs w:val="23"/>
    </w:rPr>
  </w:style>
  <w:style w:type="character" w:customStyle="1" w:styleId="Style1Char">
    <w:name w:val="Style1 Char"/>
    <w:basedOn w:val="ListParagraphChar"/>
    <w:link w:val="Style1"/>
    <w:rPr>
      <w:rFonts w:ascii="Cambria" w:hAnsi="Cambria"/>
      <w:color w:val="000000"/>
      <w:kern w:val="32"/>
      <w:sz w:val="28"/>
      <w:szCs w:val="23"/>
      <w:lang w:eastAsia="cs-CZ"/>
    </w:rPr>
  </w:style>
  <w:style w:type="character" w:customStyle="1" w:styleId="Heading1Char">
    <w:name w:val="Heading 1 Char"/>
    <w:aliases w:val=" Char Char,(Section) Char,MOVE-it 1 Char,Heading 11 Char,Hoofdstuk Char,Επικεφαλίδα 1 ΌΧΙ Char,Heading 1 - Main Heading of Document Char,F3 Heading 1 - Section Char,Numbered - 1 Char,Section Char,Chapter Hdg Char,h1 Char,CH TITLE 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Two Char,h2 Char,(1.1 Char,1.2 Char,1.3 etc) Char,Prophead 2 Char,2 Char,RFP Heading 2 Char,Activit... Char,Activity Char,l2 Char,H2 Char,2/1 Char,Heading 21 Char,Paragraaf Char,cv titles Char,(SubSection) Char,(Main Heading) Char"/>
    <w:link w:val="Heading2"/>
    <w:rPr>
      <w:lang w:val="cs-CZ"/>
    </w:rPr>
  </w:style>
  <w:style w:type="character" w:customStyle="1" w:styleId="Heading3Char">
    <w:name w:val="Heading 3 Char"/>
    <w:aliases w:val="H3 Char,Prophead 3 Char,h3 Char,HHHeading Char,Heading 31 Char,Heading 32 Char,Heading 33 Char,Heading... Char,Subparagraaf Char,Heading 3 - Bold heading for document - will appear in index Char,Outline3 Char,F5 Heading 3 Char,l3 Char"/>
    <w:link w:val="Heading3"/>
    <w:rPr>
      <w:b/>
      <w:bCs/>
    </w:rPr>
  </w:style>
  <w:style w:type="character" w:customStyle="1" w:styleId="Heading4Char">
    <w:name w:val="Heading 4 Char"/>
    <w:aliases w:val="ALK_K4 Char,NEA4 Char,Kopje Char,Tussenkop Char,NEAbijlage Char,12u Char2,ADVICE 4 Char2,Kop 4 Char Char1,12u Char Char1,ADVICE 4 Char Char,H4 Char,h4 Char,Kop 4 Char1 Char,NEA4 Char1 Char,12u Char1 Char,ADVICE 4 Char1 Char"/>
    <w:link w:val="Heading4"/>
    <w:rPr>
      <w:b/>
      <w:bCs/>
      <w:szCs w:val="28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Arial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i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left" w:pos="440"/>
        <w:tab w:val="right" w:leader="dot" w:pos="9062"/>
      </w:tabs>
    </w:pPr>
    <w:rPr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ind w:left="440"/>
    </w:pPr>
  </w:style>
  <w:style w:type="paragraph" w:styleId="FootnoteText">
    <w:name w:val="footnote text"/>
    <w:aliases w:val="-E Fußnotentext,Fußnotentext Ursprung,-E Fußnotentext1,-E Fußnotentext2,-E Fußnotentext3,Schriftart: 9 pt,Schriftart: 10 pt,Schriftart: 8 pt,WB-Fußnotentext,fn,Footnotes,Footnote ak,Char,Fußnote,Carattere,Footnote Text Char1,fn Char Char,f"/>
    <w:basedOn w:val="Normal"/>
    <w:link w:val="FootnoteTextChar"/>
    <w:uiPriority w:val="99"/>
    <w:qFormat/>
    <w:pPr>
      <w:spacing w:after="0" w:afterAutospacing="0"/>
    </w:pPr>
    <w:rPr>
      <w:sz w:val="20"/>
      <w:szCs w:val="20"/>
    </w:rPr>
  </w:style>
  <w:style w:type="paragraph" w:styleId="Caption">
    <w:name w:val="caption"/>
    <w:aliases w:val="caption for tables,figures,Beschriftung Char1 Cha...,Beschriftung Char2,Beschriftung Char1 Char1,Beschriftung Char Char Char1,Beschriftung Char1 Char Char,Beschriftung Char Char Char Char,Beschriftung Char Char1 Char,Tasks,Bijschrift CE Delft"/>
    <w:basedOn w:val="Normal"/>
    <w:next w:val="Normal"/>
    <w:link w:val="CaptionChar"/>
    <w:uiPriority w:val="4"/>
    <w:unhideWhenUsed/>
    <w:qFormat/>
    <w:rPr>
      <w:b/>
      <w:bCs/>
      <w:sz w:val="20"/>
      <w:szCs w:val="20"/>
    </w:rPr>
  </w:style>
  <w:style w:type="character" w:customStyle="1" w:styleId="CaptionChar">
    <w:name w:val="Caption Char"/>
    <w:aliases w:val="caption for tables Char,figures Char,Beschriftung Char1 Cha... Char,Beschriftung Char2 Char,Beschriftung Char1 Char1 Char,Beschriftung Char Char Char1 Char,Beschriftung Char1 Char Char Char,Beschriftung Char Char Char Char Char,Tasks Char"/>
    <w:link w:val="Caption"/>
    <w:uiPriority w:val="99"/>
    <w:locked/>
    <w:rPr>
      <w:b/>
      <w:bCs/>
      <w:sz w:val="20"/>
      <w:szCs w:val="20"/>
    </w:rPr>
  </w:style>
  <w:style w:type="character" w:styleId="FootnoteReference">
    <w:name w:val="footnote reference"/>
    <w:aliases w:val="SUPERS,Footnote symbol,Footnote,Voetnootverwijzing,Footnote number,fr,o,Footnotemark,FR,Footnotemark1,Footnotemark2,FR1,Footnotemark3,FR2,Footnotemark4,FR3,Footnotemark5,FR4,Footnotemark6,Footnotemark7,Footnotemark8,FR5,Footnotemark11"/>
    <w:uiPriority w:val="99"/>
    <w:qFormat/>
    <w:rPr>
      <w:vertAlign w:val="superscript"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F5 List Paragraph,Heading 2_sj,Report Para,WinDForce-Letter,List Paragraph (numbered (a),LISTA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,Heading 2_sj Char"/>
    <w:link w:val="ListParagraph"/>
    <w:uiPriority w:val="99"/>
    <w:qFormat/>
    <w:locked/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eastAsia="MS Gothic" w:cs="Times New Roman"/>
      <w:color w:val="365F91"/>
      <w:kern w:val="0"/>
      <w:sz w:val="28"/>
      <w:szCs w:val="28"/>
    </w:rPr>
  </w:style>
  <w:style w:type="paragraph" w:customStyle="1" w:styleId="Style3heading3">
    <w:name w:val="Style3_heading 3"/>
    <w:basedOn w:val="Heading3"/>
    <w:link w:val="Style3heading3Char"/>
    <w:qFormat/>
    <w:pPr>
      <w:numPr>
        <w:ilvl w:val="0"/>
        <w:numId w:val="0"/>
      </w:numPr>
      <w:spacing w:afterAutospacing="0"/>
      <w:ind w:left="720" w:hanging="720"/>
      <w:jc w:val="left"/>
    </w:pPr>
    <w:rPr>
      <w:b w:val="0"/>
      <w:i/>
    </w:rPr>
  </w:style>
  <w:style w:type="character" w:customStyle="1" w:styleId="Style3heading3Char">
    <w:name w:val="Style3_heading 3 Char"/>
    <w:basedOn w:val="DefaultParagraphFont"/>
    <w:link w:val="Style3heading3"/>
    <w:locked/>
    <w:rPr>
      <w:bCs/>
      <w:i/>
    </w:rPr>
  </w:style>
  <w:style w:type="paragraph" w:customStyle="1" w:styleId="Style2Heading2">
    <w:name w:val="Style2_Heading 2"/>
    <w:basedOn w:val="Heading3"/>
    <w:link w:val="Style2Heading2Char"/>
    <w:qFormat/>
    <w:pPr>
      <w:numPr>
        <w:ilvl w:val="0"/>
        <w:numId w:val="0"/>
      </w:numPr>
      <w:spacing w:afterAutospacing="0"/>
      <w:ind w:left="720" w:hanging="720"/>
      <w:jc w:val="left"/>
    </w:pPr>
  </w:style>
  <w:style w:type="character" w:customStyle="1" w:styleId="Style2Heading2Char">
    <w:name w:val="Style2_Heading 2 Char"/>
    <w:basedOn w:val="Heading3Char"/>
    <w:link w:val="Style2Heading2"/>
    <w:rPr>
      <w:b/>
      <w:bCs/>
    </w:rPr>
  </w:style>
  <w:style w:type="paragraph" w:customStyle="1" w:styleId="Releasable">
    <w:name w:val="Releasable"/>
    <w:basedOn w:val="Normal"/>
    <w:qFormat/>
    <w:pPr>
      <w:spacing w:after="0" w:afterAutospacing="0"/>
      <w:jc w:val="center"/>
    </w:pPr>
    <w:rPr>
      <w:b/>
      <w:caps/>
      <w:sz w:val="32"/>
      <w:szCs w:val="20"/>
    </w:rPr>
  </w:style>
  <w:style w:type="paragraph" w:customStyle="1" w:styleId="Normaldense">
    <w:name w:val="Normal dense"/>
    <w:basedOn w:val="Normal"/>
    <w:link w:val="NormaldenseChar"/>
    <w:qFormat/>
    <w:pPr>
      <w:spacing w:after="180" w:afterAutospacing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rmaldenseChar">
    <w:name w:val="Normal dense Char"/>
    <w:basedOn w:val="DefaultParagraphFont"/>
    <w:link w:val="Normaldense"/>
    <w:rPr>
      <w:rFonts w:asciiTheme="minorHAnsi" w:eastAsiaTheme="minorHAnsi" w:hAnsiTheme="minorHAnsi" w:cstheme="minorBidi"/>
      <w:sz w:val="20"/>
      <w:szCs w:val="20"/>
      <w:lang w:eastAsia="cs-CZ"/>
    </w:rPr>
  </w:style>
  <w:style w:type="paragraph" w:customStyle="1" w:styleId="ListBulletlast">
    <w:name w:val="List Bullet last"/>
    <w:basedOn w:val="ListBullet"/>
    <w:next w:val="BodyText"/>
    <w:qFormat/>
    <w:pPr>
      <w:numPr>
        <w:numId w:val="29"/>
      </w:numPr>
      <w:tabs>
        <w:tab w:val="left" w:pos="6840"/>
      </w:tabs>
      <w:spacing w:after="240" w:afterAutospacing="0" w:line="280" w:lineRule="exact"/>
      <w:contextualSpacing w:val="0"/>
      <w:jc w:val="left"/>
    </w:pPr>
    <w:rPr>
      <w:rFonts w:ascii="Arial" w:hAnsi="Arial"/>
      <w:snapToGrid w:val="0"/>
      <w:sz w:val="22"/>
      <w:szCs w:val="20"/>
    </w:rPr>
  </w:style>
  <w:style w:type="paragraph" w:styleId="ListBullet">
    <w:name w:val="List Bullet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afterAutospacing="0"/>
      <w:jc w:val="left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sz w:val="22"/>
      <w:szCs w:val="22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spacing w:val="15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 w:hint="default"/>
      <w:b/>
      <w:bCs/>
      <w:smallCaps/>
      <w:spacing w:val="5"/>
    </w:rPr>
  </w:style>
  <w:style w:type="paragraph" w:customStyle="1" w:styleId="Text1">
    <w:name w:val="Text 1"/>
    <w:basedOn w:val="Normal"/>
    <w:pPr>
      <w:spacing w:before="120" w:after="120" w:afterAutospacing="0"/>
      <w:ind w:left="850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afterAutospacing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HAnsi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200" w:afterAutospacing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eastAsiaTheme="minorHAnsi" w:hAnsiTheme="minorHAnsi" w:cstheme="minorBidi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Theme="minorHAnsi" w:eastAsiaTheme="minorHAnsi" w:hAnsiTheme="minorHAnsi" w:cstheme="minorBidi"/>
      <w:b/>
      <w:bCs/>
      <w:sz w:val="20"/>
      <w:szCs w:val="20"/>
      <w:lang w:eastAsia="cs-CZ"/>
    </w:rPr>
  </w:style>
  <w:style w:type="paragraph" w:customStyle="1" w:styleId="Tiret1">
    <w:name w:val="Tiret 1"/>
    <w:basedOn w:val="Normal"/>
    <w:pPr>
      <w:numPr>
        <w:numId w:val="34"/>
      </w:numPr>
      <w:tabs>
        <w:tab w:val="clear" w:pos="1417"/>
        <w:tab w:val="num" w:pos="360"/>
      </w:tabs>
      <w:spacing w:before="120" w:after="120" w:afterAutospacing="0"/>
      <w:ind w:left="0" w:firstLine="0"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afterAutospacing="0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Cs w:val="22"/>
      <w:lang w:eastAsia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afterAutospacing="0"/>
      <w:ind w:left="-850" w:right="-850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Cs w:val="22"/>
      <w:lang w:eastAsia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afterAutospacing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afterAutospacing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afterAutospacing="0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afterAutospacing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Theme="minorHAnsi" w:eastAsiaTheme="minorHAnsi" w:hAnsiTheme="minorHAnsi" w:cstheme="minorBidi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rPr>
      <w:rFonts w:asciiTheme="minorHAnsi" w:eastAsiaTheme="minorHAnsi" w:hAnsiTheme="minorHAnsi" w:cstheme="minorBidi"/>
      <w:sz w:val="22"/>
      <w:szCs w:val="22"/>
    </w:rPr>
  </w:style>
  <w:style w:type="paragraph" w:customStyle="1" w:styleId="ListDash">
    <w:name w:val="List Dash"/>
    <w:basedOn w:val="Normal"/>
    <w:pPr>
      <w:numPr>
        <w:numId w:val="40"/>
      </w:numPr>
      <w:spacing w:after="240" w:afterAutospacing="0"/>
    </w:pPr>
    <w:rPr>
      <w:szCs w:val="20"/>
    </w:rPr>
  </w:style>
  <w:style w:type="paragraph" w:customStyle="1" w:styleId="CM1">
    <w:name w:val="CM1"/>
    <w:basedOn w:val="Default"/>
    <w:next w:val="Default"/>
    <w:uiPriority w:val="99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EUAlbertina" w:hAnsi="EUAlbertina" w:cstheme="minorBidi"/>
      <w:color w:val="auto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afterAutospacing="0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 w:val="22"/>
      <w:szCs w:val="21"/>
      <w:lang w:eastAsia="cs-CZ"/>
    </w:rPr>
  </w:style>
  <w:style w:type="paragraph" w:styleId="NormalWeb">
    <w:name w:val="Normal (Web)"/>
    <w:basedOn w:val="Normal"/>
    <w:uiPriority w:val="99"/>
    <w:semiHidden/>
    <w:unhideWhenUsed/>
    <w:pPr>
      <w:spacing w:after="0" w:afterAutospacing="0"/>
      <w:jc w:val="left"/>
    </w:pPr>
    <w:rPr>
      <w:rFonts w:eastAsiaTheme="minorHAnsi"/>
    </w:rPr>
  </w:style>
  <w:style w:type="table" w:customStyle="1" w:styleId="GridTable4-Accent51">
    <w:name w:val="Grid Table 4 - Accent 51"/>
    <w:basedOn w:val="TableNormal"/>
    <w:uiPriority w:val="4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</w:rPr>
  </w:style>
  <w:style w:type="table" w:styleId="LightList-Accent1">
    <w:name w:val="Light List Accent 1"/>
    <w:basedOn w:val="TableNormal"/>
    <w:uiPriority w:val="6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classification">
    <w:name w:val="Declassification"/>
    <w:basedOn w:val="Normal"/>
    <w:next w:val="Normal"/>
    <w:pPr>
      <w:spacing w:after="0" w:afterAutospacing="0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afterAutospacing="0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afterAutospacing="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afterAutospacing="0"/>
      <w:ind w:left="-567" w:right="-567"/>
      <w:jc w:val="left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afterAutospacing="0"/>
      <w:ind w:left="113" w:right="113"/>
      <w:jc w:val="center"/>
    </w:pPr>
    <w:rPr>
      <w:b/>
      <w:sz w:val="32"/>
    </w:rPr>
  </w:style>
  <w:style w:type="paragraph" w:customStyle="1" w:styleId="BasistekstCEDelft">
    <w:name w:val="Basistekst CE Delft"/>
    <w:basedOn w:val="Normal"/>
    <w:qFormat/>
    <w:pPr>
      <w:spacing w:after="0" w:afterAutospacing="0" w:line="240" w:lineRule="atLeast"/>
      <w:jc w:val="left"/>
    </w:pPr>
    <w:rPr>
      <w:rFonts w:ascii="Calibri" w:hAnsi="Calibri" w:cs="Maiandra GD"/>
      <w:color w:val="000000" w:themeColor="text1"/>
      <w:sz w:val="20"/>
      <w:szCs w:val="18"/>
    </w:rPr>
  </w:style>
  <w:style w:type="paragraph" w:customStyle="1" w:styleId="JRCText">
    <w:name w:val="JRC_Text"/>
    <w:basedOn w:val="Normal"/>
    <w:autoRedefine/>
    <w:qFormat/>
    <w:pPr>
      <w:spacing w:before="120" w:after="120" w:afterAutospacing="0"/>
      <w:ind w:left="66"/>
    </w:pPr>
    <w:rPr>
      <w:rFonts w:ascii="Verdana" w:eastAsia="Calibri" w:hAnsi="Verdana"/>
      <w:sz w:val="20"/>
      <w:szCs w:val="22"/>
    </w:rPr>
  </w:style>
  <w:style w:type="paragraph" w:styleId="Bibliography">
    <w:name w:val="Bibliography"/>
    <w:basedOn w:val="Normal"/>
    <w:next w:val="Normal"/>
    <w:uiPriority w:val="37"/>
    <w:unhideWhenUsed/>
    <w:pPr>
      <w:spacing w:before="120" w:after="120" w:afterAutospacing="0"/>
    </w:pPr>
    <w:rPr>
      <w:rFonts w:ascii="Verdana" w:hAnsi="Verdana"/>
      <w:sz w:val="20"/>
      <w:szCs w:val="22"/>
    </w:rPr>
  </w:style>
  <w:style w:type="paragraph" w:customStyle="1" w:styleId="TabeltekstCEDelft">
    <w:name w:val="Tabeltekst CE Delft"/>
    <w:basedOn w:val="Normal"/>
    <w:uiPriority w:val="4"/>
    <w:pPr>
      <w:spacing w:after="0" w:afterAutospacing="0" w:line="240" w:lineRule="atLeast"/>
      <w:jc w:val="left"/>
    </w:pPr>
    <w:rPr>
      <w:rFonts w:ascii="Calibri" w:hAnsi="Calibri" w:cs="Maiandra GD"/>
      <w:color w:val="000000" w:themeColor="text1"/>
      <w:sz w:val="16"/>
      <w:szCs w:val="18"/>
    </w:rPr>
  </w:style>
  <w:style w:type="paragraph" w:customStyle="1" w:styleId="TabelkopjeCEDelft">
    <w:name w:val="Tabelkopje CE Delft"/>
    <w:basedOn w:val="Normal"/>
    <w:next w:val="TabeltekstCEDelft"/>
    <w:uiPriority w:val="4"/>
    <w:pPr>
      <w:spacing w:after="0" w:afterAutospacing="0" w:line="240" w:lineRule="atLeast"/>
      <w:jc w:val="left"/>
    </w:pPr>
    <w:rPr>
      <w:rFonts w:ascii="Calibri" w:hAnsi="Calibri" w:cs="Maiandra GD"/>
      <w:b/>
      <w:color w:val="000000" w:themeColor="text1"/>
      <w:sz w:val="16"/>
      <w:szCs w:val="18"/>
    </w:rPr>
  </w:style>
  <w:style w:type="table" w:customStyle="1" w:styleId="TabelstijlCEDelft">
    <w:name w:val="Tabelstijl CE Delft"/>
    <w:basedOn w:val="TableNormal"/>
    <w:uiPriority w:val="99"/>
    <w:pPr>
      <w:spacing w:line="240" w:lineRule="atLeast"/>
    </w:pPr>
    <w:rPr>
      <w:sz w:val="20"/>
      <w:szCs w:val="20"/>
    </w:rPr>
    <w:tblPr>
      <w:tblStyleRowBandSize w:val="1"/>
      <w:tblBorders>
        <w:top w:val="single" w:sz="4" w:space="0" w:color="009EE0"/>
        <w:left w:val="single" w:sz="4" w:space="0" w:color="009EE0"/>
        <w:bottom w:val="single" w:sz="4" w:space="0" w:color="009EE0"/>
        <w:right w:val="single" w:sz="4" w:space="0" w:color="009EE0"/>
        <w:insideH w:val="single" w:sz="4" w:space="0" w:color="009EE0"/>
        <w:insideV w:val="single" w:sz="4" w:space="0" w:color="009EE0"/>
      </w:tblBorders>
      <w:tblCellMar>
        <w:left w:w="85" w:type="dxa"/>
        <w:right w:w="85" w:type="dxa"/>
      </w:tblCellMar>
    </w:tblPr>
    <w:tblStylePr w:type="firstRow">
      <w:tblPr/>
      <w:tcPr>
        <w:shd w:val="clear" w:color="auto" w:fill="B9E4FF"/>
      </w:tcPr>
    </w:tblStylePr>
    <w:tblStylePr w:type="band2Horz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single" w:sz="4" w:space="0" w:color="4F81BD" w:themeColor="accent1"/>
          <w:tl2br w:val="nil"/>
          <w:tr2bl w:val="nil"/>
        </w:tcBorders>
        <w:shd w:val="clear" w:color="auto" w:fill="E1F4FF"/>
      </w:tcPr>
    </w:tblStylePr>
  </w:style>
  <w:style w:type="character" w:customStyle="1" w:styleId="FootnoteTextChar">
    <w:name w:val="Footnote Text Char"/>
    <w:aliases w:val="-E Fußnotentext Char,Fußnotentext Ursprung Char,-E Fußnotentext1 Char,-E Fußnotentext2 Char,-E Fußnotentext3 Char,Schriftart: 9 pt Char,Schriftart: 10 pt Char,Schriftart: 8 pt Char,WB-Fußnotentext Char,fn Char,Footnotes Char,Char Char"/>
    <w:basedOn w:val="DefaultParagraphFont"/>
    <w:link w:val="FootnoteText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chart" Target="charts/char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image" Target="media/image7.emf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mc-auto.com/" TargetMode="External"/><Relationship Id="rId3" Type="http://schemas.openxmlformats.org/officeDocument/2006/relationships/hyperlink" Target="https://ec.europa.eu/energy/sites/ener/files/report_of_the_work_of_task_force_mobilising_efforts_to_reach_eu_ee_targets_for_2020.pdf" TargetMode="External"/><Relationship Id="rId7" Type="http://schemas.openxmlformats.org/officeDocument/2006/relationships/hyperlink" Target="https://www.jato.com/global-domination-suvs-continues-2017" TargetMode="External"/><Relationship Id="rId2" Type="http://schemas.openxmlformats.org/officeDocument/2006/relationships/hyperlink" Target="http://www.indicators.odyssee-mure.eu/decomposition.html" TargetMode="External"/><Relationship Id="rId1" Type="http://schemas.openxmlformats.org/officeDocument/2006/relationships/hyperlink" Target="https://ec.europa.eu/commission/sites/beta-political/files/assessing-progress-energy-efficiency-targets_en.pdf" TargetMode="External"/><Relationship Id="rId6" Type="http://schemas.openxmlformats.org/officeDocument/2006/relationships/hyperlink" Target="https://ec.europa.eu/jrc/en/publication/eur-scientific-and-technical-research-reports/energy-consumption-and-energy-efficiency-trends-eu-28-period-2000-2016" TargetMode="External"/><Relationship Id="rId5" Type="http://schemas.openxmlformats.org/officeDocument/2006/relationships/hyperlink" Target="http://www.indicators.odyssee-mure.eu/decomposition.html" TargetMode="External"/><Relationship Id="rId10" Type="http://schemas.openxmlformats.org/officeDocument/2006/relationships/hyperlink" Target="https://ec.europa.eu/jrc/en/publication/analysis-annual-reports-2018-under-energy-efficiency-directive" TargetMode="External"/><Relationship Id="rId4" Type="http://schemas.openxmlformats.org/officeDocument/2006/relationships/hyperlink" Target="https://ec.europa.eu/energy/en/studies/drivers-recent-energy-consumption-trends-across-sectors-eu28" TargetMode="External"/><Relationship Id="rId9" Type="http://schemas.openxmlformats.org/officeDocument/2006/relationships/hyperlink" Target="https://ec.europa.eu/jrc/en/publication/eur-scientific-and-technical-research-reports/assessment-second-national-energy-efficiency-action-plans-under-energy-efficiency-directiv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ZESMA\AppData\Local\Microsoft\Windows\INetCache\Content.Outlook\1A5KEH6I\Aggregated%20-%20Update%202018%20incl%20Sweden%20(00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06639391056562"/>
          <c:y val="0.24427965628704942"/>
          <c:w val="0.58262116524233043"/>
          <c:h val="0.61612414650453129"/>
        </c:manualLayout>
      </c:layout>
      <c:pieChart>
        <c:varyColors val="1"/>
        <c:ser>
          <c:idx val="14"/>
          <c:order val="0"/>
          <c:spPr>
            <a:ln>
              <a:solidFill>
                <a:srgbClr val="FFFFFF"/>
              </a:solidFill>
            </a:ln>
          </c:spPr>
          <c:dPt>
            <c:idx val="0"/>
            <c:bubble3D val="0"/>
            <c:spPr>
              <a:solidFill>
                <a:srgbClr val="009DD8"/>
              </a:solidFill>
              <a:ln w="19050">
                <a:solidFill>
                  <a:srgbClr val="FFFFFF"/>
                </a:solidFill>
              </a:ln>
              <a:effectLst/>
            </c:spPr>
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<c:ext xmlns:c16="http://schemas.microsoft.com/office/drawing/2014/chart" uri="{C3380CC4-5D6E-409C-BE32-E72D297353CC}">
                <c16:uniqueId val="{00000001-73DF-4F81-A383-C8F453E513BF}"/>
              </c:ext>
            </c:extLst>
          </c:dPt>
          <c:dPt>
            <c:idx val="1"/>
            <c:bubble3D val="0"/>
            <c:spPr>
              <a:solidFill>
                <a:srgbClr val="8DD3FF"/>
              </a:solidFill>
              <a:ln w="19050">
                <a:solidFill>
                  <a:srgbClr val="FFFFFF"/>
                </a:solidFill>
              </a:ln>
              <a:effectLst/>
            </c:spPr>
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<c:ext xmlns:c16="http://schemas.microsoft.com/office/drawing/2014/chart" uri="{C3380CC4-5D6E-409C-BE32-E72D297353CC}">
                <c16:uniqueId val="{00000003-73DF-4F81-A383-C8F453E513BF}"/>
              </c:ext>
            </c:extLst>
          </c:dPt>
          <c:dPt>
            <c:idx val="2"/>
            <c:bubble3D val="0"/>
            <c:spPr>
              <a:solidFill>
                <a:srgbClr val="FFDB00"/>
              </a:solidFill>
              <a:ln w="19050">
                <a:solidFill>
                  <a:srgbClr val="FFFFFF"/>
                </a:solidFill>
              </a:ln>
              <a:effectLst/>
            </c:spPr>
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<c:ext xmlns:c16="http://schemas.microsoft.com/office/drawing/2014/chart" uri="{C3380CC4-5D6E-409C-BE32-E72D297353CC}">
                <c16:uniqueId val="{00000005-73DF-4F81-A383-C8F453E513BF}"/>
              </c:ext>
            </c:extLst>
          </c:dPt>
          <c:dPt>
            <c:idx val="3"/>
            <c:bubble3D val="0"/>
            <c:spPr>
              <a:solidFill>
                <a:srgbClr val="009133"/>
              </a:solidFill>
              <a:ln w="19050">
                <a:solidFill>
                  <a:srgbClr val="FFFFFF"/>
                </a:solidFill>
              </a:ln>
              <a:effectLst/>
            </c:spPr>
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<c:ext xmlns:c16="http://schemas.microsoft.com/office/drawing/2014/chart" uri="{C3380CC4-5D6E-409C-BE32-E72D297353CC}">
                <c16:uniqueId val="{00000007-73DF-4F81-A383-C8F453E513BF}"/>
              </c:ext>
            </c:extLst>
          </c:dPt>
          <c:dPt>
            <c:idx val="4"/>
            <c:bubble3D val="0"/>
            <c:spPr>
              <a:solidFill>
                <a:srgbClr val="70C82F"/>
              </a:solidFill>
              <a:ln w="19050">
                <a:solidFill>
                  <a:srgbClr val="FFFFFF"/>
                </a:solidFill>
              </a:ln>
              <a:effectLst/>
            </c:spPr>
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<c:ext xmlns:c16="http://schemas.microsoft.com/office/drawing/2014/chart" uri="{C3380CC4-5D6E-409C-BE32-E72D297353CC}">
                <c16:uniqueId val="{00000009-73DF-4F81-A383-C8F453E513BF}"/>
              </c:ext>
            </c:extLst>
          </c:dPt>
          <c:dPt>
            <c:idx val="5"/>
            <c:bubble3D val="0"/>
            <c:spPr>
              <a:solidFill>
                <a:srgbClr val="344893"/>
              </a:solidFill>
              <a:ln w="19050">
                <a:solidFill>
                  <a:srgbClr val="FFFFFF"/>
                </a:solidFill>
              </a:ln>
              <a:effectLst/>
            </c:spPr>
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<c:ext xmlns:c16="http://schemas.microsoft.com/office/drawing/2014/chart" uri="{C3380CC4-5D6E-409C-BE32-E72D297353CC}">
                <c16:uniqueId val="{0000000B-73DF-4F81-A383-C8F453E513BF}"/>
              </c:ext>
            </c:extLst>
          </c:dPt>
          <c:dPt>
            <c:idx val="6"/>
            <c:bubble3D val="0"/>
            <c:spPr>
              <a:solidFill>
                <a:srgbClr val="F79646"/>
              </a:solidFill>
              <a:ln w="19050">
                <a:solidFill>
                  <a:srgbClr val="FFFFFF"/>
                </a:solidFill>
              </a:ln>
              <a:effectLst/>
            </c:spPr>
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<c:ext xmlns:c16="http://schemas.microsoft.com/office/drawing/2014/chart" uri="{C3380CC4-5D6E-409C-BE32-E72D297353CC}">
                <c16:uniqueId val="{0000000D-73DF-4F81-A383-C8F453E513BF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 w="19050">
                <a:solidFill>
                  <a:srgbClr val="FFFFFF"/>
                </a:solidFill>
              </a:ln>
              <a:effectLst/>
            </c:spPr>
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<c:ext xmlns:c16="http://schemas.microsoft.com/office/drawing/2014/chart" uri="{C3380CC4-5D6E-409C-BE32-E72D297353CC}">
                <c16:uniqueId val="{0000000F-73DF-4F81-A383-C8F453E513BF}"/>
              </c:ext>
            </c:extLst>
          </c:dPt>
          <c:dPt>
            <c:idx val="8"/>
            <c:bubble3D val="0"/>
            <c:spPr>
              <a:solidFill>
                <a:srgbClr val="009C9E"/>
              </a:solidFill>
              <a:ln w="19050">
                <a:solidFill>
                  <a:srgbClr val="FFFFFF"/>
                </a:solidFill>
              </a:ln>
              <a:effectLst/>
            </c:spPr>
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<c:ext xmlns:c16="http://schemas.microsoft.com/office/drawing/2014/chart" uri="{C3380CC4-5D6E-409C-BE32-E72D297353CC}">
                <c16:uniqueId val="{00000011-73DF-4F81-A383-C8F453E513BF}"/>
              </c:ext>
            </c:extLst>
          </c:dPt>
          <c:dPt>
            <c:idx val="9"/>
            <c:bubble3D val="0"/>
            <c:spPr>
              <a:solidFill>
                <a:srgbClr val="41C4B3"/>
              </a:solidFill>
              <a:ln w="19050">
                <a:solidFill>
                  <a:srgbClr val="FFFFFF"/>
                </a:solidFill>
              </a:ln>
              <a:effectLst/>
            </c:spPr>
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<c:ext xmlns:c16="http://schemas.microsoft.com/office/drawing/2014/chart" uri="{C3380CC4-5D6E-409C-BE32-E72D297353CC}">
                <c16:uniqueId val="{00000013-73DF-4F81-A383-C8F453E513B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rgbClr val="FFFFFF"/>
                </a:solidFill>
              </a:ln>
              <a:effectLst/>
            </c:spPr>
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<c:ext xmlns:c16="http://schemas.microsoft.com/office/drawing/2014/chart" uri="{C3380CC4-5D6E-409C-BE32-E72D297353CC}">
                <c16:uniqueId val="{00000015-73DF-4F81-A383-C8F453E513BF}"/>
              </c:ext>
            </c:extLst>
          </c:dPt>
          <c:dLbls>
            <c:dLbl>
              <c:idx val="0"/>
              <c:layout>
                <c:manualLayout>
                  <c:x val="5.6444557333559112E-3"/>
                  <c:y val="-3.6800003090813965E-2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rebuchet MS" panose="020B060302020202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3DF-4F81-A383-C8F453E513BF}"/>
                </c:ext>
              </c:extLst>
            </c:dLbl>
            <c:dLbl>
              <c:idx val="1"/>
              <c:layout>
                <c:manualLayout>
                  <c:x val="5.9266785200236961E-2"/>
                  <c:y val="-3.0666669242344923E-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rebuchet MS" panose="020B0603020202020204" pitchFamily="34" charset="0"/>
                        <a:ea typeface="+mn-ea"/>
                        <a:cs typeface="+mn-cs"/>
                      </a:defRPr>
                    </a:pPr>
                    <a:r>
                      <a:rPr lang="cs-CZ" sz="800" b="0" i="0" u="none" strike="noStrike" baseline="0">
                        <a:effectLst/>
                      </a:rPr>
                      <a:t>Daně z energie nebo CO2</a:t>
                    </a:r>
                    <a:r>
                      <a:rPr lang="en-US"/>
                      <a:t>
23%</a:t>
                    </a:r>
                  </a:p>
                </c:rich>
              </c:tx>
              <c:numFmt formatCode="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3DF-4F81-A383-C8F453E513BF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rebuchet MS" panose="020B0603020202020204" pitchFamily="34" charset="0"/>
                        <a:ea typeface="+mn-ea"/>
                        <a:cs typeface="+mn-cs"/>
                      </a:defRPr>
                    </a:pPr>
                    <a:r>
                      <a:rPr lang="en-US" sz="800" b="0" i="0" u="none" strike="noStrike" baseline="0">
                        <a:effectLst/>
                      </a:rPr>
                      <a:t>Finan</a:t>
                    </a:r>
                    <a:r>
                      <a:rPr lang="cs-CZ" sz="800" b="0" i="0" u="none" strike="noStrike" baseline="0">
                        <a:effectLst/>
                      </a:rPr>
                      <a:t>ční</a:t>
                    </a:r>
                    <a:r>
                      <a:rPr lang="en-US" sz="800" b="0" i="0" u="none" strike="noStrike" baseline="0">
                        <a:effectLst/>
                      </a:rPr>
                      <a:t> </a:t>
                    </a:r>
                    <a:r>
                      <a:rPr lang="cs-CZ" sz="800" b="0" i="0" u="none" strike="noStrike" baseline="0">
                        <a:effectLst/>
                      </a:rPr>
                      <a:t>režim</a:t>
                    </a:r>
                    <a:r>
                      <a:rPr lang="en-US" sz="800" b="0" i="0" u="none" strike="noStrike" baseline="0">
                        <a:effectLst/>
                      </a:rPr>
                      <a:t> </a:t>
                    </a:r>
                    <a:r>
                      <a:rPr lang="cs-CZ" sz="800" b="0" i="0" u="none" strike="noStrike" baseline="0">
                        <a:effectLst/>
                      </a:rPr>
                      <a:t>nebo</a:t>
                    </a:r>
                    <a:r>
                      <a:rPr lang="en-US" sz="800" b="0" i="0" u="none" strike="noStrike" baseline="0">
                        <a:effectLst/>
                      </a:rPr>
                      <a:t> </a:t>
                    </a:r>
                    <a:r>
                      <a:rPr lang="cs-CZ" sz="800" b="0" i="0" u="none" strike="noStrike" baseline="0">
                        <a:effectLst/>
                      </a:rPr>
                      <a:t>daňová opatření</a:t>
                    </a:r>
                    <a:r>
                      <a:rPr lang="en-US"/>
                      <a:t>
18%</a:t>
                    </a:r>
                  </a:p>
                </c:rich>
              </c:tx>
              <c:numFmt formatCode="0%" sourceLinked="0"/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9022380266982759E-2"/>
                  <c:y val="7.3600006181627819E-2"/>
                </c:manualLayout>
              </c:layout>
              <c:tx>
                <c:rich>
                  <a:bodyPr/>
                  <a:lstStyle/>
                  <a:p>
                    <a:r>
                      <a:rPr lang="cs-CZ" sz="800" b="0" i="0" u="none" strike="noStrike" baseline="0">
                        <a:effectLst/>
                      </a:rPr>
                      <a:t>Fin. prostř. místo </a:t>
                    </a:r>
                    <a:r>
                      <a:rPr lang="en-US" sz="800" b="0" i="0" u="none" strike="noStrike" baseline="0">
                        <a:effectLst/>
                      </a:rPr>
                      <a:t>EEOS</a:t>
                    </a:r>
                    <a:r>
                      <a:rPr lang="en-US"/>
                      <a:t>
0,2%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3DF-4F81-A383-C8F453E513BF}"/>
                </c:ext>
              </c:extLst>
            </c:dLbl>
            <c:dLbl>
              <c:idx val="4"/>
              <c:layout>
                <c:manualLayout>
                  <c:x val="-5.9293706340363357E-2"/>
                  <c:y val="-2.6004982874249228E-2"/>
                </c:manualLayout>
              </c:layout>
              <c:tx>
                <c:rich>
                  <a:bodyPr/>
                  <a:lstStyle/>
                  <a:p>
                    <a:r>
                      <a:rPr lang="cs-CZ" sz="800" b="0" i="0" u="none" strike="noStrike" baseline="0">
                        <a:effectLst/>
                      </a:rPr>
                      <a:t>Systém označování</a:t>
                    </a:r>
                    <a:r>
                      <a:rPr lang="en-US"/>
                      <a:t>
0,0%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3DF-4F81-A383-C8F453E513BF}"/>
                </c:ext>
              </c:extLst>
            </c:dLbl>
            <c:dLbl>
              <c:idx val="5"/>
              <c:layout>
                <c:manualLayout>
                  <c:x val="-6.7733513031449394E-2"/>
                  <c:y val="-8.2124514522974507E-2"/>
                </c:manualLayout>
              </c:layout>
              <c:tx>
                <c:rich>
                  <a:bodyPr/>
                  <a:lstStyle/>
                  <a:p>
                    <a:r>
                      <a:rPr lang="en-US" sz="800" b="0" i="0" u="none" strike="noStrike" baseline="0">
                        <a:effectLst/>
                      </a:rPr>
                      <a:t>Regula</a:t>
                    </a:r>
                    <a:r>
                      <a:rPr lang="cs-CZ" sz="800" b="0" i="0" u="none" strike="noStrike" baseline="0">
                        <a:effectLst/>
                      </a:rPr>
                      <a:t>ce</a:t>
                    </a:r>
                    <a:r>
                      <a:rPr lang="en-US"/>
                      <a:t>
2,6%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3DF-4F81-A383-C8F453E513BF}"/>
                </c:ext>
              </c:extLst>
            </c:dLbl>
            <c:dLbl>
              <c:idx val="6"/>
              <c:layout>
                <c:manualLayout>
                  <c:x val="-2.8224613749129865E-2"/>
                  <c:y val="-2.8335682119856195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rebuchet MS" panose="020B0603020202020204" pitchFamily="34" charset="0"/>
                        <a:ea typeface="+mn-ea"/>
                        <a:cs typeface="+mn-cs"/>
                      </a:defRPr>
                    </a:pPr>
                    <a:r>
                      <a:rPr lang="en-US" sz="800" b="0" i="0" u="none" strike="noStrike" baseline="0">
                        <a:effectLst/>
                      </a:rPr>
                      <a:t>Standard</a:t>
                    </a:r>
                    <a:r>
                      <a:rPr lang="cs-CZ" sz="800" b="0" i="0" u="none" strike="noStrike" baseline="0">
                        <a:effectLst/>
                      </a:rPr>
                      <a:t>y nebo normy</a:t>
                    </a:r>
                    <a:r>
                      <a:rPr lang="en-US"/>
                      <a:t>
12%</a:t>
                    </a:r>
                  </a:p>
                </c:rich>
              </c:tx>
              <c:numFmt formatCode="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3DF-4F81-A383-C8F453E513BF}"/>
                </c:ext>
              </c:extLst>
            </c:dLbl>
            <c:dLbl>
              <c:idx val="7"/>
              <c:layout>
                <c:manualLayout>
                  <c:x val="-3.6688962266813424E-2"/>
                  <c:y val="-1.8400001545406955E-2"/>
                </c:manualLayout>
              </c:layout>
              <c:tx>
                <c:rich>
                  <a:bodyPr/>
                  <a:lstStyle/>
                  <a:p>
                    <a:r>
                      <a:rPr lang="cs-CZ" sz="800" b="0" i="0" u="none" strike="noStrike" baseline="0">
                        <a:effectLst/>
                      </a:rPr>
                      <a:t>Odborná příprava a vzdělávání</a:t>
                    </a:r>
                    <a:r>
                      <a:rPr lang="en-US"/>
                      <a:t>
1,6%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73DF-4F81-A383-C8F453E513BF}"/>
                </c:ext>
              </c:extLst>
            </c:dLbl>
            <c:dLbl>
              <c:idx val="8"/>
              <c:layout>
                <c:manualLayout>
                  <c:x val="1.4111139333389778E-2"/>
                  <c:y val="-8.2800006954331318E-2"/>
                </c:manualLayout>
              </c:layout>
              <c:tx>
                <c:rich>
                  <a:bodyPr/>
                  <a:lstStyle/>
                  <a:p>
                    <a:r>
                      <a:rPr lang="cs-CZ" sz="800" b="0" i="0" u="none" strike="noStrike" baseline="0">
                        <a:effectLst/>
                      </a:rPr>
                      <a:t>Dobrovolná dohoda</a:t>
                    </a:r>
                    <a:r>
                      <a:rPr lang="en-US"/>
                      <a:t>
5,2%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73DF-4F81-A383-C8F453E513BF}"/>
                </c:ext>
              </c:extLst>
            </c:dLbl>
            <c:dLbl>
              <c:idx val="9"/>
              <c:layout>
                <c:manualLayout>
                  <c:x val="8.748906386701652E-2"/>
                  <c:y val="-4.9066670787751877E-2"/>
                </c:manualLayout>
              </c:layout>
              <c:tx>
                <c:rich>
                  <a:bodyPr/>
                  <a:lstStyle/>
                  <a:p>
                    <a:r>
                      <a:rPr lang="cs-CZ" sz="800" b="0" i="0" u="none" strike="noStrike" baseline="0">
                        <a:effectLst/>
                      </a:rPr>
                      <a:t>Ostatní pol. opatření</a:t>
                    </a:r>
                    <a:r>
                      <a:rPr lang="en-US"/>
                      <a:t>
3,7%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73DF-4F81-A383-C8F453E513B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<c:ext xmlns:c15="http://schemas.microsoft.com/office/drawing/2012/chart" uri="{CE6537A1-D6FC-4f65-9D91-7224C49458BB}"/>
            </c:extLst>
          </c:dLbls>
          <c:cat>
            <c:strRef>
              <c:f>'[Aggregated - Update 2018 incl Sweden (002).xlsx]Policy measures'!$M$310:$M$319</c:f>
              <c:strCache>
                <c:ptCount val="10"/>
                <c:pt idx="0">
                  <c:v>EEOS</c:v>
                </c:pt>
                <c:pt idx="1">
                  <c:v>Energy or CO2 taxes</c:v>
                </c:pt>
                <c:pt idx="2">
                  <c:v>Financing Scheme or Fiscal</c:v>
                </c:pt>
                <c:pt idx="3">
                  <c:v>Fund instead of EEOS</c:v>
                </c:pt>
                <c:pt idx="4">
                  <c:v>Labelling Scheme</c:v>
                </c:pt>
                <c:pt idx="5">
                  <c:v>Regulation</c:v>
                </c:pt>
                <c:pt idx="6">
                  <c:v>Standard or Norm</c:v>
                </c:pt>
                <c:pt idx="7">
                  <c:v>Training and Education</c:v>
                </c:pt>
                <c:pt idx="8">
                  <c:v>Voluntary Agreement</c:v>
                </c:pt>
                <c:pt idx="9">
                  <c:v>Any other policy measure</c:v>
                </c:pt>
              </c:strCache>
            </c:strRef>
          </c:cat>
          <c:val>
            <c:numRef>
              <c:f>'[Aggregated - Update 2018 incl Sweden (002).xlsx]Policy measures'!$U$310:$U$319</c:f>
              <c:numCache>
                <c:formatCode>0%</c:formatCode>
                <c:ptCount val="10"/>
                <c:pt idx="0">
                  <c:v>0.32533369635552095</c:v>
                </c:pt>
                <c:pt idx="1">
                  <c:v>0.23398630455824568</c:v>
                </c:pt>
                <c:pt idx="2">
                  <c:v>0.18506494952628672</c:v>
                </c:pt>
                <c:pt idx="3" formatCode="0.0%">
                  <c:v>2.1657602510296013E-3</c:v>
                </c:pt>
                <c:pt idx="4" formatCode="0.0%">
                  <c:v>0</c:v>
                </c:pt>
                <c:pt idx="5" formatCode="0.0%">
                  <c:v>2.6004654998031111E-2</c:v>
                </c:pt>
                <c:pt idx="6">
                  <c:v>0.12290408473736078</c:v>
                </c:pt>
                <c:pt idx="7" formatCode="0.0%">
                  <c:v>1.5597568272076388E-2</c:v>
                </c:pt>
                <c:pt idx="8" formatCode="0.0%">
                  <c:v>5.2140796439759815E-2</c:v>
                </c:pt>
                <c:pt idx="9" formatCode="0.0%">
                  <c:v>3.6802184861689131E-2</c:v>
                </c:pt>
              </c:numCache>
            </c:numRef>
          </c:val>
  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<c:ext xmlns:c16="http://schemas.microsoft.com/office/drawing/2014/chart" uri="{C3380CC4-5D6E-409C-BE32-E72D297353CC}">
              <c16:uniqueId val="{00000016-73DF-4F81-A383-C8F453E51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 xmlns:c16r2="http://schemas.microsoft.com/office/drawing/2015/06/chart"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73DF-4F81-A383-C8F453E513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A-73DF-4F81-A383-C8F453E513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C-73DF-4F81-A383-C8F453E513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E-73DF-4F81-A383-C8F453E513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0-73DF-4F81-A383-C8F453E513B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2-73DF-4F81-A383-C8F453E513B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4-73DF-4F81-A383-C8F453E513B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6-73DF-4F81-A383-C8F453E513B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8-73DF-4F81-A383-C8F453E513B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A-73DF-4F81-A383-C8F453E513B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C-73DF-4F81-A383-C8F453E513BF}"/>
                    </c:ext>
                  </c:extLst>
                </c:dPt>
                <c:dLbls>
                  <c:dLbl>
                    <c:idx val="0"/>
                    <c:layout>
                      <c:manualLayout>
                        <c:x val="7.6986704828875721E-2"/>
                        <c:y val="-2.5333078932305204E-2"/>
                      </c:manualLayout>
                    </c:layout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8-73DF-4F81-A383-C8F453E513BF}"/>
                      </c:ext>
                    </c:extLst>
                  </c:dLbl>
                  <c:dLbl>
                    <c:idx val="1"/>
                    <c:layout>
                      <c:manualLayout>
                        <c:x val="0.23316186998965707"/>
                        <c:y val="-4.463606397747235E-2"/>
                      </c:manualLayout>
                    </c:layout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A-73DF-4F81-A383-C8F453E513BF}"/>
                      </c:ext>
                    </c:extLst>
                  </c:dLbl>
                  <c:dLbl>
                    <c:idx val="2"/>
                    <c:layout>
                      <c:manualLayout>
                        <c:x val="-3.5606241788550715E-2"/>
                        <c:y val="3.2571928601035589E-2"/>
                      </c:manualLayout>
                    </c:layout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C-73DF-4F81-A383-C8F453E513BF}"/>
                      </c:ext>
                    </c:extLst>
                  </c:dLbl>
                  <c:dLbl>
                    <c:idx val="3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E-73DF-4F81-A383-C8F453E513BF}"/>
                      </c:ext>
                    </c:extLst>
                  </c:dLbl>
                  <c:dLbl>
                    <c:idx val="4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0-73DF-4F81-A383-C8F453E513BF}"/>
                      </c:ext>
                    </c:extLst>
                  </c:dLbl>
                  <c:dLbl>
                    <c:idx val="6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4-73DF-4F81-A383-C8F453E513BF}"/>
                      </c:ext>
                    </c:extLst>
                  </c:dLbl>
                  <c:dLbl>
                    <c:idx val="7"/>
                    <c:layout>
                      <c:manualLayout>
                        <c:x val="-3.0961046282290603E-2"/>
                        <c:y val="4.0453447901520487E-2"/>
                      </c:manualLayout>
                    </c:layout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6-73DF-4F81-A383-C8F453E513BF}"/>
                      </c:ext>
                    </c:extLst>
                  </c:dLbl>
                  <c:dLbl>
                    <c:idx val="8"/>
                    <c:layout>
                      <c:manualLayout>
                        <c:x val="-6.2621618746486349E-2"/>
                        <c:y val="-1.2173352369548198E-2"/>
                      </c:manualLayout>
                    </c:layout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8-73DF-4F81-A383-C8F453E513BF}"/>
                      </c:ext>
                    </c:extLst>
                  </c:dLbl>
                  <c:dLbl>
                    <c:idx val="9"/>
                    <c:layout>
                      <c:manualLayout>
                        <c:x val="9.7458740864520013E-2"/>
                        <c:y val="-4.1787211084866868E-2"/>
                      </c:manualLayout>
                    </c:layout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A-73DF-4F81-A383-C8F453E513BF}"/>
                      </c:ext>
                    </c:extLst>
                  </c:dLbl>
                  <c:dLbl>
                    <c:idx val="10"/>
                    <c:layout>
                      <c:manualLayout>
                        <c:x val="0.18546072636577948"/>
                        <c:y val="-1.6148061398372271E-2"/>
                      </c:manualLayout>
                    </c:layout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C-73DF-4F81-A383-C8F453E513BF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rebuchet MS" panose="020B0603020202020204" pitchFamily="34" charset="0"/>
                          <a:ea typeface="+mn-ea"/>
                          <a:cs typeface="+mn-cs"/>
                        </a:defRPr>
                      </a:pPr>
                      <a:endParaRPr lang="fr-FR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'[Aggregated - Update 2018 incl Sweden (002).xlsx]Policy measures'!$M$310:$M$319</c15:sqref>
                        </c15:formulaRef>
                      </c:ext>
                    </c:extLst>
                    <c:strCache>
                      <c:ptCount val="10"/>
                      <c:pt idx="0">
                        <c:v>EEOS</c:v>
                      </c:pt>
                      <c:pt idx="1">
                        <c:v>Energy or CO2 taxes</c:v>
                      </c:pt>
                      <c:pt idx="2">
                        <c:v>Financing Scheme or Fiscal</c:v>
                      </c:pt>
                      <c:pt idx="3">
                        <c:v>Fund instead of EEOS</c:v>
                      </c:pt>
                      <c:pt idx="4">
                        <c:v>Labelling Scheme</c:v>
                      </c:pt>
                      <c:pt idx="5">
                        <c:v>Regulation</c:v>
                      </c:pt>
                      <c:pt idx="6">
                        <c:v>Standard or Norm</c:v>
                      </c:pt>
                      <c:pt idx="7">
                        <c:v>Training and Education</c:v>
                      </c:pt>
                      <c:pt idx="8">
                        <c:v>Voluntary Agreement</c:v>
                      </c:pt>
                      <c:pt idx="9">
                        <c:v>Any other policy measure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'[Aggregated - Update 2018 incl Sweden (002).xlsx]Policy measures'!$F$310:$F$319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D-73DF-4F81-A383-C8F453E513BF}"/>
                  </c:ext>
                </c:extLst>
              </c15:ser>
            </c15:filteredPieSeries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F-73DF-4F81-A383-C8F453E513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1-73DF-4F81-A383-C8F453E513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3-73DF-4F81-A383-C8F453E513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5-73DF-4F81-A383-C8F453E513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7-73DF-4F81-A383-C8F453E513B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9-73DF-4F81-A383-C8F453E513B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B-73DF-4F81-A383-C8F453E513B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D-73DF-4F81-A383-C8F453E513B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F-73DF-4F81-A383-C8F453E513B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41-73DF-4F81-A383-C8F453E513B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43-73DF-4F81-A383-C8F453E513B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'[Aggregated - Update 2018 incl Sweden (002).xlsx]Policy measures'!$M$310:$M$319</c15:sqref>
                        </c15:formulaRef>
                      </c:ext>
                    </c:extLst>
                    <c:strCache>
                      <c:ptCount val="10"/>
                      <c:pt idx="0">
                        <c:v>EEOS</c:v>
                      </c:pt>
                      <c:pt idx="1">
                        <c:v>Energy or CO2 taxes</c:v>
                      </c:pt>
                      <c:pt idx="2">
                        <c:v>Financing Scheme or Fiscal</c:v>
                      </c:pt>
                      <c:pt idx="3">
                        <c:v>Fund instead of EEOS</c:v>
                      </c:pt>
                      <c:pt idx="4">
                        <c:v>Labelling Scheme</c:v>
                      </c:pt>
                      <c:pt idx="5">
                        <c:v>Regulation</c:v>
                      </c:pt>
                      <c:pt idx="6">
                        <c:v>Standard or Norm</c:v>
                      </c:pt>
                      <c:pt idx="7">
                        <c:v>Training and Education</c:v>
                      </c:pt>
                      <c:pt idx="8">
                        <c:v>Voluntary Agreement</c:v>
                      </c:pt>
                      <c:pt idx="9">
                        <c:v>Any other policy measure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'[Aggregated - Update 2018 incl Sweden (002).xlsx]Policy measures'!$G$310:$G$319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44-73DF-4F81-A383-C8F453E513BF}"/>
                  </c:ext>
                </c:extLst>
              </c15:ser>
            </c15:filteredPieSeries>
            <c15:filteredPieSeries>
              <c15:ser>
                <c:idx val="2"/>
                <c:order val="2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46-73DF-4F81-A383-C8F453E513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48-73DF-4F81-A383-C8F453E513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4A-73DF-4F81-A383-C8F453E513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4C-73DF-4F81-A383-C8F453E513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4E-73DF-4F81-A383-C8F453E513B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50-73DF-4F81-A383-C8F453E513B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52-73DF-4F81-A383-C8F453E513B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54-73DF-4F81-A383-C8F453E513B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56-73DF-4F81-A383-C8F453E513B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58-73DF-4F81-A383-C8F453E513B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5A-73DF-4F81-A383-C8F453E513B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'[Aggregated - Update 2018 incl Sweden (002).xlsx]Policy measures'!$M$310:$M$319</c15:sqref>
                        </c15:formulaRef>
                      </c:ext>
                    </c:extLst>
                    <c:strCache>
                      <c:ptCount val="10"/>
                      <c:pt idx="0">
                        <c:v>EEOS</c:v>
                      </c:pt>
                      <c:pt idx="1">
                        <c:v>Energy or CO2 taxes</c:v>
                      </c:pt>
                      <c:pt idx="2">
                        <c:v>Financing Scheme or Fiscal</c:v>
                      </c:pt>
                      <c:pt idx="3">
                        <c:v>Fund instead of EEOS</c:v>
                      </c:pt>
                      <c:pt idx="4">
                        <c:v>Labelling Scheme</c:v>
                      </c:pt>
                      <c:pt idx="5">
                        <c:v>Regulation</c:v>
                      </c:pt>
                      <c:pt idx="6">
                        <c:v>Standard or Norm</c:v>
                      </c:pt>
                      <c:pt idx="7">
                        <c:v>Training and Education</c:v>
                      </c:pt>
                      <c:pt idx="8">
                        <c:v>Voluntary Agreement</c:v>
                      </c:pt>
                      <c:pt idx="9">
                        <c:v>Any other policy measure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'[Aggregated - Update 2018 incl Sweden (002).xlsx]Policy measures'!$H$310:$H$319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5B-73DF-4F81-A383-C8F453E513BF}"/>
                  </c:ext>
                </c:extLst>
              </c15:ser>
            </c15:filteredPieSeries>
            <c15:filteredPieSeries>
              <c15:ser>
                <c:idx val="3"/>
                <c:order val="3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5D-73DF-4F81-A383-C8F453E513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5F-73DF-4F81-A383-C8F453E513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61-73DF-4F81-A383-C8F453E513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63-73DF-4F81-A383-C8F453E513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65-73DF-4F81-A383-C8F453E513B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67-73DF-4F81-A383-C8F453E513B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69-73DF-4F81-A383-C8F453E513B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6B-73DF-4F81-A383-C8F453E513B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6D-73DF-4F81-A383-C8F453E513B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6F-73DF-4F81-A383-C8F453E513B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71-73DF-4F81-A383-C8F453E513B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'[Aggregated - Update 2018 incl Sweden (002).xlsx]Policy measures'!$M$310:$M$319</c15:sqref>
                        </c15:formulaRef>
                      </c:ext>
                    </c:extLst>
                    <c:strCache>
                      <c:ptCount val="10"/>
                      <c:pt idx="0">
                        <c:v>EEOS</c:v>
                      </c:pt>
                      <c:pt idx="1">
                        <c:v>Energy or CO2 taxes</c:v>
                      </c:pt>
                      <c:pt idx="2">
                        <c:v>Financing Scheme or Fiscal</c:v>
                      </c:pt>
                      <c:pt idx="3">
                        <c:v>Fund instead of EEOS</c:v>
                      </c:pt>
                      <c:pt idx="4">
                        <c:v>Labelling Scheme</c:v>
                      </c:pt>
                      <c:pt idx="5">
                        <c:v>Regulation</c:v>
                      </c:pt>
                      <c:pt idx="6">
                        <c:v>Standard or Norm</c:v>
                      </c:pt>
                      <c:pt idx="7">
                        <c:v>Training and Education</c:v>
                      </c:pt>
                      <c:pt idx="8">
                        <c:v>Voluntary Agreement</c:v>
                      </c:pt>
                      <c:pt idx="9">
                        <c:v>Any other policy measure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'[Aggregated - Update 2018 incl Sweden (002).xlsx]Policy measures'!$I$310:$I$319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72-73DF-4F81-A383-C8F453E513BF}"/>
                  </c:ext>
                </c:extLst>
              </c15:ser>
            </c15:filteredPieSeries>
            <c15:filteredPieSeries>
              <c15:ser>
                <c:idx val="4"/>
                <c:order val="4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74-73DF-4F81-A383-C8F453E513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76-73DF-4F81-A383-C8F453E513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78-73DF-4F81-A383-C8F453E513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7A-73DF-4F81-A383-C8F453E513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7C-73DF-4F81-A383-C8F453E513B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7E-73DF-4F81-A383-C8F453E513B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80-73DF-4F81-A383-C8F453E513B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82-73DF-4F81-A383-C8F453E513B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84-73DF-4F81-A383-C8F453E513B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86-73DF-4F81-A383-C8F453E513B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88-73DF-4F81-A383-C8F453E513B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'[Aggregated - Update 2018 incl Sweden (002).xlsx]Policy measures'!$M$310:$M$319</c15:sqref>
                        </c15:formulaRef>
                      </c:ext>
                    </c:extLst>
                    <c:strCache>
                      <c:ptCount val="10"/>
                      <c:pt idx="0">
                        <c:v>EEOS</c:v>
                      </c:pt>
                      <c:pt idx="1">
                        <c:v>Energy or CO2 taxes</c:v>
                      </c:pt>
                      <c:pt idx="2">
                        <c:v>Financing Scheme or Fiscal</c:v>
                      </c:pt>
                      <c:pt idx="3">
                        <c:v>Fund instead of EEOS</c:v>
                      </c:pt>
                      <c:pt idx="4">
                        <c:v>Labelling Scheme</c:v>
                      </c:pt>
                      <c:pt idx="5">
                        <c:v>Regulation</c:v>
                      </c:pt>
                      <c:pt idx="6">
                        <c:v>Standard or Norm</c:v>
                      </c:pt>
                      <c:pt idx="7">
                        <c:v>Training and Education</c:v>
                      </c:pt>
                      <c:pt idx="8">
                        <c:v>Voluntary Agreement</c:v>
                      </c:pt>
                      <c:pt idx="9">
                        <c:v>Any other policy measure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'[Aggregated - Update 2018 incl Sweden (002).xlsx]Policy measures'!$J$310:$J$319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89-73DF-4F81-A383-C8F453E513BF}"/>
                  </c:ext>
                </c:extLst>
              </c15:ser>
            </c15:filteredPieSeries>
            <c15:filteredPieSeries>
              <c15:ser>
                <c:idx val="5"/>
                <c:order val="5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8B-73DF-4F81-A383-C8F453E513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8D-73DF-4F81-A383-C8F453E513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8F-73DF-4F81-A383-C8F453E513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91-73DF-4F81-A383-C8F453E513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93-73DF-4F81-A383-C8F453E513B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95-73DF-4F81-A383-C8F453E513B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97-73DF-4F81-A383-C8F453E513B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99-73DF-4F81-A383-C8F453E513B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9B-73DF-4F81-A383-C8F453E513B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9D-73DF-4F81-A383-C8F453E513B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9F-73DF-4F81-A383-C8F453E513B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'[Aggregated - Update 2018 incl Sweden (002).xlsx]Policy measures'!$M$310:$M$319</c15:sqref>
                        </c15:formulaRef>
                      </c:ext>
                    </c:extLst>
                    <c:strCache>
                      <c:ptCount val="10"/>
                      <c:pt idx="0">
                        <c:v>EEOS</c:v>
                      </c:pt>
                      <c:pt idx="1">
                        <c:v>Energy or CO2 taxes</c:v>
                      </c:pt>
                      <c:pt idx="2">
                        <c:v>Financing Scheme or Fiscal</c:v>
                      </c:pt>
                      <c:pt idx="3">
                        <c:v>Fund instead of EEOS</c:v>
                      </c:pt>
                      <c:pt idx="4">
                        <c:v>Labelling Scheme</c:v>
                      </c:pt>
                      <c:pt idx="5">
                        <c:v>Regulation</c:v>
                      </c:pt>
                      <c:pt idx="6">
                        <c:v>Standard or Norm</c:v>
                      </c:pt>
                      <c:pt idx="7">
                        <c:v>Training and Education</c:v>
                      </c:pt>
                      <c:pt idx="8">
                        <c:v>Voluntary Agreement</c:v>
                      </c:pt>
                      <c:pt idx="9">
                        <c:v>Any other policy measure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'[Aggregated - Update 2018 incl Sweden (002).xlsx]Policy measures'!$K$310:$K$319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A0-73DF-4F81-A383-C8F453E513BF}"/>
                  </c:ext>
                </c:extLst>
              </c15:ser>
            </c15:filteredPieSeries>
            <c15:filteredPieSeries>
              <c15:ser>
                <c:idx val="6"/>
                <c:order val="6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A2-73DF-4F81-A383-C8F453E513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A4-73DF-4F81-A383-C8F453E513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A6-73DF-4F81-A383-C8F453E513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A8-73DF-4F81-A383-C8F453E513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AA-73DF-4F81-A383-C8F453E513B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AC-73DF-4F81-A383-C8F453E513B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AE-73DF-4F81-A383-C8F453E513B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B0-73DF-4F81-A383-C8F453E513B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B2-73DF-4F81-A383-C8F453E513B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B4-73DF-4F81-A383-C8F453E513B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B6-73DF-4F81-A383-C8F453E513B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'[Aggregated - Update 2018 incl Sweden (002).xlsx]Policy measures'!$M$310:$M$319</c15:sqref>
                        </c15:formulaRef>
                      </c:ext>
                    </c:extLst>
                    <c:strCache>
                      <c:ptCount val="10"/>
                      <c:pt idx="0">
                        <c:v>EEOS</c:v>
                      </c:pt>
                      <c:pt idx="1">
                        <c:v>Energy or CO2 taxes</c:v>
                      </c:pt>
                      <c:pt idx="2">
                        <c:v>Financing Scheme or Fiscal</c:v>
                      </c:pt>
                      <c:pt idx="3">
                        <c:v>Fund instead of EEOS</c:v>
                      </c:pt>
                      <c:pt idx="4">
                        <c:v>Labelling Scheme</c:v>
                      </c:pt>
                      <c:pt idx="5">
                        <c:v>Regulation</c:v>
                      </c:pt>
                      <c:pt idx="6">
                        <c:v>Standard or Norm</c:v>
                      </c:pt>
                      <c:pt idx="7">
                        <c:v>Training and Education</c:v>
                      </c:pt>
                      <c:pt idx="8">
                        <c:v>Voluntary Agreement</c:v>
                      </c:pt>
                      <c:pt idx="9">
                        <c:v>Any other policy measure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'[Aggregated - Update 2018 incl Sweden (002).xlsx]Policy measures'!$L$310:$L$319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B7-73DF-4F81-A383-C8F453E513BF}"/>
                  </c:ext>
                </c:extLst>
              </c15:ser>
            </c15:filteredPieSeries>
            <c15:filteredPieSeries>
              <c15:ser>
                <c:idx val="7"/>
                <c:order val="7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B9-73DF-4F81-A383-C8F453E513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BB-73DF-4F81-A383-C8F453E513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BD-73DF-4F81-A383-C8F453E513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BF-73DF-4F81-A383-C8F453E513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C1-73DF-4F81-A383-C8F453E513B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C3-73DF-4F81-A383-C8F453E513B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C5-73DF-4F81-A383-C8F453E513B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C7-73DF-4F81-A383-C8F453E513B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C9-73DF-4F81-A383-C8F453E513B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CB-73DF-4F81-A383-C8F453E513B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CD-73DF-4F81-A383-C8F453E513B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'[Aggregated - Update 2018 incl Sweden (002).xlsx]Policy measures'!$M$310:$M$319</c15:sqref>
                        </c15:formulaRef>
                      </c:ext>
                    </c:extLst>
                    <c:strCache>
                      <c:ptCount val="10"/>
                      <c:pt idx="0">
                        <c:v>EEOS</c:v>
                      </c:pt>
                      <c:pt idx="1">
                        <c:v>Energy or CO2 taxes</c:v>
                      </c:pt>
                      <c:pt idx="2">
                        <c:v>Financing Scheme or Fiscal</c:v>
                      </c:pt>
                      <c:pt idx="3">
                        <c:v>Fund instead of EEOS</c:v>
                      </c:pt>
                      <c:pt idx="4">
                        <c:v>Labelling Scheme</c:v>
                      </c:pt>
                      <c:pt idx="5">
                        <c:v>Regulation</c:v>
                      </c:pt>
                      <c:pt idx="6">
                        <c:v>Standard or Norm</c:v>
                      </c:pt>
                      <c:pt idx="7">
                        <c:v>Training and Education</c:v>
                      </c:pt>
                      <c:pt idx="8">
                        <c:v>Voluntary Agreement</c:v>
                      </c:pt>
                      <c:pt idx="9">
                        <c:v>Any other policy measure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'Policy measures'!#REF!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CE-73DF-4F81-A383-C8F453E513BF}"/>
                  </c:ext>
                </c:extLst>
              </c15:ser>
            </c15:filteredPieSeries>
            <c15:filteredPieSeries>
              <c15:ser>
                <c:idx val="8"/>
                <c:order val="8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0-73DF-4F81-A383-C8F453E513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2-73DF-4F81-A383-C8F453E513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4-73DF-4F81-A383-C8F453E513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6-73DF-4F81-A383-C8F453E513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8-73DF-4F81-A383-C8F453E513B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A-73DF-4F81-A383-C8F453E513B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C-73DF-4F81-A383-C8F453E513B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E-73DF-4F81-A383-C8F453E513B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0-73DF-4F81-A383-C8F453E513B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2-73DF-4F81-A383-C8F453E513B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4-73DF-4F81-A383-C8F453E513B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'[Aggregated - Update 2018 incl Sweden (002).xlsx]Policy measures'!$M$310:$M$319</c15:sqref>
                        </c15:formulaRef>
                      </c:ext>
                    </c:extLst>
                    <c:strCache>
                      <c:ptCount val="10"/>
                      <c:pt idx="0">
                        <c:v>EEOS</c:v>
                      </c:pt>
                      <c:pt idx="1">
                        <c:v>Energy or CO2 taxes</c:v>
                      </c:pt>
                      <c:pt idx="2">
                        <c:v>Financing Scheme or Fiscal</c:v>
                      </c:pt>
                      <c:pt idx="3">
                        <c:v>Fund instead of EEOS</c:v>
                      </c:pt>
                      <c:pt idx="4">
                        <c:v>Labelling Scheme</c:v>
                      </c:pt>
                      <c:pt idx="5">
                        <c:v>Regulation</c:v>
                      </c:pt>
                      <c:pt idx="6">
                        <c:v>Standard or Norm</c:v>
                      </c:pt>
                      <c:pt idx="7">
                        <c:v>Training and Education</c:v>
                      </c:pt>
                      <c:pt idx="8">
                        <c:v>Voluntary Agreement</c:v>
                      </c:pt>
                      <c:pt idx="9">
                        <c:v>Any other policy measure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'[Aggregated - Update 2018 incl Sweden (002).xlsx]Policy measures'!$N$310:$N$319</c15:sqref>
                        </c15:formulaRef>
                      </c:ext>
                    </c:extLst>
                    <c:numCache>
                      <c:formatCode>0.00</c:formatCode>
                      <c:ptCount val="10"/>
                      <c:pt idx="0">
                        <c:v>2894.4433204342331</c:v>
                      </c:pt>
                      <c:pt idx="1">
                        <c:v>2821.3821411650842</c:v>
                      </c:pt>
                      <c:pt idx="2">
                        <c:v>1556.5893479867468</c:v>
                      </c:pt>
                      <c:pt idx="3">
                        <c:v>11.8698194344488</c:v>
                      </c:pt>
                      <c:pt idx="4">
                        <c:v>0</c:v>
                      </c:pt>
                      <c:pt idx="5">
                        <c:v>220.18802567492878</c:v>
                      </c:pt>
                      <c:pt idx="6">
                        <c:v>1032.0638292775352</c:v>
                      </c:pt>
                      <c:pt idx="7">
                        <c:v>179.07839208942391</c:v>
                      </c:pt>
                      <c:pt idx="8">
                        <c:v>598.74849056708501</c:v>
                      </c:pt>
                      <c:pt idx="9">
                        <c:v>267.03178387276466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E5-73DF-4F81-A383-C8F453E513BF}"/>
                  </c:ext>
                </c:extLst>
              </c15:ser>
            </c15:filteredPieSeries>
            <c15:filteredPieSeries>
              <c15:ser>
                <c:idx val="9"/>
                <c:order val="9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7-73DF-4F81-A383-C8F453E513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9-73DF-4F81-A383-C8F453E513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B-73DF-4F81-A383-C8F453E513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D-73DF-4F81-A383-C8F453E513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F-73DF-4F81-A383-C8F453E513B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1-73DF-4F81-A383-C8F453E513B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3-73DF-4F81-A383-C8F453E513B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5-73DF-4F81-A383-C8F453E513B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7-73DF-4F81-A383-C8F453E513B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9-73DF-4F81-A383-C8F453E513B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B-73DF-4F81-A383-C8F453E513B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'[Aggregated - Update 2018 incl Sweden (002).xlsx]Policy measures'!$M$310:$M$319</c15:sqref>
                        </c15:formulaRef>
                      </c:ext>
                    </c:extLst>
                    <c:strCache>
                      <c:ptCount val="10"/>
                      <c:pt idx="0">
                        <c:v>EEOS</c:v>
                      </c:pt>
                      <c:pt idx="1">
                        <c:v>Energy or CO2 taxes</c:v>
                      </c:pt>
                      <c:pt idx="2">
                        <c:v>Financing Scheme or Fiscal</c:v>
                      </c:pt>
                      <c:pt idx="3">
                        <c:v>Fund instead of EEOS</c:v>
                      </c:pt>
                      <c:pt idx="4">
                        <c:v>Labelling Scheme</c:v>
                      </c:pt>
                      <c:pt idx="5">
                        <c:v>Regulation</c:v>
                      </c:pt>
                      <c:pt idx="6">
                        <c:v>Standard or Norm</c:v>
                      </c:pt>
                      <c:pt idx="7">
                        <c:v>Training and Education</c:v>
                      </c:pt>
                      <c:pt idx="8">
                        <c:v>Voluntary Agreement</c:v>
                      </c:pt>
                      <c:pt idx="9">
                        <c:v>Any other policy measure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'[Aggregated - Update 2018 incl Sweden (002).xlsx]Policy measures'!$O$310:$O$319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FC-73DF-4F81-A383-C8F453E513BF}"/>
                  </c:ext>
                </c:extLst>
              </c15:ser>
            </c15:filteredPieSeries>
            <c15:filteredPieSeries>
              <c15:ser>
                <c:idx val="10"/>
                <c:order val="1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E-73DF-4F81-A383-C8F453E513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0-73DF-4F81-A383-C8F453E513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2-73DF-4F81-A383-C8F453E513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4-73DF-4F81-A383-C8F453E513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6-73DF-4F81-A383-C8F453E513B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8-73DF-4F81-A383-C8F453E513B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A-73DF-4F81-A383-C8F453E513B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C-73DF-4F81-A383-C8F453E513B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E-73DF-4F81-A383-C8F453E513B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0-73DF-4F81-A383-C8F453E513B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2-73DF-4F81-A383-C8F453E513B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'[Aggregated - Update 2018 incl Sweden (002).xlsx]Policy measures'!$M$310:$M$319</c15:sqref>
                        </c15:formulaRef>
                      </c:ext>
                    </c:extLst>
                    <c:strCache>
                      <c:ptCount val="10"/>
                      <c:pt idx="0">
                        <c:v>EEOS</c:v>
                      </c:pt>
                      <c:pt idx="1">
                        <c:v>Energy or CO2 taxes</c:v>
                      </c:pt>
                      <c:pt idx="2">
                        <c:v>Financing Scheme or Fiscal</c:v>
                      </c:pt>
                      <c:pt idx="3">
                        <c:v>Fund instead of EEOS</c:v>
                      </c:pt>
                      <c:pt idx="4">
                        <c:v>Labelling Scheme</c:v>
                      </c:pt>
                      <c:pt idx="5">
                        <c:v>Regulation</c:v>
                      </c:pt>
                      <c:pt idx="6">
                        <c:v>Standard or Norm</c:v>
                      </c:pt>
                      <c:pt idx="7">
                        <c:v>Training and Education</c:v>
                      </c:pt>
                      <c:pt idx="8">
                        <c:v>Voluntary Agreement</c:v>
                      </c:pt>
                      <c:pt idx="9">
                        <c:v>Any other policy measure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'[Aggregated - Update 2018 incl Sweden (002).xlsx]Policy measures'!$P$310:$P$319</c15:sqref>
                        </c15:formulaRef>
                      </c:ext>
                    </c:extLst>
                    <c:numCache>
                      <c:formatCode>0.00</c:formatCode>
                      <c:ptCount val="10"/>
                      <c:pt idx="0">
                        <c:v>4165.5137245562564</c:v>
                      </c:pt>
                      <c:pt idx="1">
                        <c:v>4055.3597580945589</c:v>
                      </c:pt>
                      <c:pt idx="2">
                        <c:v>2991.3299449177071</c:v>
                      </c:pt>
                      <c:pt idx="3">
                        <c:v>32.5</c:v>
                      </c:pt>
                      <c:pt idx="4">
                        <c:v>0</c:v>
                      </c:pt>
                      <c:pt idx="5">
                        <c:v>321.66001641826085</c:v>
                      </c:pt>
                      <c:pt idx="6">
                        <c:v>2127.6254856683172</c:v>
                      </c:pt>
                      <c:pt idx="7">
                        <c:v>263.77168695804914</c:v>
                      </c:pt>
                      <c:pt idx="8">
                        <c:v>850.60680140549584</c:v>
                      </c:pt>
                      <c:pt idx="9">
                        <c:v>612.1678044433196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113-73DF-4F81-A383-C8F453E513BF}"/>
                  </c:ext>
                </c:extLst>
              </c15:ser>
            </c15:filteredPieSeries>
            <c15:filteredPieSeries>
              <c15:ser>
                <c:idx val="11"/>
                <c:order val="1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5-73DF-4F81-A383-C8F453E513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7-73DF-4F81-A383-C8F453E513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9-73DF-4F81-A383-C8F453E513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B-73DF-4F81-A383-C8F453E513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D-73DF-4F81-A383-C8F453E513B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F-73DF-4F81-A383-C8F453E513B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1-73DF-4F81-A383-C8F453E513B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3-73DF-4F81-A383-C8F453E513B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5-73DF-4F81-A383-C8F453E513B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7-73DF-4F81-A383-C8F453E513B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9-73DF-4F81-A383-C8F453E513B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'[Aggregated - Update 2018 incl Sweden (002).xlsx]Policy measures'!$M$310:$M$319</c15:sqref>
                        </c15:formulaRef>
                      </c:ext>
                    </c:extLst>
                    <c:strCache>
                      <c:ptCount val="10"/>
                      <c:pt idx="0">
                        <c:v>EEOS</c:v>
                      </c:pt>
                      <c:pt idx="1">
                        <c:v>Energy or CO2 taxes</c:v>
                      </c:pt>
                      <c:pt idx="2">
                        <c:v>Financing Scheme or Fiscal</c:v>
                      </c:pt>
                      <c:pt idx="3">
                        <c:v>Fund instead of EEOS</c:v>
                      </c:pt>
                      <c:pt idx="4">
                        <c:v>Labelling Scheme</c:v>
                      </c:pt>
                      <c:pt idx="5">
                        <c:v>Regulation</c:v>
                      </c:pt>
                      <c:pt idx="6">
                        <c:v>Standard or Norm</c:v>
                      </c:pt>
                      <c:pt idx="7">
                        <c:v>Training and Education</c:v>
                      </c:pt>
                      <c:pt idx="8">
                        <c:v>Voluntary Agreement</c:v>
                      </c:pt>
                      <c:pt idx="9">
                        <c:v>Any other policy measure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'[Aggregated - Update 2018 incl Sweden (002).xlsx]Policy measures'!$Q$310:$Q$319</c15:sqref>
                        </c15:formulaRef>
                      </c:ext>
                    </c:extLst>
                    <c:numCache>
                      <c:formatCode>0.00</c:formatCode>
                      <c:ptCount val="10"/>
                      <c:pt idx="0">
                        <c:v>8507.4350449904905</c:v>
                      </c:pt>
                      <c:pt idx="1">
                        <c:v>6876.7418992596431</c:v>
                      </c:pt>
                      <c:pt idx="2">
                        <c:v>4547.9192929044548</c:v>
                      </c:pt>
                      <c:pt idx="3">
                        <c:v>44.3698194344488</c:v>
                      </c:pt>
                      <c:pt idx="4">
                        <c:v>0</c:v>
                      </c:pt>
                      <c:pt idx="5">
                        <c:v>541.84804209318963</c:v>
                      </c:pt>
                      <c:pt idx="6">
                        <c:v>3159.6893149458519</c:v>
                      </c:pt>
                      <c:pt idx="7">
                        <c:v>442.850079047473</c:v>
                      </c:pt>
                      <c:pt idx="8">
                        <c:v>1449.3552919725812</c:v>
                      </c:pt>
                      <c:pt idx="9">
                        <c:v>879.19958831608415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12A-73DF-4F81-A383-C8F453E513BF}"/>
                  </c:ext>
                </c:extLst>
              </c15:ser>
            </c15:filteredPieSeries>
            <c15:filteredPieSeries>
              <c15:ser>
                <c:idx val="12"/>
                <c:order val="12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C-73DF-4F81-A383-C8F453E513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E-73DF-4F81-A383-C8F453E513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0-73DF-4F81-A383-C8F453E513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2-73DF-4F81-A383-C8F453E513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4-73DF-4F81-A383-C8F453E513B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6-73DF-4F81-A383-C8F453E513B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8-73DF-4F81-A383-C8F453E513B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A-73DF-4F81-A383-C8F453E513B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C-73DF-4F81-A383-C8F453E513B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E-73DF-4F81-A383-C8F453E513B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0-73DF-4F81-A383-C8F453E513B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'[Aggregated - Update 2018 incl Sweden (002).xlsx]Policy measures'!$M$310:$M$319</c15:sqref>
                        </c15:formulaRef>
                      </c:ext>
                    </c:extLst>
                    <c:strCache>
                      <c:ptCount val="10"/>
                      <c:pt idx="0">
                        <c:v>EEOS</c:v>
                      </c:pt>
                      <c:pt idx="1">
                        <c:v>Energy or CO2 taxes</c:v>
                      </c:pt>
                      <c:pt idx="2">
                        <c:v>Financing Scheme or Fiscal</c:v>
                      </c:pt>
                      <c:pt idx="3">
                        <c:v>Fund instead of EEOS</c:v>
                      </c:pt>
                      <c:pt idx="4">
                        <c:v>Labelling Scheme</c:v>
                      </c:pt>
                      <c:pt idx="5">
                        <c:v>Regulation</c:v>
                      </c:pt>
                      <c:pt idx="6">
                        <c:v>Standard or Norm</c:v>
                      </c:pt>
                      <c:pt idx="7">
                        <c:v>Training and Education</c:v>
                      </c:pt>
                      <c:pt idx="8">
                        <c:v>Voluntary Agreement</c:v>
                      </c:pt>
                      <c:pt idx="9">
                        <c:v>Any other policy measure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'[Aggregated - Update 2018 incl Sweden (002).xlsx]Policy measures'!$R$310:$R$319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141-73DF-4F81-A383-C8F453E513BF}"/>
                  </c:ext>
                </c:extLst>
              </c15:ser>
            </c15:filteredPieSeries>
            <c15:filteredPieSeries>
              <c15:ser>
                <c:idx val="13"/>
                <c:order val="13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3-73DF-4F81-A383-C8F453E513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5-73DF-4F81-A383-C8F453E513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7-73DF-4F81-A383-C8F453E513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9-73DF-4F81-A383-C8F453E513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B-73DF-4F81-A383-C8F453E513B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D-73DF-4F81-A383-C8F453E513B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F-73DF-4F81-A383-C8F453E513B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1-73DF-4F81-A383-C8F453E513BF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3-73DF-4F81-A383-C8F453E513BF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5-73DF-4F81-A383-C8F453E513BF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7-73DF-4F81-A383-C8F453E513B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'[Aggregated - Update 2018 incl Sweden (002).xlsx]Policy measures'!$M$310:$M$319</c15:sqref>
                        </c15:formulaRef>
                      </c:ext>
                    </c:extLst>
                    <c:strCache>
                      <c:ptCount val="10"/>
                      <c:pt idx="0">
                        <c:v>EEOS</c:v>
                      </c:pt>
                      <c:pt idx="1">
                        <c:v>Energy or CO2 taxes</c:v>
                      </c:pt>
                      <c:pt idx="2">
                        <c:v>Financing Scheme or Fiscal</c:v>
                      </c:pt>
                      <c:pt idx="3">
                        <c:v>Fund instead of EEOS</c:v>
                      </c:pt>
                      <c:pt idx="4">
                        <c:v>Labelling Scheme</c:v>
                      </c:pt>
                      <c:pt idx="5">
                        <c:v>Regulation</c:v>
                      </c:pt>
                      <c:pt idx="6">
                        <c:v>Standard or Norm</c:v>
                      </c:pt>
                      <c:pt idx="7">
                        <c:v>Training and Education</c:v>
                      </c:pt>
                      <c:pt idx="8">
                        <c:v>Voluntary Agreement</c:v>
                      </c:pt>
                      <c:pt idx="9">
                        <c:v>Any other policy measure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'[Aggregated - Update 2018 incl Sweden (002).xlsx]Policy measures'!$S$310:$S$319</c15:sqref>
                        </c15:formulaRef>
                      </c:ext>
                    </c:extLst>
                    <c:numCache>
                      <c:formatCode>0.00</c:formatCode>
                      <c:ptCount val="10"/>
                      <c:pt idx="0">
                        <c:v>5923.7299639853973</c:v>
                      </c:pt>
                      <c:pt idx="1">
                        <c:v>4658.5470613312573</c:v>
                      </c:pt>
                      <c:pt idx="2">
                        <c:v>4565.4847570629199</c:v>
                      </c:pt>
                      <c:pt idx="3">
                        <c:v>62.4</c:v>
                      </c:pt>
                      <c:pt idx="4">
                        <c:v>0</c:v>
                      </c:pt>
                      <c:pt idx="5">
                        <c:v>740.15550251659147</c:v>
                      </c:pt>
                      <c:pt idx="6">
                        <c:v>2899.3594319899171</c:v>
                      </c:pt>
                      <c:pt idx="7">
                        <c:v>326.09447390310277</c:v>
                      </c:pt>
                      <c:pt idx="8">
                        <c:v>1121.1339477273937</c:v>
                      </c:pt>
                      <c:pt idx="9">
                        <c:v>935.10901660832553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158-73DF-4F81-A383-C8F453E513BF}"/>
                  </c:ext>
                </c:extLst>
              </c15:ser>
            </c15:filteredPieSeries>
          </c:ext>
        </c:extLst>
      </c:pieChart>
      <c:spPr>
        <a:solidFill>
          <a:srgbClr val="FFFFFF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6350" cap="flat" cmpd="sng" algn="ctr">
      <a:solidFill>
        <a:schemeClr val="bg1"/>
      </a:solidFill>
      <a:prstDash val="solid"/>
      <a:round/>
      <a:headEnd type="none" w="med" len="med"/>
      <a:tailEnd type="none" w="med" len="med"/>
    </a:ln>
    <a:effectLst/>
  </c:spPr>
  <c:txPr>
    <a:bodyPr/>
    <a:lstStyle/>
    <a:p>
      <a:pPr>
        <a:defRPr sz="800">
          <a:latin typeface="Trebuchet MS" panose="020B0603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499B58C-49F9-4C37-8A9D-FFDD1093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5278</Words>
  <Characters>28030</Characters>
  <Application>Microsoft Office Word</Application>
  <DocSecurity>0</DocSecurity>
  <Lines>718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2019-03-28T08:56:00Z</dcterms:created>
  <dcterms:modified xsi:type="dcterms:W3CDTF">2019-04-08T11:55:00Z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