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229EC74-836C-4142-AC4D-B1D4C426D65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Priekšlikuma pamatojums un mērķi</w:t>
      </w:r>
    </w:p>
    <w:p>
      <w:pPr>
        <w:pBdr>
          <w:top w:val="nil"/>
          <w:left w:val="nil"/>
          <w:bottom w:val="nil"/>
          <w:right w:val="nil"/>
          <w:between w:val="nil"/>
          <w:bar w:val="nil"/>
        </w:pBdr>
        <w:spacing w:before="0" w:after="240"/>
        <w:rPr>
          <w:rFonts w:eastAsia="Arial Unicode MS"/>
          <w:noProof/>
        </w:rPr>
      </w:pPr>
      <w:r>
        <w:rPr>
          <w:noProof/>
        </w:rPr>
        <w:t xml:space="preserve">2008. gada 15. aprīlī ir stājies spēkā partnerattiecību nolīgums zivsaimniecības nozarē starp Eiropas Kopienu un Gvinejas-Bisavas Republiku. Nolīguma iepriekšējais protokols bija spēkā no 2014. gada 24. novembra līdz 2017. gada 23. novembrim. </w:t>
      </w:r>
    </w:p>
    <w:p>
      <w:pPr>
        <w:pBdr>
          <w:top w:val="nil"/>
          <w:left w:val="nil"/>
          <w:bottom w:val="nil"/>
          <w:right w:val="nil"/>
          <w:between w:val="nil"/>
          <w:bar w:val="nil"/>
        </w:pBdr>
        <w:spacing w:before="0" w:after="240"/>
        <w:rPr>
          <w:rFonts w:eastAsia="Arial Unicode MS"/>
          <w:noProof/>
        </w:rPr>
      </w:pPr>
      <w:r>
        <w:rPr>
          <w:noProof/>
        </w:rPr>
        <w:t>Komisija, pamatodamās uz attiecīgajām sarunu norādēm</w:t>
      </w:r>
      <w:r>
        <w:rPr>
          <w:rStyle w:val="FootnoteReference"/>
          <w:noProof/>
        </w:rPr>
        <w:footnoteReference w:id="1"/>
      </w:r>
      <w:r>
        <w:rPr>
          <w:noProof/>
        </w:rPr>
        <w:t>, ar Gvinejas-Bisavas valdību ir risinājusi sarunas par to, lai noslēgtu jaunu protokolu, ar ko īsteno partnerattiecību nolīgumu zivsaimniecības nozarē starp Eiropas Kopienu un Gvinejas-Bisavas Republiku</w:t>
      </w:r>
      <w:r>
        <w:rPr>
          <w:rStyle w:val="FootnoteReference"/>
          <w:noProof/>
        </w:rPr>
        <w:footnoteReference w:id="2"/>
      </w:r>
      <w:r>
        <w:rPr>
          <w:noProof/>
        </w:rPr>
        <w:t>. Šo sarunu iznākumā jauns protokols tika parafēts 2018. gada 15. novembrī. Protokols aptver piecu gadu laikposmu no tā provizoriskās piemērošanas sākuma dienas, t. i., no parakstīšanas dienas, kā noteikts protokola 16. pantā.</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Saskanība ar spēkā esošajiem noteikumiem konkrētajā rīcībpolitikas jomā</w:t>
      </w:r>
    </w:p>
    <w:p>
      <w:pPr>
        <w:pBdr>
          <w:top w:val="nil"/>
          <w:left w:val="nil"/>
          <w:bottom w:val="nil"/>
          <w:right w:val="nil"/>
          <w:between w:val="nil"/>
          <w:bar w:val="nil"/>
        </w:pBdr>
        <w:spacing w:before="0" w:after="240"/>
        <w:rPr>
          <w:noProof/>
        </w:rPr>
      </w:pPr>
      <w:r>
        <w:rPr>
          <w:noProof/>
        </w:rPr>
        <w:t>Atbilstoši zivsaimniecības politikas reformas</w:t>
      </w:r>
      <w:r>
        <w:rPr>
          <w:rStyle w:val="FootnoteReference"/>
          <w:noProof/>
        </w:rPr>
        <w:footnoteReference w:id="3"/>
      </w:r>
      <w:r>
        <w:rPr>
          <w:noProof/>
        </w:rPr>
        <w:t xml:space="preserve"> prioritātēm zvejas iespējas Savienības kuģiem Gvinejas-Bisavas ūdeņos ar jauno protokolu tiek piešķirtas, pamatojoties uz labākajiem pieejamajiem zinātniskajiem ieteikumiem un ievērojot Starptautiskās Atlantijas tunzivju saglabāšanas komisijas (</w:t>
      </w:r>
      <w:r>
        <w:rPr>
          <w:i/>
          <w:noProof/>
        </w:rPr>
        <w:t>ICCAT</w:t>
      </w:r>
      <w:r>
        <w:rPr>
          <w:noProof/>
        </w:rPr>
        <w:t xml:space="preserve">) ieteikumus. Jaunajā protokolā ņemti vērā iepriekšējā, 2014.–2018. gada protokola izvērtējuma rezultāti un provizorisks novērtējums par to, vai jauna protokola noslēgšana būtu lietderīga. Vērtēšanu veica neatkarīgi eksperti. Protokols turklāt ļaus Eiropas Savienībai un Gvinejas-Bisavas Republikai ciešāk sadarboties, lai veicinātu zvejas resursu atbildīgu izmantošanu Gvinejas-Bisavas ūdeņos, un atbalstīt Gvinejas-Bisavas centienus attīstīt savu jūras nozaru ekonomiku – tas ir abu Pušu interesēs. </w:t>
      </w:r>
    </w:p>
    <w:p>
      <w:pPr>
        <w:spacing w:before="0" w:after="240"/>
        <w:rPr>
          <w:noProof/>
        </w:rPr>
      </w:pPr>
      <w:r>
        <w:rPr>
          <w:noProof/>
        </w:rPr>
        <w:t>Protokolā paredzētas zvejas iespējas šādās kategorijās:</w:t>
      </w:r>
    </w:p>
    <w:p>
      <w:pPr>
        <w:pStyle w:val="Point0number"/>
        <w:numPr>
          <w:ilvl w:val="0"/>
          <w:numId w:val="18"/>
        </w:numPr>
        <w:spacing w:before="0"/>
        <w:rPr>
          <w:noProof/>
        </w:rPr>
      </w:pPr>
      <w:r>
        <w:rPr>
          <w:noProof/>
        </w:rPr>
        <w:t>garneļu saldētājtraleri;</w:t>
      </w:r>
    </w:p>
    <w:p>
      <w:pPr>
        <w:pStyle w:val="Point0number"/>
        <w:numPr>
          <w:ilvl w:val="0"/>
          <w:numId w:val="18"/>
        </w:numPr>
        <w:rPr>
          <w:noProof/>
        </w:rPr>
      </w:pPr>
      <w:r>
        <w:rPr>
          <w:noProof/>
        </w:rPr>
        <w:t>zivju un galvkāju saldētājtraleri;</w:t>
      </w:r>
    </w:p>
    <w:p>
      <w:pPr>
        <w:pStyle w:val="Point0number"/>
        <w:rPr>
          <w:noProof/>
        </w:rPr>
      </w:pPr>
      <w:r>
        <w:rPr>
          <w:noProof/>
        </w:rPr>
        <w:t>mazo pelaģisko sugu traleri;</w:t>
      </w:r>
    </w:p>
    <w:p>
      <w:pPr>
        <w:pStyle w:val="Point0number"/>
        <w:rPr>
          <w:noProof/>
        </w:rPr>
      </w:pPr>
      <w:r>
        <w:rPr>
          <w:noProof/>
        </w:rPr>
        <w:t>tunzivju saldētājseineri un kuģi zvejai ar āķu jedām;</w:t>
      </w:r>
    </w:p>
    <w:p>
      <w:pPr>
        <w:pStyle w:val="Point0number"/>
        <w:rPr>
          <w:noProof/>
        </w:rPr>
      </w:pPr>
      <w:r>
        <w:rPr>
          <w:noProof/>
        </w:rPr>
        <w:t>kuģi tunzivju zvejai ar makšķerrīkiem.</w:t>
      </w:r>
    </w:p>
    <w:p>
      <w:pPr>
        <w:spacing w:before="0" w:after="240"/>
        <w:rPr>
          <w:noProof/>
        </w:rPr>
      </w:pPr>
      <w:r>
        <w:rPr>
          <w:noProof/>
        </w:rPr>
        <w:t>Pirmajām trim iepriekš minētajām kategorijām zvejas iespējas ir izteiktas ar zvejas piepūli (reģistrēto bruto tilpību) pirmajos divos un ar nozvejas limitu (KPN) – pēdējos trijos protokola piemērošanas gados.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Saskanība ar citām Savienības rīcībpolitikas jomām</w:t>
      </w:r>
    </w:p>
    <w:p>
      <w:pPr>
        <w:pBdr>
          <w:top w:val="nil"/>
          <w:left w:val="nil"/>
          <w:bottom w:val="nil"/>
          <w:right w:val="nil"/>
          <w:between w:val="nil"/>
          <w:bar w:val="nil"/>
        </w:pBdr>
        <w:spacing w:before="0" w:after="240"/>
        <w:rPr>
          <w:noProof/>
        </w:rPr>
      </w:pPr>
      <w:r>
        <w:rPr>
          <w:noProof/>
        </w:rPr>
        <w:t>Sarunu risināšana par jaunu protokolu, ar kuru īsteno ar Gvineju-Bisavu noslēgto partnerattiecību nolīgumu zivsaimniecības nozarē, ir saskaņā ar ES ārējo darbību attiecībā uz ĀKK valstīm un konkrēti ar Savienības mērķiem, ko tā izvirzījusi demokrātijas principu un cilvēktiesību ievērošanas ziņā.</w:t>
      </w:r>
    </w:p>
    <w:p>
      <w:pPr>
        <w:pStyle w:val="ManualHeading1"/>
        <w:rPr>
          <w:noProof/>
        </w:rPr>
      </w:pPr>
      <w:r>
        <w:rPr>
          <w:noProof/>
        </w:rPr>
        <w:lastRenderedPageBreak/>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keepNext/>
        <w:rPr>
          <w:noProof/>
          <w:sz w:val="22"/>
        </w:rPr>
      </w:pPr>
      <w:r>
        <w:rPr>
          <w:noProof/>
        </w:rPr>
        <w:t xml:space="preserve">Izvēlētais juridiskais pamats ir Līgums par Eiropas Savienības darbību, kura 43. panta 2. punkts izveido kopējo zivsaimniecības politiku, bet 218. panta 5. punktā ir izklāstīta procedūra sarunu risināšanai un nolīgumu noslēgšanai starp Savienību un trešām valstīm. </w:t>
      </w:r>
    </w:p>
    <w:p>
      <w:pPr>
        <w:pStyle w:val="ManualHeading2"/>
        <w:rPr>
          <w:rFonts w:eastAsia="Arial Unicode MS"/>
          <w:noProof/>
          <w:u w:color="000000"/>
          <w:bdr w:val="nil"/>
        </w:rPr>
      </w:pPr>
      <w:r>
        <w:rPr>
          <w:noProof/>
        </w:rPr>
        <w:t>•</w:t>
      </w:r>
      <w:r>
        <w:rPr>
          <w:noProof/>
        </w:rPr>
        <w:tab/>
        <w:t>Subsidiaritāte (neekskluzīvas kompetences gadījumā)</w:t>
      </w:r>
    </w:p>
    <w:p>
      <w:pPr>
        <w:keepNext/>
        <w:rPr>
          <w:noProof/>
          <w:sz w:val="22"/>
        </w:rPr>
      </w:pPr>
      <w:r>
        <w:rPr>
          <w:noProof/>
        </w:rPr>
        <w:t>Priekšlikums ir Eiropas Savienības ekskluzīvā kompetencē.</w:t>
      </w:r>
    </w:p>
    <w:p>
      <w:pPr>
        <w:pStyle w:val="ManualHeading2"/>
        <w:rPr>
          <w:rFonts w:eastAsia="Arial Unicode MS"/>
          <w:noProof/>
          <w:u w:color="000000"/>
          <w:bdr w:val="nil"/>
        </w:rPr>
      </w:pPr>
      <w:r>
        <w:rPr>
          <w:noProof/>
        </w:rPr>
        <w:t>•</w:t>
      </w:r>
      <w:r>
        <w:rPr>
          <w:noProof/>
        </w:rPr>
        <w:tab/>
        <w:t>Proporcionalitāte</w:t>
      </w:r>
    </w:p>
    <w:p>
      <w:pPr>
        <w:keepNext/>
        <w:rPr>
          <w:noProof/>
          <w:sz w:val="22"/>
        </w:rPr>
      </w:pPr>
      <w:r>
        <w:rPr>
          <w:noProof/>
        </w:rPr>
        <w:t xml:space="preserve">Priekšlikums ir samērīgs ar mērķi izveidot juridiskās, vidiskās, ekonomiskās un sociālās pārvaldības satvaru zvejas darbībām, ko Savienības kuģi veic trešo valstu ūdeņos, kā noteikts Kopējās zivsaimniecības politikas regulas 31. pantā. Priekšlikums atbilst šiem noteikumiem, kā arī tiem, kas saistīti ar tās pašas regulas 32. pantā paredzēto finansiālo atbalstu trešai valstij.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rPr>
          <w:noProof/>
        </w:rPr>
      </w:pPr>
      <w:r>
        <w:rPr>
          <w:noProof/>
        </w:rPr>
        <w:t>Komisija 2016. gadā retrospektīvi (</w:t>
      </w:r>
      <w:r>
        <w:rPr>
          <w:i/>
          <w:noProof/>
        </w:rPr>
        <w:t>ex post</w:t>
      </w:r>
      <w:r>
        <w:rPr>
          <w:noProof/>
        </w:rPr>
        <w:t>) izvērtēja līdzšinējo protokolu, ar ko īsteno partnerattiecību nolīgumu zivsaimniecības nozarē starp Eiropas Savienību un Gvinejas-Bisavas Republiku, kā arī provizoriski (</w:t>
      </w:r>
      <w:r>
        <w:rPr>
          <w:i/>
          <w:noProof/>
        </w:rPr>
        <w:t>ex ante</w:t>
      </w:r>
      <w:r>
        <w:rPr>
          <w:noProof/>
        </w:rPr>
        <w:t>) novērtēja protokola atjaunošanas iespēju. Attiecīgie secinājumi ir izklāstīti atsevišķā darba dokumentā</w:t>
      </w:r>
      <w:r>
        <w:rPr>
          <w:rStyle w:val="FootnoteReference"/>
          <w:noProof/>
        </w:rPr>
        <w:footnoteReference w:id="4"/>
      </w:r>
      <w:r>
        <w:rPr>
          <w:noProof/>
        </w:rPr>
        <w:t>.</w:t>
      </w:r>
    </w:p>
    <w:p>
      <w:pPr>
        <w:rPr>
          <w:noProof/>
        </w:rPr>
      </w:pPr>
      <w:r>
        <w:rPr>
          <w:noProof/>
        </w:rPr>
        <w:t xml:space="preserve">Kopumā secināts, ka ES tunzivju zvejas sektorā ir liela interese par zvejošanu Gvinejas-Bisavas ūdeņos un ka protokola atjaunošana palīdzētu stiprināt reģiona zvejniecību uzraudzību, kontroli un pārraudzību un veicinātu to labāku pārvaldību. </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Izvērtēšanas procesā notika apspriešanās ar dalībvalstīm, nozares pārstāvjiem, starptautiskām pilsoniskās sabiedrības organizācijām, kā arī ar Gvinejas-Bisavas zivsaimniecības iestādēm un pilsonisko sabiedrību. Apspriešanās notika arī Tāljūras flotes konsultatīvajā padomē.</w:t>
      </w:r>
    </w:p>
    <w:p>
      <w:pPr>
        <w:pStyle w:val="ManualHeading2"/>
        <w:rPr>
          <w:rFonts w:eastAsia="Arial Unicode MS"/>
          <w:noProof/>
          <w:u w:color="000000"/>
          <w:bdr w:val="nil"/>
        </w:rPr>
      </w:pPr>
      <w:r>
        <w:rPr>
          <w:noProof/>
        </w:rPr>
        <w:t>•</w:t>
      </w:r>
      <w:r>
        <w:rPr>
          <w:noProof/>
        </w:rPr>
        <w:tab/>
        <w:t>Ekspertu atzinumu pieprasīšana un izmantošana</w:t>
      </w:r>
    </w:p>
    <w:p>
      <w:pPr>
        <w:spacing w:before="0" w:after="240"/>
        <w:rPr>
          <w:noProof/>
        </w:rPr>
      </w:pPr>
      <w:r>
        <w:rPr>
          <w:noProof/>
        </w:rPr>
        <w:t xml:space="preserve">Saskaņā ar Kopējās zivsaimniecības politikas regulas 31. panta 10. punktu Komisija </w:t>
      </w:r>
      <w:r>
        <w:rPr>
          <w:i/>
          <w:noProof/>
        </w:rPr>
        <w:t>ex post</w:t>
      </w:r>
      <w:r>
        <w:rPr>
          <w:noProof/>
        </w:rPr>
        <w:t xml:space="preserve"> un </w:t>
      </w:r>
      <w:r>
        <w:rPr>
          <w:i/>
          <w:noProof/>
        </w:rPr>
        <w:t>ex ante</w:t>
      </w:r>
      <w:r>
        <w:rPr>
          <w:noProof/>
        </w:rPr>
        <w:t xml:space="preserve"> vērtējumu veikšanai piesaistīja neatkarīgu konsultantu. </w:t>
      </w:r>
    </w:p>
    <w:p>
      <w:pPr>
        <w:pStyle w:val="ManualHeading1"/>
        <w:rPr>
          <w:noProof/>
        </w:rPr>
      </w:pPr>
      <w:r>
        <w:rPr>
          <w:noProof/>
        </w:rPr>
        <w:t>4.</w:t>
      </w:r>
      <w:r>
        <w:rPr>
          <w:noProof/>
        </w:rPr>
        <w:tab/>
        <w:t>IETEKME UZ BUDŽETU</w:t>
      </w:r>
    </w:p>
    <w:p>
      <w:pPr>
        <w:rPr>
          <w:noProof/>
        </w:rPr>
      </w:pPr>
      <w:r>
        <w:rPr>
          <w:noProof/>
        </w:rPr>
        <w:t>Eiropas Savienības ikgadējais finansiālais ieguldījums ir 15 600 000 EUR, un tas pamatojas uz:</w:t>
      </w:r>
    </w:p>
    <w:p>
      <w:pPr>
        <w:rPr>
          <w:noProof/>
        </w:rPr>
      </w:pPr>
      <w:r>
        <w:rPr>
          <w:noProof/>
        </w:rPr>
        <w:t>a) ikgadēju summu, kura attiecībā uz protokolā paredzētajām kategorijām maksājama par piekļuvi zvejas resursiem un kuras apjoms visā protokola piemērošanas laikā ir 11 600 000 EUR/gadā;</w:t>
      </w:r>
    </w:p>
    <w:p>
      <w:pPr>
        <w:rPr>
          <w:noProof/>
        </w:rPr>
      </w:pPr>
      <w:r>
        <w:rPr>
          <w:noProof/>
        </w:rPr>
        <w:t xml:space="preserve">b) ikgadēju atbalstu, kurš paredzēts Gvinejas-Bisavas zvejniecības sektorpolitikas un jūras nozaru ekonomikas attīstībai un kura apjoms visā protokola piemērošanas laikā ir </w:t>
      </w:r>
      <w:r>
        <w:rPr>
          <w:noProof/>
        </w:rPr>
        <w:lastRenderedPageBreak/>
        <w:t>4 000 000 EUR/gadā. Šis atbalsts visā protokola piemērošanas laikā ir saskaņā ar valsts politikas mērķiem par ilgtspējīgu kontinentālā šelfa un jūras zvejas resursu pārvaldību.</w:t>
      </w:r>
    </w:p>
    <w:p>
      <w:pPr>
        <w:rPr>
          <w:noProof/>
        </w:rPr>
      </w:pPr>
      <w:r>
        <w:rPr>
          <w:noProof/>
        </w:rPr>
        <w:t>Ikgadējā saistību un maksājumu apropriāciju summa, arī rezerves pozīcija attiecībā uz protokoliem, kuri gada sākumā vēl nav stājušies spēkā, tiek noteikta ikgadējā budžeta procedūrā</w:t>
      </w:r>
      <w:r>
        <w:rPr>
          <w:rStyle w:val="FootnoteReference"/>
          <w:noProof/>
        </w:rPr>
        <w:footnoteReference w:id="5"/>
      </w:r>
      <w:r>
        <w:rPr>
          <w:noProof/>
        </w:rPr>
        <w:t>.</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rPr>
          <w:noProof/>
        </w:rPr>
      </w:pPr>
      <w:r>
        <w:rPr>
          <w:noProof/>
        </w:rPr>
        <w:t>Protokolā paredzēta noteikta uzraudzības kārtība.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2019/0091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 xml:space="preserve">par to, lai Savienības vārdā parakstītu un provizoriski piemērotu protokolu, ar kuru īsteno partnerattiecību nolīgumu zivsaimniecības nozarē starp Eiropas Kopienu un Gvinejas-Bisavas Republiku (2019–2024) </w:t>
      </w:r>
    </w:p>
    <w:p>
      <w:pPr>
        <w:pStyle w:val="Institutionquiagit"/>
        <w:rPr>
          <w:noProof/>
        </w:rPr>
      </w:pPr>
      <w:r>
        <w:rPr>
          <w:noProof/>
        </w:rPr>
        <w:t>EIROPAS SAVIENĪBAS PADOME,</w:t>
      </w:r>
    </w:p>
    <w:p>
      <w:pPr>
        <w:rPr>
          <w:noProof/>
        </w:rPr>
      </w:pPr>
      <w:r>
        <w:rPr>
          <w:noProof/>
        </w:rPr>
        <w:t>ņemot vērā Līgumu par Eiropas Savienības darbību un jo īpaši tā 43. panta 2. punktu, lasītu saistībā ar 218. panta 5.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2008. gada 17. martā Padome ir pieņēmusi Regulu (EK) Nr. 241/2008</w:t>
      </w:r>
      <w:r>
        <w:rPr>
          <w:rStyle w:val="FootnoteReference"/>
          <w:noProof/>
        </w:rPr>
        <w:footnoteReference w:id="6"/>
      </w:r>
      <w:r>
        <w:rPr>
          <w:noProof/>
        </w:rPr>
        <w:t xml:space="preserve"> par to, lai noslēgtu partnerattiecību nolīgumu zivsaimniecības nozarē starp Eiropas Kopienu un Gvinejas-Bisavas Republiku (“nolīgums”)</w:t>
      </w:r>
      <w:r>
        <w:rPr>
          <w:rStyle w:val="FootnoteReference"/>
          <w:noProof/>
        </w:rPr>
        <w:footnoteReference w:id="7"/>
      </w:r>
      <w:r>
        <w:rPr>
          <w:noProof/>
        </w:rPr>
        <w:t>, kurš stājies spēkā 2008. gada 15. aprīlī, pēc tam automātiski atjaunots un joprojām ir spēkā.</w:t>
      </w:r>
    </w:p>
    <w:p>
      <w:pPr>
        <w:pStyle w:val="ManualConsidrant"/>
        <w:rPr>
          <w:noProof/>
        </w:rPr>
      </w:pPr>
      <w:r>
        <w:t>(2)</w:t>
      </w:r>
      <w:r>
        <w:tab/>
      </w:r>
      <w:r>
        <w:rPr>
          <w:noProof/>
        </w:rPr>
        <w:t>Nolīguma iepriekšējā protokola darbības termiņš ir beidzies 2017. gada 23. novembrī.</w:t>
      </w:r>
    </w:p>
    <w:p>
      <w:pPr>
        <w:pStyle w:val="ManualConsidrant"/>
        <w:rPr>
          <w:noProof/>
        </w:rPr>
      </w:pPr>
      <w:r>
        <w:t>(3)</w:t>
      </w:r>
      <w:r>
        <w:tab/>
      </w:r>
      <w:r>
        <w:rPr>
          <w:noProof/>
        </w:rPr>
        <w:t>Komisija Eiropas Savienības vārdā ir risinājusi sarunas par jaunu nolīguma īstenošanas protokolu (“protokols”). Šo sarunu iznākumā šāds protokols tika parafēts 2018. gada 15. novembrī.</w:t>
      </w:r>
    </w:p>
    <w:p>
      <w:pPr>
        <w:pStyle w:val="ManualConsidrant"/>
        <w:rPr>
          <w:noProof/>
        </w:rPr>
      </w:pPr>
      <w:r>
        <w:t>(4)</w:t>
      </w:r>
      <w:r>
        <w:tab/>
      </w:r>
      <w:r>
        <w:rPr>
          <w:noProof/>
        </w:rPr>
        <w:t>Protokola mērķis ir ļaut Eiropas Savienībai un Gvinejas-Bisavas Republikai ciešāk sadarboties, lai veicinātu ilgtspējīgas zivsaimniecības politiku, zvejas resursu atbildīgu izmantošanu Gvinejas-Bisavas ūdeņos un atbalstītu Gvinejas-Bisavas centienus attīstīt jūras nozaru ekonomiku.</w:t>
      </w:r>
    </w:p>
    <w:p>
      <w:pPr>
        <w:pStyle w:val="ManualConsidrant"/>
        <w:rPr>
          <w:noProof/>
        </w:rPr>
      </w:pPr>
      <w:r>
        <w:t>(5)</w:t>
      </w:r>
      <w:r>
        <w:tab/>
      </w:r>
      <w:r>
        <w:rPr>
          <w:noProof/>
        </w:rPr>
        <w:t xml:space="preserve">Protokols būtu jāapstiprina Savienības vārdā, ņemot vērā tā noslēgšanu vēlākā datumā.  </w:t>
      </w:r>
    </w:p>
    <w:p>
      <w:pPr>
        <w:pStyle w:val="ManualConsidrant"/>
        <w:rPr>
          <w:noProof/>
        </w:rPr>
      </w:pPr>
      <w:r>
        <w:t>(6)</w:t>
      </w:r>
      <w:r>
        <w:tab/>
      </w:r>
      <w:r>
        <w:rPr>
          <w:noProof/>
        </w:rPr>
        <w:t>Lai nodrošinātu Savienības kuģu zvejas darbību raitu uzsākšanu, pirms protokola stāšanās spēkā tas būtu jāpiemēro provizoriski, sākot no parakstīšanas dienas,</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Ar šo Savienība atļauj parakstīt protokolu, ar kuru īsteno partnerattiecību nolīgumu zivsaimniecības nozarē starp Eiropas Kopienu un Gvinejas-Bisavas Republiku (2019–2024) (“protokols”), ņemot vērā tā noslēgšanu.</w:t>
      </w:r>
    </w:p>
    <w:p>
      <w:pPr>
        <w:rPr>
          <w:noProof/>
        </w:rPr>
      </w:pPr>
      <w:r>
        <w:rPr>
          <w:noProof/>
        </w:rPr>
        <w:t>Protokola teksts ir pievienots šim lēmumam.</w:t>
      </w:r>
    </w:p>
    <w:p>
      <w:pPr>
        <w:pStyle w:val="Titrearticle"/>
      </w:pPr>
      <w:r>
        <w:rPr>
          <w:noProof/>
        </w:rPr>
        <w:lastRenderedPageBreak/>
        <w:t>2. pants</w:t>
      </w:r>
    </w:p>
    <w:p>
      <w:pPr>
        <w:rPr>
          <w:noProof/>
        </w:rPr>
      </w:pPr>
      <w:r>
        <w:rPr>
          <w:noProof/>
        </w:rPr>
        <w:t xml:space="preserve">Padomes Ģenerālsekretariāts izveido pilnvaru instrumentu, lai protokolu, ņemot vērā tā noslēgšanu, parakstītu persona vai personas, ko izraudzījies protokola sarunvedējs. </w:t>
      </w:r>
    </w:p>
    <w:p>
      <w:pPr>
        <w:pStyle w:val="Titrearticle"/>
        <w:rPr>
          <w:noProof/>
        </w:rPr>
      </w:pPr>
      <w:r>
        <w:rPr>
          <w:noProof/>
        </w:rPr>
        <w:t>3. pants</w:t>
      </w:r>
    </w:p>
    <w:p>
      <w:pPr>
        <w:keepNext/>
        <w:rPr>
          <w:noProof/>
        </w:rPr>
      </w:pPr>
      <w:r>
        <w:rPr>
          <w:noProof/>
        </w:rPr>
        <w:t>Saskaņā ar protokola 16. pantu pirms protokola stāšanās spēkā to piemēro provizoriski, sākot no parakstīšanas dienas.</w:t>
      </w:r>
    </w:p>
    <w:p>
      <w:pPr>
        <w:pStyle w:val="Titrearticle"/>
        <w:rPr>
          <w:noProof/>
        </w:rPr>
      </w:pPr>
      <w:r>
        <w:rPr>
          <w:noProof/>
        </w:rPr>
        <w:t>4. pants</w:t>
      </w:r>
    </w:p>
    <w:p>
      <w:pPr>
        <w:keepNext/>
        <w:rPr>
          <w:noProof/>
        </w:rPr>
      </w:pPr>
      <w:r>
        <w:rPr>
          <w:noProof/>
        </w:rPr>
        <w:t xml:space="preserve">Šis lēmums stājas spēkā nākamajā dienā pēc tā publicēšanas </w:t>
      </w:r>
      <w:r>
        <w:rPr>
          <w:i/>
          <w:noProof/>
        </w:rPr>
        <w:t>Eiropas Savienības Oficiālajā Vēstnesī</w:t>
      </w:r>
      <w:r>
        <w:rPr>
          <w:noProof/>
        </w:rPr>
        <w:t>.</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 rīcībpolitikas joma (jomas)</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 </w:t>
      </w:r>
    </w:p>
    <w:p>
      <w:pPr>
        <w:pStyle w:val="ManualHeading3"/>
        <w:rPr>
          <w:noProof/>
        </w:rPr>
      </w:pPr>
      <w:r>
        <w:rPr>
          <w:noProof/>
        </w:rPr>
        <w:tab/>
        <w:t>1.4.1.</w:t>
      </w:r>
      <w:r>
        <w:rPr>
          <w:noProof/>
        </w:rPr>
        <w:tab/>
        <w:t>Vispārīgie mērķi</w:t>
      </w:r>
    </w:p>
    <w:p>
      <w:pPr>
        <w:pStyle w:val="ManualHeading3"/>
        <w:rPr>
          <w:noProof/>
        </w:rPr>
      </w:pPr>
      <w:r>
        <w:rPr>
          <w:noProof/>
        </w:rPr>
        <w:tab/>
        <w:t>1.4.2.</w:t>
      </w:r>
      <w:r>
        <w:rPr>
          <w:noProof/>
        </w:rPr>
        <w:tab/>
        <w:t>Konkrētie mērķi</w:t>
      </w:r>
    </w:p>
    <w:p>
      <w:pPr>
        <w:pStyle w:val="ManualHeading3"/>
        <w:rPr>
          <w:noProof/>
        </w:rPr>
      </w:pPr>
      <w:r>
        <w:rPr>
          <w:noProof/>
        </w:rPr>
        <w:tab/>
        <w:t>1.4.3.</w:t>
      </w:r>
      <w:r>
        <w:rPr>
          <w:noProof/>
        </w:rPr>
        <w:tab/>
        <w:t>Paredzamais rezultāts (rezultāti) un ietekme</w:t>
      </w:r>
    </w:p>
    <w:p>
      <w:pPr>
        <w:pStyle w:val="ManualHeading3"/>
        <w:rPr>
          <w:noProof/>
        </w:rPr>
      </w:pPr>
      <w:r>
        <w:rPr>
          <w:noProof/>
        </w:rPr>
        <w:tab/>
        <w:t>1.4.4.</w:t>
      </w:r>
      <w:r>
        <w:rPr>
          <w:noProof/>
        </w:rPr>
        <w:tab/>
        <w:t>Snieguma rādītāji</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3"/>
        <w:rPr>
          <w:noProof/>
        </w:rPr>
      </w:pPr>
      <w:r>
        <w:rPr>
          <w:noProof/>
        </w:rPr>
        <w:tab/>
        <w:t>1.5.1.</w:t>
      </w:r>
      <w:r>
        <w:rPr>
          <w:noProof/>
        </w:rPr>
        <w:tab/>
        <w:t>Īstermiņā vai ilgtermiņā apmierināmās vajadzības, arī sīki izstrādāts iniciatīvas īstenošanas grafiks</w:t>
      </w:r>
    </w:p>
    <w:p>
      <w:pPr>
        <w:pStyle w:val="ManualHeading3"/>
        <w:rPr>
          <w:noProof/>
        </w:rPr>
      </w:pPr>
      <w:r>
        <w:rPr>
          <w:noProof/>
        </w:rPr>
        <w:tab/>
        <w:t>1.5.2.</w:t>
      </w:r>
      <w:r>
        <w:rPr>
          <w:noProof/>
        </w:rPr>
        <w:tab/>
        <w:t>Savienības iesaistīšanās pievienotā vērtība (tās pamatā var būt dažādi faktori, piemēram, koordinēšanas radītie ieguvumi, juridiskā noteiktība, lielāka rezultativitāte vai komplementaritāte). Šā punkta nozīmē “Savienības iesaistīšanās pievienotā vērtība” ir vērtība, kas veidojas Savienības iesaistīšanās rezultātā un kas papildina vērtību, kura veidotos, ja dalībvalstis rīkotos atsevišķi.</w:t>
      </w:r>
    </w:p>
    <w:p>
      <w:pPr>
        <w:pStyle w:val="ManualHeading3"/>
        <w:rPr>
          <w:noProof/>
        </w:rPr>
      </w:pPr>
      <w:r>
        <w:rPr>
          <w:noProof/>
        </w:rPr>
        <w:tab/>
        <w:t>1.5.3.</w:t>
      </w:r>
      <w:r>
        <w:rPr>
          <w:noProof/>
        </w:rPr>
        <w:tab/>
        <w:t>Līdzīgas līdzšinējās pieredzes rezultātā gūtās atziņas</w:t>
      </w:r>
    </w:p>
    <w:p>
      <w:pPr>
        <w:pStyle w:val="ManualHeading3"/>
        <w:rPr>
          <w:noProof/>
        </w:rPr>
      </w:pPr>
      <w:r>
        <w:rPr>
          <w:noProof/>
        </w:rPr>
        <w:tab/>
        <w:t>1.5.4.</w:t>
      </w:r>
      <w:r>
        <w:rPr>
          <w:noProof/>
        </w:rPr>
        <w:tab/>
        <w:t>Saderība ar daudzgadu finanšu shēmu un iespējamā sinerģija ar citiem atbilstošiem instrumentiem</w:t>
      </w:r>
    </w:p>
    <w:p>
      <w:pPr>
        <w:pStyle w:val="ManualHeading3"/>
        <w:rPr>
          <w:noProof/>
        </w:rPr>
      </w:pPr>
      <w:r>
        <w:rPr>
          <w:noProof/>
        </w:rPr>
        <w:tab/>
        <w:t>1.5.5.</w:t>
      </w:r>
      <w:r>
        <w:rPr>
          <w:noProof/>
        </w:rPr>
        <w:tab/>
        <w:t>Dažādo pieejamo finansēšanas iespēju, to vidū pārdales iespēju, izvērtējums</w:t>
      </w:r>
    </w:p>
    <w:p>
      <w:pPr>
        <w:pStyle w:val="ManualHeading2"/>
        <w:rPr>
          <w:b w:val="0"/>
          <w:noProof/>
        </w:rPr>
      </w:pPr>
      <w:r>
        <w:rPr>
          <w:noProof/>
        </w:rPr>
        <w:tab/>
      </w:r>
      <w:r>
        <w:rPr>
          <w:b w:val="0"/>
          <w:noProof/>
        </w:rPr>
        <w:t>1.6.</w:t>
      </w:r>
      <w:r>
        <w:rPr>
          <w:noProof/>
        </w:rPr>
        <w:tab/>
      </w:r>
      <w:r>
        <w:rPr>
          <w:b w:val="0"/>
          <w:noProof/>
        </w:rPr>
        <w:t>Priekšlikuma/iniciatīvas ilgums un finansiālā ietekme</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Paredzētie pārvaldības veidi</w:t>
      </w:r>
      <w:r>
        <w:rPr>
          <w:noProof/>
        </w:rPr>
        <w:tab/>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Pārvaldības un kontroles sistēma</w:t>
      </w:r>
    </w:p>
    <w:p>
      <w:pPr>
        <w:pStyle w:val="ManualHeading3"/>
        <w:rPr>
          <w:noProof/>
        </w:rPr>
      </w:pPr>
      <w:r>
        <w:rPr>
          <w:noProof/>
        </w:rPr>
        <w:tab/>
        <w:t>2.2.1.</w:t>
      </w:r>
      <w:r>
        <w:rPr>
          <w:noProof/>
        </w:rPr>
        <w:tab/>
        <w:t>Ierosināto pārvaldības veidu, finansējuma īstenošanas mehānismu, maksājumu kārtības un kontroles stratēģijas pamatojums</w:t>
      </w:r>
    </w:p>
    <w:p>
      <w:pPr>
        <w:pStyle w:val="ManualHeading3"/>
        <w:rPr>
          <w:noProof/>
        </w:rPr>
      </w:pPr>
      <w:r>
        <w:rPr>
          <w:noProof/>
        </w:rPr>
        <w:tab/>
        <w:t>2.2.2.</w:t>
      </w:r>
      <w:r>
        <w:rPr>
          <w:noProof/>
        </w:rPr>
        <w:tab/>
        <w:t>Informācija par noteiktajiem riskiem un to mazināšanas nolūkā izveidotajām iekšējās kontroles sistēmām</w:t>
      </w:r>
    </w:p>
    <w:p>
      <w:pPr>
        <w:pStyle w:val="ManualHeading3"/>
        <w:rPr>
          <w:noProof/>
        </w:rPr>
      </w:pPr>
      <w:r>
        <w:rPr>
          <w:noProof/>
        </w:rPr>
        <w:tab/>
        <w:t>2.2.3.</w:t>
      </w:r>
      <w:r>
        <w:rPr>
          <w:noProof/>
        </w:rPr>
        <w:tab/>
        <w:t>Kontroles izmaksefektivitātes (kontroles izmaksu attiecība pret attiecīgo pārvaldīto līdzekļu vērtību) aplēse un pamatojums un gaidāmā kļūdu riska līmeņa novērtējums (maksājumu izdarīšanas brīdī un slēgšanas brīdī)</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Priekšlikuma aplēstā finansiālā ietekme uz apropriācijām</w:t>
      </w:r>
    </w:p>
    <w:p>
      <w:pPr>
        <w:pStyle w:val="ManualHeading3"/>
        <w:rPr>
          <w:noProof/>
        </w:rPr>
      </w:pPr>
      <w:r>
        <w:rPr>
          <w:noProof/>
        </w:rPr>
        <w:tab/>
        <w:t>3.2.1.</w:t>
      </w:r>
      <w:r>
        <w:rPr>
          <w:noProof/>
        </w:rPr>
        <w:tab/>
        <w:t xml:space="preserve">Kopsavilkums par aplēsto ietekmi uz darbības apropriācijām </w:t>
      </w:r>
    </w:p>
    <w:p>
      <w:pPr>
        <w:pStyle w:val="ManualHeading3"/>
        <w:rPr>
          <w:noProof/>
        </w:rPr>
      </w:pPr>
      <w:r>
        <w:rPr>
          <w:noProof/>
        </w:rPr>
        <w:tab/>
        <w:t>3.2.2.</w:t>
      </w:r>
      <w:r>
        <w:rPr>
          <w:noProof/>
        </w:rPr>
        <w:tab/>
        <w:t xml:space="preserve">Aplēstais iznākums, ko dos finansējums no darbības apropriācijām </w:t>
      </w:r>
    </w:p>
    <w:p>
      <w:pPr>
        <w:pStyle w:val="ManualHeading3"/>
        <w:rPr>
          <w:noProof/>
        </w:rPr>
      </w:pPr>
      <w:r>
        <w:rPr>
          <w:noProof/>
        </w:rPr>
        <w:tab/>
        <w:t>3.2.3.</w:t>
      </w:r>
      <w:r>
        <w:rPr>
          <w:noProof/>
        </w:rPr>
        <w:tab/>
        <w:t>Kopsavilkums par aplēsto ietekmi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pPr>
      <w:r>
        <w:rPr>
          <w:noProof/>
        </w:rPr>
        <w:tab/>
      </w:r>
      <w:r>
        <w:rPr>
          <w:b w:val="0"/>
          <w:noProof/>
        </w:rPr>
        <w:t>3.3.</w:t>
      </w:r>
      <w:r>
        <w:rPr>
          <w:noProof/>
        </w:rPr>
        <w:tab/>
      </w:r>
      <w:r>
        <w:rPr>
          <w:b w:val="0"/>
          <w:noProof/>
        </w:rPr>
        <w:t>Paredzamā ietekme uz ieņēmumiem</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TIESĪBU AKTA PRIEKŠLIKUMA FINANŠU PĀRSKATS</w:t>
      </w:r>
    </w:p>
    <w:p>
      <w:pPr>
        <w:pStyle w:val="ManualHeading1"/>
        <w:rPr>
          <w:noProof/>
        </w:rPr>
      </w:pPr>
      <w:bookmarkStart w:id="1" w:name="_Toc514938007"/>
      <w:bookmarkStart w:id="2" w:name="_Toc520485025"/>
      <w:r>
        <w:t>1.</w:t>
      </w:r>
      <w:r>
        <w:tab/>
      </w:r>
      <w:r>
        <w:rPr>
          <w:noProof/>
        </w:rPr>
        <w:t>PRIEKŠLIKUMA/INICIATĪVAS KONTEKSTS</w:t>
      </w:r>
      <w:bookmarkEnd w:id="1"/>
      <w:bookmarkEnd w:id="2"/>
      <w:r>
        <w:rPr>
          <w:noProof/>
        </w:rPr>
        <w:t xml:space="preserve"> </w:t>
      </w:r>
    </w:p>
    <w:p>
      <w:pPr>
        <w:pStyle w:val="ManualHeading2"/>
        <w:rPr>
          <w:noProof/>
        </w:rPr>
      </w:pPr>
      <w:bookmarkStart w:id="3" w:name="_Toc514938008"/>
      <w:bookmarkStart w:id="4" w:name="_Toc520485026"/>
      <w:r>
        <w:t>1.1.</w:t>
      </w:r>
      <w:r>
        <w:tab/>
      </w:r>
      <w:r>
        <w:rPr>
          <w:noProof/>
        </w:rPr>
        <w:t>Priekšlikuma/iniciatīvas nosaukums</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Priekšlikums Padomes lēmumam par to, lai Savienības vārdā parakstītu un provizoriski piemērotu protokolu, ar kuru īsteno partnerattiecību nolīgumu zivsaimniecības nozarē starp Eiropas Kopienu un Gvinejas-Bisavas Republiku</w:t>
      </w:r>
    </w:p>
    <w:p>
      <w:pPr>
        <w:pStyle w:val="ManualHeading2"/>
        <w:rPr>
          <w:noProof/>
        </w:rPr>
      </w:pPr>
      <w:bookmarkStart w:id="5" w:name="_Toc514938011"/>
      <w:bookmarkStart w:id="6" w:name="_Toc520485027"/>
      <w:r>
        <w:t>1.2.</w:t>
      </w:r>
      <w:r>
        <w:tab/>
      </w:r>
      <w:r>
        <w:rPr>
          <w:noProof/>
        </w:rPr>
        <w:t>Attiecīgā rīcībpolitikas joma (jomas)</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Jūrlietas un zivsaimniecība</w:t>
      </w:r>
    </w:p>
    <w:p>
      <w:pPr>
        <w:pStyle w:val="Text1"/>
        <w:pBdr>
          <w:top w:val="single" w:sz="4" w:space="1" w:color="auto"/>
          <w:left w:val="single" w:sz="4" w:space="4" w:color="auto"/>
          <w:bottom w:val="single" w:sz="4" w:space="1" w:color="auto"/>
          <w:right w:val="single" w:sz="4" w:space="4" w:color="auto"/>
        </w:pBdr>
        <w:rPr>
          <w:noProof/>
        </w:rPr>
      </w:pPr>
      <w:r>
        <w:rPr>
          <w:noProof/>
        </w:rPr>
        <w:t>11.03 – Obligātās iemaksas reģionālajām zvejniecības pārvaldības organizācijām (RZPO) un citām starptautiskajām organizācijām un ilgtspējīgas zivsaimniecības nolīgumiem (IZN)</w:t>
      </w:r>
    </w:p>
    <w:p>
      <w:pPr>
        <w:pStyle w:val="Text1"/>
        <w:pBdr>
          <w:top w:val="single" w:sz="4" w:space="1" w:color="auto"/>
          <w:left w:val="single" w:sz="4" w:space="4" w:color="auto"/>
          <w:bottom w:val="single" w:sz="4" w:space="1" w:color="auto"/>
          <w:right w:val="single" w:sz="4" w:space="4" w:color="auto"/>
        </w:pBdr>
        <w:rPr>
          <w:noProof/>
        </w:rPr>
      </w:pPr>
      <w:r>
        <w:rPr>
          <w:noProof/>
        </w:rPr>
        <w:t>11.03.01 – Pārvaldības satvara izveidošana Savienības zvejas kuģu veiktām zvejas darbībām trešo valstu ūdeņos</w:t>
      </w:r>
    </w:p>
    <w:p>
      <w:pPr>
        <w:pStyle w:val="ManualHeading2"/>
        <w:rPr>
          <w:bCs/>
          <w:noProof/>
          <w:szCs w:val="24"/>
        </w:rPr>
      </w:pPr>
      <w:bookmarkStart w:id="7" w:name="_Toc514938014"/>
      <w:bookmarkStart w:id="8" w:name="_Toc520485028"/>
      <w:r>
        <w:t>1.3.</w:t>
      </w:r>
      <w:r>
        <w:tab/>
      </w:r>
      <w:r>
        <w:rPr>
          <w:noProof/>
        </w:rPr>
        <w:t>Priekšlikums/iniciatīva attiecas uz:</w:t>
      </w:r>
      <w:bookmarkEnd w:id="7"/>
      <w:bookmarkEnd w:id="8"/>
      <w:r>
        <w:rPr>
          <w:noProof/>
        </w:rPr>
        <w:t xml:space="preserve"> </w:t>
      </w:r>
    </w:p>
    <w:p>
      <w:pPr>
        <w:pStyle w:val="Text1"/>
        <w:rPr>
          <w:b/>
          <w:noProof/>
          <w:sz w:val="22"/>
        </w:rPr>
      </w:pPr>
      <w:r>
        <w:rPr>
          <w:b/>
          <w:noProof/>
          <w:sz w:val="22"/>
        </w:rPr>
        <w:t xml:space="preserve">X jaunu darbību </w:t>
      </w:r>
    </w:p>
    <w:p>
      <w:pPr>
        <w:pStyle w:val="Text1"/>
        <w:rPr>
          <w:noProof/>
          <w:sz w:val="22"/>
        </w:rPr>
      </w:pPr>
      <w:r>
        <w:rPr>
          <w:noProof/>
          <w:sz w:val="22"/>
        </w:rPr>
        <w:sym w:font="Wingdings" w:char="F0A8"/>
      </w:r>
      <w:r>
        <w:rPr>
          <w:noProof/>
        </w:rPr>
        <w:t xml:space="preserve"> </w:t>
      </w:r>
      <w:r>
        <w:rPr>
          <w:b/>
          <w:noProof/>
        </w:rPr>
        <w:t>jaunu darbību, kas balstās uz iepriekš veiktu izmēģinājuma projektu/ sagatavošanas darbību</w:t>
      </w:r>
      <w:r>
        <w:rPr>
          <w:rStyle w:val="FootnoteReference"/>
          <w:b/>
          <w:noProof/>
        </w:rPr>
        <w:footnoteReference w:id="8"/>
      </w:r>
      <w:r>
        <w:rPr>
          <w:noProof/>
          <w:sz w:val="22"/>
        </w:rPr>
        <w:t xml:space="preserve"> </w:t>
      </w:r>
    </w:p>
    <w:p>
      <w:pPr>
        <w:pStyle w:val="Text1"/>
        <w:rPr>
          <w:noProof/>
          <w:sz w:val="22"/>
        </w:rPr>
      </w:pPr>
      <w:r>
        <w:rPr>
          <w:noProof/>
          <w:sz w:val="22"/>
        </w:rPr>
        <w:sym w:font="Wingdings" w:char="F0A8"/>
      </w:r>
      <w:r>
        <w:rPr>
          <w:noProof/>
        </w:rPr>
        <w:t xml:space="preserve"> </w:t>
      </w:r>
      <w:r>
        <w:rPr>
          <w:b/>
          <w:noProof/>
        </w:rPr>
        <w:t>spēkā esošas darbības turpināšanu</w:t>
      </w:r>
      <w:r>
        <w:rPr>
          <w:noProof/>
          <w:sz w:val="22"/>
        </w:rPr>
        <w:t xml:space="preserve"> </w:t>
      </w:r>
    </w:p>
    <w:p>
      <w:pPr>
        <w:pStyle w:val="Text1"/>
        <w:rPr>
          <w:noProof/>
        </w:rPr>
      </w:pPr>
      <w:r>
        <w:rPr>
          <w:noProof/>
          <w:sz w:val="22"/>
        </w:rPr>
        <w:sym w:font="Wingdings" w:char="F0A8"/>
      </w:r>
      <w:r>
        <w:rPr>
          <w:noProof/>
        </w:rPr>
        <w:t xml:space="preserve"> </w:t>
      </w:r>
      <w:r>
        <w:rPr>
          <w:b/>
          <w:noProof/>
        </w:rPr>
        <w:t>vienas vai vairāku darbību apvienošanu vai pārorientēšanu uz citu / jaunu darbību</w:t>
      </w:r>
      <w:r>
        <w:rPr>
          <w:noProof/>
        </w:rPr>
        <w:t xml:space="preserve"> </w:t>
      </w:r>
    </w:p>
    <w:p>
      <w:pPr>
        <w:pStyle w:val="ManualHeading2"/>
        <w:rPr>
          <w:bCs/>
          <w:noProof/>
          <w:szCs w:val="24"/>
        </w:rPr>
      </w:pPr>
      <w:bookmarkStart w:id="9" w:name="_Toc514938015"/>
      <w:bookmarkStart w:id="10" w:name="_Toc520485029"/>
      <w:r>
        <w:t>1.4.</w:t>
      </w:r>
      <w:r>
        <w:tab/>
      </w:r>
      <w:r>
        <w:rPr>
          <w:noProof/>
        </w:rPr>
        <w:t>Mērķi</w:t>
      </w:r>
      <w:bookmarkEnd w:id="9"/>
      <w:bookmarkEnd w:id="10"/>
    </w:p>
    <w:p>
      <w:pPr>
        <w:pStyle w:val="ManualHeading3"/>
        <w:rPr>
          <w:noProof/>
        </w:rPr>
      </w:pPr>
      <w:bookmarkStart w:id="11" w:name="_Toc514938016"/>
      <w:bookmarkStart w:id="12" w:name="_Toc520485030"/>
      <w:r>
        <w:t>1.4.1.</w:t>
      </w:r>
      <w:r>
        <w:tab/>
      </w:r>
      <w:r>
        <w:rPr>
          <w:noProof/>
        </w:rPr>
        <w:t>Vispārīgie mērķi</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Sarunās apspriežot un noslēdzot ilgtspējīgas zivsaimniecības partnerattiecību nolīgumus (IZPN) ar trešām valstīm, tiek sasniegts vispārīgais mērķis nodrošināt ES zvejas kuģu piekļuvi trešo valstu zvejas zonām un veidot partnerību ar minētajām valstīm, lai nostiprinātu zvejas resursu ilgtspējīgu izmantošanu ārpus Savienības ūdeņiem.</w:t>
      </w:r>
    </w:p>
    <w:p>
      <w:pPr>
        <w:pStyle w:val="Text1"/>
        <w:pBdr>
          <w:top w:val="single" w:sz="4" w:space="1" w:color="auto"/>
          <w:left w:val="single" w:sz="4" w:space="4" w:color="auto"/>
          <w:bottom w:val="single" w:sz="4" w:space="1" w:color="auto"/>
          <w:right w:val="single" w:sz="4" w:space="4" w:color="auto"/>
        </w:pBdr>
        <w:rPr>
          <w:noProof/>
        </w:rPr>
      </w:pPr>
      <w:r>
        <w:rPr>
          <w:noProof/>
        </w:rPr>
        <w:t>IZPN nodrošina arī saskanību starp kopējās zivsaimniecības politikas principiem un saistībām, kuru uzņemšanās notikusi saskaņā ar citām Eiropas rīcībpolitikas jomām (trešo valstu resursu ilgtspējīga izmantošana, cīņa pret nelegālu, nereģistrētu un neregulētu (NNN) zveju, partnervalstu integrācija globālajā ekonomikā un politiskajā un finansiālajā ziņā labāka zvejniecību pārvaldība).</w:t>
      </w:r>
    </w:p>
    <w:p>
      <w:pPr>
        <w:pStyle w:val="ManualHeading3"/>
        <w:rPr>
          <w:bCs/>
          <w:noProof/>
          <w:szCs w:val="24"/>
        </w:rPr>
      </w:pPr>
      <w:bookmarkStart w:id="13" w:name="_Toc514938018"/>
      <w:bookmarkStart w:id="14" w:name="_Toc520485031"/>
      <w:r>
        <w:t>1.4.2.</w:t>
      </w:r>
      <w:r>
        <w:tab/>
      </w:r>
      <w:r>
        <w:rPr>
          <w:noProof/>
        </w:rPr>
        <w:t>Konkrētie mērķi</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w:t>
      </w:r>
    </w:p>
    <w:p>
      <w:pPr>
        <w:pStyle w:val="Text1"/>
        <w:pBdr>
          <w:top w:val="single" w:sz="4" w:space="1" w:color="auto"/>
          <w:left w:val="single" w:sz="4" w:space="4" w:color="auto"/>
          <w:bottom w:val="single" w:sz="4" w:space="1" w:color="auto"/>
          <w:right w:val="single" w:sz="4" w:space="4" w:color="auto"/>
        </w:pBdr>
        <w:rPr>
          <w:noProof/>
        </w:rPr>
      </w:pPr>
      <w:r>
        <w:rPr>
          <w:noProof/>
        </w:rPr>
        <w:t>Sekmēt ilgtspējīgu zvejošanu ārpus Savienības ūdeņiem, saglabāt Eiropas klātieni tāljūras zvejniecībās un aizsargāt Eiropas zivsaimniecības nozares un patērētāju intereses, sarunās apspriežot un noslēdzot IZPN ar piekrastes valstīm saskanībā ar citām Eiropas rīcībpolitikas jomām.</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w:t>
      </w:r>
      <w:r>
        <w:rPr>
          <w:noProof/>
          <w:u w:val="single"/>
        </w:rPr>
        <w:t>/</w:t>
      </w:r>
      <w:r>
        <w:rPr>
          <w:i/>
          <w:noProof/>
          <w:u w:val="single"/>
        </w:rPr>
        <w:t>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Jūrlietas un zivsaimniecība: pārvaldības satvara izveidošana Eiropas Savienības zvejas kuģu veiktām zvejas darbībām trešo valstu ūdeņos (budžeta pozīcija 11.03.01).</w:t>
      </w:r>
    </w:p>
    <w:p>
      <w:pPr>
        <w:pStyle w:val="ManualHeading3"/>
        <w:rPr>
          <w:noProof/>
        </w:rPr>
      </w:pPr>
      <w:bookmarkStart w:id="15" w:name="_Toc514938019"/>
      <w:bookmarkStart w:id="16" w:name="_Toc520485032"/>
      <w:r>
        <w:t>1.4.3.</w:t>
      </w:r>
      <w:r>
        <w:tab/>
      </w:r>
      <w:r>
        <w:rPr>
          <w:noProof/>
        </w:rPr>
        <w:t>Paredzamais rezultāts (rezultāti) un ietekme</w:t>
      </w:r>
      <w:bookmarkEnd w:id="15"/>
      <w:bookmarkEnd w:id="16"/>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Protokola noslēgšana ļauj izveidot stratēģisku partnerību zivsaimniecības nozarē starp Eiropas Savienību un Gvinejas-Bisavas Republiku. Protokola noslēgšana pavērs Savienības kuģiem zvejas iespējas Gvinejas-Bisavas ūdeņos. </w:t>
      </w:r>
    </w:p>
    <w:p>
      <w:pPr>
        <w:pStyle w:val="Text1"/>
        <w:pBdr>
          <w:top w:val="single" w:sz="4" w:space="1" w:color="auto"/>
          <w:left w:val="single" w:sz="4" w:space="4" w:color="auto"/>
          <w:bottom w:val="single" w:sz="4" w:space="1" w:color="auto"/>
          <w:right w:val="single" w:sz="4" w:space="4" w:color="auto"/>
        </w:pBdr>
        <w:rPr>
          <w:noProof/>
        </w:rPr>
      </w:pPr>
      <w:r>
        <w:rPr>
          <w:noProof/>
        </w:rPr>
        <w:t>Protokols turklāt veicinās zvejas resursu labāku pārvaldību un saglabāšanu, izmantojot finansiālu atbalstu (nozariskais atbalsts) tādu programmu īstenošanai, kuras partnervalsts līmenī pieņemtas konkrēti uzraudzības, nelegālas zvejas apkarošanas un mazapjoma zvejas atbalstīšanas jomā.</w:t>
      </w:r>
    </w:p>
    <w:p>
      <w:pPr>
        <w:pStyle w:val="Text1"/>
        <w:pBdr>
          <w:top w:val="single" w:sz="4" w:space="1" w:color="auto"/>
          <w:left w:val="single" w:sz="4" w:space="4" w:color="auto"/>
          <w:bottom w:val="single" w:sz="4" w:space="1" w:color="auto"/>
          <w:right w:val="single" w:sz="4" w:space="4" w:color="auto"/>
        </w:pBdr>
        <w:rPr>
          <w:noProof/>
        </w:rPr>
      </w:pPr>
      <w:r>
        <w:rPr>
          <w:noProof/>
        </w:rPr>
        <w:t>Visbeidzot, protokols stiprinās Gvinejas-Bisavas jūras nozaru ekonomiku, sekmējot ar jūras nozarēm saistīto izaugsmi un jūras resursu ilgtspējīgu izmantošanu.</w:t>
      </w:r>
    </w:p>
    <w:p>
      <w:pPr>
        <w:pStyle w:val="ManualHeading3"/>
        <w:rPr>
          <w:noProof/>
          <w:szCs w:val="24"/>
        </w:rPr>
      </w:pPr>
      <w:bookmarkStart w:id="17" w:name="_Toc514938023"/>
      <w:bookmarkStart w:id="18" w:name="_Toc520485033"/>
      <w:r>
        <w:t>1.4.4.</w:t>
      </w:r>
      <w:r>
        <w:tab/>
      </w:r>
      <w:r>
        <w:rPr>
          <w:noProof/>
        </w:rPr>
        <w:t>Snieguma rādītāji</w:t>
      </w:r>
      <w:bookmarkEnd w:id="17"/>
      <w:bookmarkEnd w:id="18"/>
    </w:p>
    <w:p>
      <w:pPr>
        <w:pStyle w:val="Text1"/>
        <w:rPr>
          <w:i/>
          <w:noProof/>
          <w:sz w:val="20"/>
        </w:rPr>
      </w:pPr>
      <w:r>
        <w:rPr>
          <w:i/>
          <w:noProof/>
          <w:sz w:val="20"/>
        </w:rPr>
        <w:t>Norādīt, pēc kādiem rādītājiem seko līdzi virzībai un sasniegumiem.</w:t>
      </w:r>
    </w:p>
    <w:p>
      <w:pPr>
        <w:pStyle w:val="Text1"/>
        <w:pBdr>
          <w:top w:val="single" w:sz="4" w:space="1" w:color="auto"/>
          <w:left w:val="single" w:sz="4" w:space="4" w:color="auto"/>
          <w:bottom w:val="single" w:sz="4" w:space="1" w:color="auto"/>
          <w:right w:val="single" w:sz="4" w:space="4" w:color="auto"/>
        </w:pBdr>
        <w:rPr>
          <w:noProof/>
        </w:rPr>
      </w:pPr>
      <w:r>
        <w:rPr>
          <w:noProof/>
        </w:rPr>
        <w:t>Zvejas iespēju izmantojuma pakāpe (zvejas atļauju ikgadējais procentuālais izmantojums salīdzinājumā ar protokola sniegtajām iespējām).</w:t>
      </w:r>
    </w:p>
    <w:p>
      <w:pPr>
        <w:pStyle w:val="Text1"/>
        <w:pBdr>
          <w:top w:val="single" w:sz="4" w:space="1" w:color="auto"/>
          <w:left w:val="single" w:sz="4" w:space="4" w:color="auto"/>
          <w:bottom w:val="single" w:sz="4" w:space="1" w:color="auto"/>
          <w:right w:val="single" w:sz="4" w:space="4" w:color="auto"/>
        </w:pBdr>
        <w:rPr>
          <w:noProof/>
        </w:rPr>
      </w:pPr>
      <w:r>
        <w:rPr>
          <w:noProof/>
        </w:rPr>
        <w:t>Nozvejas dati (paredzēta datu vākšana un analīze) un nolīguma komerciālā vērtība.</w:t>
      </w:r>
    </w:p>
    <w:p>
      <w:pPr>
        <w:pStyle w:val="Text1"/>
        <w:pBdr>
          <w:top w:val="single" w:sz="4" w:space="1" w:color="auto"/>
          <w:left w:val="single" w:sz="4" w:space="4" w:color="auto"/>
          <w:bottom w:val="single" w:sz="4" w:space="1" w:color="auto"/>
          <w:right w:val="single" w:sz="4" w:space="4" w:color="auto"/>
        </w:pBdr>
        <w:rPr>
          <w:noProof/>
        </w:rPr>
      </w:pPr>
      <w:r>
        <w:rPr>
          <w:noProof/>
        </w:rPr>
        <w:t>Ietekme uz nodarbinātību un pievienoto vērtību Savienībā, kā arī uz Savienības tirgus stabilizāciju (agregētā veidā kopā ar citiem IZPN).</w:t>
      </w:r>
    </w:p>
    <w:p>
      <w:pPr>
        <w:pStyle w:val="Text1"/>
        <w:pBdr>
          <w:top w:val="single" w:sz="4" w:space="1" w:color="auto"/>
          <w:left w:val="single" w:sz="4" w:space="4" w:color="auto"/>
          <w:bottom w:val="single" w:sz="4" w:space="1" w:color="auto"/>
          <w:right w:val="single" w:sz="4" w:space="4" w:color="auto"/>
        </w:pBdr>
        <w:rPr>
          <w:noProof/>
        </w:rPr>
      </w:pPr>
      <w:r>
        <w:rPr>
          <w:noProof/>
        </w:rPr>
        <w:t>Labvēlīgā ietekme uz partnervalsts veikto pētniecisko darbu, zvejas darbību uzraudzību un kontroli un zvejniecības, konkrēti, mazapjoma zvejas sektora, attīstību.</w:t>
      </w:r>
    </w:p>
    <w:p>
      <w:pPr>
        <w:pStyle w:val="ManualHeading2"/>
        <w:rPr>
          <w:bCs/>
          <w:noProof/>
          <w:szCs w:val="24"/>
        </w:rPr>
      </w:pPr>
      <w:bookmarkStart w:id="19" w:name="_Toc514938025"/>
      <w:bookmarkStart w:id="20" w:name="_Toc520485034"/>
      <w:r>
        <w:t>1.5.</w:t>
      </w:r>
      <w:r>
        <w:tab/>
      </w:r>
      <w:r>
        <w:rPr>
          <w:noProof/>
        </w:rPr>
        <w:t>Priekšlikuma/iniciatīvas pamatojums</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Īstermiņā vai ilgtermiņā apmierināmās vajadzības, arī sīki izstrādāts iniciatīvas īstenošanas grafiks</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Lai būtu iespējami retāk jāpārtrauc zvejas darbības, kas notiek saskaņā ar pašreizējo protokolu, jauno protokolu paredzēts piemērot provizoriski no tā parakstīšanas dienas.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Jaunais protokols nodrošinās satvaru Savienības flotes zvejas darbībām Gvinejas-Bisavas zvejas zonā, bet ES kuģu īpašniekiem dos iespēju iesniegt pieteikumus uz zvejas atļaujām, lai varētu zvejot minētajā zonā. Turklāt jaunais protokols stiprinās sadarbību starp ES un Gvineju-Bisavu, lai veicinātu ilgtspējīgas zivsaimniecības politikas izstrādi. Tajā jo īpaši paredzēta kuģu uzraudzība ar </w:t>
      </w:r>
      <w:r>
        <w:rPr>
          <w:i/>
          <w:noProof/>
        </w:rPr>
        <w:t>VMS</w:t>
      </w:r>
      <w:r>
        <w:rPr>
          <w:noProof/>
        </w:rPr>
        <w:t xml:space="preserve"> un nozvejas datu elektroniska paziņošana. Saskaņā ar protokolu pieejamais nozariskais atbalsts palīdzēs Gvinejai-Bisavai īstenot savu valsts stratēģiju zivsaimniecības jomā un arī apkarot NNN zveju. </w:t>
      </w:r>
    </w:p>
    <w:p>
      <w:pPr>
        <w:pStyle w:val="ManualHeading3"/>
        <w:rPr>
          <w:bCs/>
          <w:noProof/>
          <w:szCs w:val="24"/>
        </w:rPr>
      </w:pPr>
      <w:bookmarkStart w:id="23" w:name="_Toc514938029"/>
      <w:bookmarkStart w:id="24" w:name="_Toc520485036"/>
      <w:r>
        <w:t>1.5.2.</w:t>
      </w:r>
      <w:r>
        <w:tab/>
      </w:r>
      <w:r>
        <w:rPr>
          <w:noProof/>
        </w:rPr>
        <w:t>Savienības iesaistīšanās pievienotā vērtība (tās pamatā var būt dažādi faktori, piemēram, koordinēšanas radītie ieguvumi, juridiskā noteiktība, lielāka rezultativitāte vai komplementaritāte). Šā punkta nozīmē “Savienības iesaistīšanās pievienotā vērtība” ir vērtība, kas veidojas Savienības iesaistīšanās rezultātā un kas papildina vērtību, kura veidotos, ja dalībvalstis rīkotos atsevišķi.</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Ja Savienība šo jauno protokolu nenoslēgtu, Savienības kuģi nedrīkstētu veikt zvejas darbības, jo nolīgumā ir ietverta klauzula, kas izslēdz zvejas darbības, kuras netiek veiktas nolīguma protokola noteiktajā satvarā. Tāpēc ES tāljūras flote saņem pārliecinošu pievienoto vērtību. Protokols turklāt piedāvā satvaru ciešākai Savienības un Gvinejas-Bisavas sadarbībai. </w:t>
      </w:r>
    </w:p>
    <w:p>
      <w:pPr>
        <w:pStyle w:val="ManualHeading3"/>
        <w:rPr>
          <w:noProof/>
        </w:rPr>
      </w:pPr>
      <w:bookmarkStart w:id="25" w:name="_Toc514938030"/>
      <w:bookmarkStart w:id="26" w:name="_Toc520485037"/>
      <w:r>
        <w:rPr>
          <w:noProof/>
        </w:rPr>
        <w:br w:type="page"/>
      </w:r>
      <w:r>
        <w:t>1.5.3.</w:t>
      </w:r>
      <w:r>
        <w:tab/>
      </w:r>
      <w:r>
        <w:rPr>
          <w:noProof/>
        </w:rPr>
        <w:t>Līdzīgas līdzšinējās pieredzes rezultātā gūtās atziņas</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Izanalizējušas Gvinejas-Bisavas zvejas zonā agrāk gūto nozveju un to, kas gūta nesen līdzīgu šajā reģionā spēkā esošu protokolu satvarā, kā arī pieejamos izvērtējumus un zinātniskos ieteikumus, Puses ir nolēmušas noteikt zvejas iespējas, kas izsacītas ar zvejas piepūli (reģistrēto bruto tilpību) pirmajos divos un ar nozvejas limitu (KPN) – pēdējos trijos protokola piemērošanas gados un attiecas uz šādām zvejas kategorijām: garneļu saldētājtraleri, zivju un galvkāju saldētājtraleri un mazo pelaģisko sugu traleri. Zvejas iespējas protokolā paredzētas arī tunzivju saldētājseineriem un kuģiem zvejai ar āķu jedām, kā arī kuģiem tunzivju zvejai ar makšķerrīkiem. Nozariskais atbalsts ir noteikts salīdzinoši augstā apmērā, lai ņemtu vērā Gvinejas-Bisavas zivsaimniecības iestāžu spēju veidošanas vajadzības un valsts zivsaimniecības stratēģijas prioritātes, kā arī šīs piekrastes valsts jūras nozaru ekonomikas atbalsta plānus.</w:t>
      </w:r>
    </w:p>
    <w:p>
      <w:pPr>
        <w:pStyle w:val="ManualHeading3"/>
        <w:rPr>
          <w:noProof/>
        </w:rPr>
      </w:pPr>
      <w:bookmarkStart w:id="27" w:name="_Toc514938033"/>
      <w:bookmarkStart w:id="28" w:name="_Toc520485038"/>
      <w:r>
        <w:t>1.5.4.</w:t>
      </w:r>
      <w:r>
        <w:tab/>
      </w:r>
      <w:r>
        <w:rPr>
          <w:noProof/>
        </w:rPr>
        <w:t>Saderība ar daudzgadu finanšu shēmu un iespējamā sinerģija ar citiem atbilstošiem instrumentiem</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Līdzekļi, kas piešķirti kā finansiālā atlīdzība par ZPN doto piekļuvi, veido aizvietojamus ieņēmumus Gvinejas-Bisavas valsts budžetā. Tomēr nozariskajam atbalstam paredzēto finansējumu (parasti – ar ikgadējā finanšu likuma starpniecību) piešķir zivsaimniecības jomā kompetentajai ministrijai – tāds ir ZPN noslēgšanas un īstenošanas uzraudzības nosacījums. Šie finanšu resursi ir saderīgi ar pārējo finansējumu, kura avots ir citi starptautiskie finansētāji un kuru piešķir valsts līmeņa projektu un/vai programmu īstenošanai zivsaimniecības nozarē.</w:t>
      </w:r>
    </w:p>
    <w:p>
      <w:pPr>
        <w:pStyle w:val="ManualHeading3"/>
        <w:rPr>
          <w:noProof/>
        </w:rPr>
      </w:pPr>
      <w:bookmarkStart w:id="29" w:name="_Toc514938036"/>
      <w:bookmarkStart w:id="30" w:name="_Toc520485039"/>
      <w:r>
        <w:t>1.5.5.</w:t>
      </w:r>
      <w:r>
        <w:tab/>
      </w:r>
      <w:r>
        <w:rPr>
          <w:noProof/>
        </w:rPr>
        <w:t>Dažādo pieejamo finansēšanas iespēju, to vidū pārdales iespēju, izvērtējums</w:t>
      </w:r>
      <w:bookmarkEnd w:id="29"/>
      <w:bookmarkEnd w:id="30"/>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bookmarkStart w:id="31" w:name="_Toc514938039"/>
      <w:bookmarkStart w:id="32" w:name="_Toc520485040"/>
      <w:r>
        <w:t>1.6.</w:t>
      </w:r>
      <w:r>
        <w:tab/>
      </w:r>
      <w:r>
        <w:rPr>
          <w:noProof/>
        </w:rPr>
        <w:t>Priekšlikuma/iniciatīvas ilgums un finansiālā ietekme</w:t>
      </w:r>
      <w:bookmarkEnd w:id="31"/>
      <w:bookmarkEnd w:id="32"/>
    </w:p>
    <w:p>
      <w:pPr>
        <w:pStyle w:val="Text1"/>
        <w:rPr>
          <w:noProof/>
        </w:rPr>
      </w:pPr>
      <w:r>
        <w:rPr>
          <w:b/>
          <w:noProof/>
        </w:rPr>
        <w:t xml:space="preserve">X Ierobežota ilguma priekšlikums/iniciatīva </w:t>
      </w:r>
    </w:p>
    <w:p>
      <w:pPr>
        <w:pStyle w:val="ListDash2"/>
        <w:rPr>
          <w:noProof/>
        </w:rPr>
      </w:pPr>
      <w:r>
        <w:rPr>
          <w:noProof/>
        </w:rPr>
        <w:t>X</w:t>
      </w:r>
      <w:r>
        <w:rPr>
          <w:noProof/>
        </w:rPr>
        <w:tab/>
        <w:t xml:space="preserve">Spēkā no 2019. gada līdz 2024. gadam </w:t>
      </w:r>
    </w:p>
    <w:p>
      <w:pPr>
        <w:pStyle w:val="ListDash2"/>
        <w:rPr>
          <w:noProof/>
        </w:rPr>
      </w:pPr>
      <w:r>
        <w:rPr>
          <w:noProof/>
        </w:rPr>
        <w:t>X</w:t>
      </w:r>
      <w:r>
        <w:rPr>
          <w:noProof/>
        </w:rPr>
        <w:tab/>
        <w:t xml:space="preserve">Finansiālā ietekme uz saistību apropriācijām no 2019. līdz 2024. gadam; finansiālā ietekme uz maksājumu apropriācijām no 2019. līdz 2024. gadam </w:t>
      </w:r>
    </w:p>
    <w:p>
      <w:pPr>
        <w:pStyle w:val="Text1"/>
        <w:rPr>
          <w:noProof/>
        </w:rPr>
      </w:pPr>
      <w:r>
        <w:rPr>
          <w:noProof/>
        </w:rPr>
        <w:sym w:font="Wingdings" w:char="F0A8"/>
      </w:r>
      <w:r>
        <w:rPr>
          <w:noProof/>
        </w:rPr>
        <w:t xml:space="preserve"> </w:t>
      </w:r>
      <w:r>
        <w:rPr>
          <w:b/>
          <w:noProof/>
        </w:rPr>
        <w:t>Beztermiņa priekšlikums/iniciatīva</w:t>
      </w:r>
    </w:p>
    <w:p>
      <w:pPr>
        <w:pStyle w:val="ListDash1"/>
        <w:rPr>
          <w:noProof/>
        </w:rPr>
      </w:pPr>
      <w:r>
        <w:rPr>
          <w:noProof/>
        </w:rPr>
        <w:t>Īstenošana ar uzsākšanas periodu no GGGG. līdz GGGG.,</w:t>
      </w:r>
    </w:p>
    <w:p>
      <w:pPr>
        <w:pStyle w:val="ListDash1"/>
        <w:rPr>
          <w:noProof/>
        </w:rPr>
      </w:pPr>
      <w:r>
        <w:rPr>
          <w:noProof/>
        </w:rPr>
        <w:t>pēc kura turpinās normāla darbība</w:t>
      </w:r>
    </w:p>
    <w:p>
      <w:pPr>
        <w:pStyle w:val="ManualHeading2"/>
        <w:rPr>
          <w:bCs/>
          <w:noProof/>
          <w:szCs w:val="24"/>
        </w:rPr>
      </w:pPr>
      <w:bookmarkStart w:id="33" w:name="_Toc514938040"/>
      <w:bookmarkStart w:id="34" w:name="_Toc520485041"/>
      <w:r>
        <w:t>1.7.</w:t>
      </w:r>
      <w:r>
        <w:tab/>
      </w:r>
      <w:r>
        <w:rPr>
          <w:noProof/>
        </w:rPr>
        <w:t>Paredzētie pārvaldības veidi</w:t>
      </w:r>
      <w:r>
        <w:rPr>
          <w:rStyle w:val="FootnoteReference"/>
          <w:noProof/>
        </w:rPr>
        <w:footnoteReference w:id="9"/>
      </w:r>
      <w:bookmarkEnd w:id="33"/>
      <w:bookmarkEnd w:id="34"/>
      <w:r>
        <w:rPr>
          <w:rStyle w:val="FootnoteReference"/>
          <w:noProof/>
        </w:rPr>
        <w:t xml:space="preserve"> </w:t>
      </w:r>
    </w:p>
    <w:p>
      <w:pPr>
        <w:pStyle w:val="Text1"/>
        <w:rPr>
          <w:noProof/>
        </w:rPr>
      </w:pPr>
      <w:r>
        <w:rPr>
          <w:b/>
          <w:noProof/>
        </w:rPr>
        <w:t>X</w:t>
      </w:r>
      <w:r>
        <w:rPr>
          <w:noProof/>
        </w:rPr>
        <w:t xml:space="preserve"> Komisijas īstenota </w:t>
      </w:r>
      <w:r>
        <w:rPr>
          <w:b/>
          <w:noProof/>
        </w:rPr>
        <w:t>tieša pārvaldība</w:t>
      </w:r>
      <w:r>
        <w:rPr>
          <w:noProof/>
        </w:rPr>
        <w:t>:</w:t>
      </w:r>
    </w:p>
    <w:p>
      <w:pPr>
        <w:pStyle w:val="ListDash2"/>
        <w:rPr>
          <w:rFonts w:cs="EUAlbertina"/>
          <w:noProof/>
        </w:rPr>
      </w:pPr>
      <w:r>
        <w:rPr>
          <w:b/>
          <w:noProof/>
        </w:rPr>
        <w:t>X</w:t>
      </w:r>
      <w:r>
        <w:rPr>
          <w:noProof/>
        </w:rPr>
        <w:t xml:space="preserve"> ko veic tās struktūrvienības, arī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noProof/>
        </w:rPr>
        <w:t xml:space="preserve"> </w:t>
      </w:r>
      <w:r>
        <w:rPr>
          <w:b/>
          <w:noProof/>
        </w:rPr>
        <w:t>Netieša pārvaldība</w:t>
      </w:r>
      <w:r>
        <w:rPr>
          <w:noProof/>
        </w:rPr>
        <w:t>, kurā budžeta izpildes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70. un 71.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t>2.</w:t>
      </w:r>
      <w:r>
        <w:tab/>
      </w:r>
      <w:r>
        <w:rPr>
          <w:noProof/>
        </w:rPr>
        <w:t>PĀRVALDĪBAS PASĀKUMI</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Uzraudzības un ziņošanas noteikumi</w:t>
      </w:r>
      <w:bookmarkEnd w:id="37"/>
      <w:bookmarkEnd w:id="38"/>
      <w:r>
        <w:rPr>
          <w:noProof/>
        </w:rPr>
        <w:t xml:space="preserve"> </w:t>
      </w:r>
    </w:p>
    <w:p>
      <w:pPr>
        <w:pStyle w:val="Text1"/>
        <w:rPr>
          <w:i/>
          <w:noProof/>
          <w:sz w:val="20"/>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(MARE ĢD sadarbībā ar zivsaimniecības atašeju Dakārā, Senegālā) nodrošinās protokola īstenošanas regulāru uzraudzību, jo īpaši tādos aspektos kā operatoru iesaistīšanās zvejas iespēju izmantošanā, nozvejas dati un nozariskā atbalsta nosacījumu izpilde. </w:t>
      </w:r>
    </w:p>
    <w:p>
      <w:pPr>
        <w:pBdr>
          <w:top w:val="single" w:sz="4" w:space="1" w:color="auto"/>
          <w:left w:val="single" w:sz="4" w:space="4" w:color="auto"/>
          <w:bottom w:val="single" w:sz="4" w:space="1" w:color="auto"/>
          <w:right w:val="single" w:sz="4" w:space="4" w:color="auto"/>
        </w:pBdr>
        <w:ind w:left="850"/>
        <w:rPr>
          <w:noProof/>
        </w:rPr>
      </w:pPr>
      <w:r>
        <w:rPr>
          <w:noProof/>
        </w:rPr>
        <w:t>Turklāt ZPN paredz vismaz vienu apvienotās komitejas ikgadējo sanāksmi, kuras laikā Komisija un Gvineja-Bisava pārskatītu nolīguma un protokola īstenošanu un, ja vajadzīgs, pielāgotu programmu un – attiecīgā gadījumā – finansiālo ieguldījumu.</w:t>
      </w:r>
    </w:p>
    <w:p>
      <w:pPr>
        <w:pStyle w:val="ManualHeading2"/>
        <w:rPr>
          <w:bCs/>
          <w:noProof/>
          <w:szCs w:val="24"/>
        </w:rPr>
      </w:pPr>
      <w:bookmarkStart w:id="39" w:name="_Toc514938045"/>
      <w:bookmarkStart w:id="40" w:name="_Toc520485044"/>
      <w:r>
        <w:t>2.2.</w:t>
      </w:r>
      <w:r>
        <w:tab/>
      </w:r>
      <w:r>
        <w:rPr>
          <w:noProof/>
        </w:rPr>
        <w:t>Pārvaldības un kontroles sistēma</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Ierosināto pārvaldības veidu, finansējuma īstenošanas mehānismu, maksājumu kārtības un kontroles stratēģijas pamatojums</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 xml:space="preserve">Apzinātais risks ir zvejas iespēju nepilnīga apguve no ES kuģu īpašnieku puses un zivsaimniecības nozares politikas finansēšanai paredzēto līdzekļu nepilnīga apguve vai apguves kavēšanās no Gvinejas-Bisavas puses. </w:t>
      </w:r>
    </w:p>
    <w:p>
      <w:pPr>
        <w:pStyle w:val="ManualHeading3"/>
        <w:rPr>
          <w:bCs/>
          <w:noProof/>
          <w:szCs w:val="24"/>
        </w:rPr>
      </w:pPr>
      <w:bookmarkStart w:id="43" w:name="_Toc514938047"/>
      <w:bookmarkStart w:id="44" w:name="_Toc520485046"/>
      <w:r>
        <w:t>2.2.2.</w:t>
      </w:r>
      <w:r>
        <w:tab/>
      </w:r>
      <w:r>
        <w:rPr>
          <w:noProof/>
        </w:rPr>
        <w:t>Informācija par noteiktajiem riskiem un to mazināšanas nolūkā izveidotajām iekšējās kontroles sistēmām</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Paredzēts izvērsts dialogs par sektorpolitikas plānošanu un īstenošanu saskaņā ar nolīgumu un protokolu. Šo kontroles metožu daļa ir arī protokola 5. pantā minēto rezultātu kopīga analīze.</w:t>
      </w:r>
    </w:p>
    <w:p>
      <w:pPr>
        <w:pBdr>
          <w:top w:val="single" w:sz="4" w:space="1" w:color="auto"/>
          <w:left w:val="single" w:sz="4" w:space="4" w:color="auto"/>
          <w:bottom w:val="single" w:sz="4" w:space="1" w:color="auto"/>
          <w:right w:val="single" w:sz="4" w:space="4" w:color="auto"/>
        </w:pBdr>
        <w:ind w:left="850"/>
        <w:rPr>
          <w:noProof/>
        </w:rPr>
      </w:pPr>
      <w:r>
        <w:rPr>
          <w:noProof/>
        </w:rPr>
        <w:t>Turklāt nolīgumā un protokolā ir iekļautas īpašas klauzulas nolīguma un protokola apturēšanai ar konkrētiem nosacījumiem un noteiktos apstākļos.</w:t>
      </w:r>
    </w:p>
    <w:p>
      <w:pPr>
        <w:pStyle w:val="ManualHeading3"/>
        <w:rPr>
          <w:noProof/>
        </w:rPr>
      </w:pPr>
      <w:bookmarkStart w:id="45" w:name="_Toc514938048"/>
      <w:bookmarkStart w:id="46" w:name="_Toc520485047"/>
      <w:r>
        <w:rPr>
          <w:noProof/>
        </w:rPr>
        <w:br w:type="page"/>
      </w:r>
      <w:r>
        <w:t>2.2.3.</w:t>
      </w:r>
      <w:r>
        <w:tab/>
      </w:r>
      <w:r>
        <w:rPr>
          <w:noProof/>
        </w:rPr>
        <w:t>Kontroles izmaksefektivitātes (kontroles izmaksu attiecība pret attiecīgo pārvaldīto līdzekļu vērtību) aplēse un pamatojums un gaidāmā kļūdu riska līmeņa novērtējums (maksājumu izdarīšanas brīdī un slēgšanas brīdī)</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47" w:name="_Toc514938049"/>
      <w:bookmarkStart w:id="48" w:name="_Toc520485048"/>
      <w:r>
        <w:t>2.3.</w:t>
      </w:r>
      <w:r>
        <w:tab/>
      </w:r>
      <w:r>
        <w:rPr>
          <w:noProof/>
        </w:rPr>
        <w:t>Krāpšanas un pārkāpumu novēršanas pasākumi</w:t>
      </w:r>
      <w:bookmarkEnd w:id="47"/>
      <w:bookmarkEnd w:id="48"/>
      <w:r>
        <w:rPr>
          <w:noProof/>
        </w:rPr>
        <w:t xml:space="preserve"> </w:t>
      </w:r>
    </w:p>
    <w:p>
      <w:pPr>
        <w:pStyle w:val="Text1"/>
        <w:rPr>
          <w:i/>
          <w:noProof/>
          <w:sz w:val="20"/>
        </w:rPr>
      </w:pPr>
      <w:r>
        <w:rPr>
          <w:i/>
          <w:noProof/>
          <w:sz w:val="20"/>
        </w:rPr>
        <w:t>Norādīt esošos vai paredzētos novēršanas pasākumus un citus pretpasākumus, piemēram, krāpšanas apkarošanas stratēģijā iekļautos pasākumus.</w:t>
      </w:r>
    </w:p>
    <w:p>
      <w:pPr>
        <w:pStyle w:val="Text1"/>
        <w:pBdr>
          <w:top w:val="single" w:sz="4" w:space="1" w:color="auto"/>
          <w:left w:val="single" w:sz="4" w:space="4" w:color="auto"/>
          <w:bottom w:val="single" w:sz="4" w:space="1" w:color="auto"/>
          <w:right w:val="single" w:sz="4" w:space="4" w:color="auto"/>
        </w:pBdr>
        <w:rPr>
          <w:noProof/>
        </w:rPr>
      </w:pPr>
      <w:r>
        <w:rPr>
          <w:noProof/>
        </w:rPr>
        <w:t>Komisija apņemas tiekties izveidot politisko dialogu un regulāru darbības koordināciju ar Gvinejas-Bisavas Republiku nolūkā uzlabot nolīguma un protokola pārvaldību un stiprināt Savienības ieguldījumu ilgtspējīgā resursu pārvaldībā. Uz visiem maksājumiem, kurus Komisija veic saskaņā ar ZPN, attiecas tās parastie budžeta un finanšu noteikumi un procedūras. Konkrēti, tiek pilnībā identificēts trešo valstu bankas konts, kurā iemaksā finansiālo ieguldījumu. Protokola 4. panta 7. punkts precizē, ka ar piekļuvi saistītā finansiālā ieguldījuma daļa jāpārskaita uz Valsts kases kontu, kas atvērts Gvinejas-Bisavas centrālajā bankā, bet nozariskajam atbalstam paredzētā daļa – uz Gvinejas-Bisavas Valsts kases kontu.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t>3.</w:t>
      </w:r>
      <w:r>
        <w:tab/>
      </w:r>
      <w:r>
        <w:rPr>
          <w:noProof/>
        </w:rPr>
        <w:t>PRIEKŠLIKUMA/INICIATĪVAS PAREDZAMĀ FINANSIĀLĀ IETEKME</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Attiecīgās daudzgadu finanšu shēmas izdevumu kategorijas un budžeta izdevumu pozīcijas</w:t>
      </w:r>
      <w:bookmarkEnd w:id="51"/>
      <w:bookmarkEnd w:id="52"/>
      <w:r>
        <w:rPr>
          <w:noProof/>
        </w:rPr>
        <w:t xml:space="preserve"> </w:t>
      </w:r>
    </w:p>
    <w:p>
      <w:pPr>
        <w:pStyle w:val="ListBullet1"/>
        <w:rPr>
          <w:noProof/>
        </w:rPr>
      </w:pPr>
      <w:r>
        <w:rPr>
          <w:noProof/>
        </w:rPr>
        <w:t xml:space="preserve">Esošās budžeta pozīcijas </w:t>
      </w:r>
    </w:p>
    <w:p>
      <w:pPr>
        <w:pStyle w:val="Text1"/>
        <w:rPr>
          <w:i/>
          <w:noProof/>
        </w:rPr>
      </w:pPr>
      <w:r>
        <w:rPr>
          <w:i/>
          <w:noProof/>
          <w:u w:val="single"/>
        </w:rPr>
        <w:t>Sarindotas</w:t>
      </w:r>
      <w:r>
        <w:rPr>
          <w:noProof/>
        </w:rPr>
        <w:t xml:space="preserve"> </w:t>
      </w:r>
      <w:r>
        <w:rPr>
          <w:i/>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Daudzgadu finanšu shēmas izdevumu kategorija</w:t>
            </w:r>
          </w:p>
        </w:tc>
        <w:tc>
          <w:tcPr>
            <w:tcW w:w="384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56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Nr. </w:t>
            </w:r>
            <w:r>
              <w:rPr>
                <w:noProof/>
                <w:sz w:val="22"/>
              </w:rPr>
              <w:br/>
            </w:r>
          </w:p>
        </w:tc>
        <w:tc>
          <w:tcPr>
            <w:tcW w:w="1080" w:type="dxa"/>
            <w:vAlign w:val="center"/>
          </w:tcPr>
          <w:p>
            <w:pPr>
              <w:jc w:val="center"/>
              <w:rPr>
                <w:noProof/>
              </w:rPr>
            </w:pPr>
            <w:r>
              <w:rPr>
                <w:noProof/>
                <w:sz w:val="18"/>
              </w:rPr>
              <w:t>Dif./nedif.</w:t>
            </w:r>
            <w:r>
              <w:rPr>
                <w:rStyle w:val="FootnoteReference"/>
                <w:noProof/>
                <w:sz w:val="18"/>
              </w:rPr>
              <w:footnoteReference w:id="10"/>
            </w:r>
          </w:p>
        </w:tc>
        <w:tc>
          <w:tcPr>
            <w:tcW w:w="1076" w:type="dxa"/>
            <w:vAlign w:val="center"/>
          </w:tcPr>
          <w:p>
            <w:pPr>
              <w:jc w:val="center"/>
              <w:rPr>
                <w:noProof/>
              </w:rPr>
            </w:pPr>
            <w:r>
              <w:rPr>
                <w:noProof/>
                <w:sz w:val="18"/>
              </w:rPr>
              <w:t>no EBTA valstīm</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no kandidātvalstīm</w:t>
            </w:r>
            <w:r>
              <w:rPr>
                <w:rStyle w:val="FootnoteReference"/>
                <w:noProof/>
                <w:sz w:val="18"/>
              </w:rPr>
              <w:footnoteReference w:id="12"/>
            </w:r>
          </w:p>
          <w:p>
            <w:pPr>
              <w:spacing w:before="0" w:after="0"/>
              <w:jc w:val="center"/>
              <w:rPr>
                <w:noProof/>
                <w:sz w:val="18"/>
              </w:rPr>
            </w:pPr>
          </w:p>
        </w:tc>
        <w:tc>
          <w:tcPr>
            <w:tcW w:w="1084" w:type="dxa"/>
            <w:vAlign w:val="center"/>
          </w:tcPr>
          <w:p>
            <w:pPr>
              <w:jc w:val="center"/>
              <w:rPr>
                <w:noProof/>
                <w:sz w:val="18"/>
              </w:rPr>
            </w:pPr>
            <w:r>
              <w:rPr>
                <w:noProof/>
                <w:sz w:val="18"/>
              </w:rPr>
              <w:t>no trešām valstīm</w:t>
            </w:r>
          </w:p>
        </w:tc>
        <w:tc>
          <w:tcPr>
            <w:tcW w:w="1320"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Pārvaldības satvara (IZN) izveidošana Eiropas Savienības zvejas kuģu veiktām zvejas darbībām trešo valstu ūdeņos</w:t>
            </w:r>
          </w:p>
        </w:tc>
        <w:tc>
          <w:tcPr>
            <w:tcW w:w="1080" w:type="dxa"/>
            <w:vAlign w:val="center"/>
          </w:tcPr>
          <w:p>
            <w:pPr>
              <w:jc w:val="center"/>
              <w:rPr>
                <w:noProof/>
                <w:color w:val="0000FF"/>
              </w:rPr>
            </w:pPr>
            <w:r>
              <w:rPr>
                <w:noProof/>
                <w:sz w:val="22"/>
              </w:rPr>
              <w:t>Dif.</w:t>
            </w:r>
          </w:p>
        </w:tc>
        <w:tc>
          <w:tcPr>
            <w:tcW w:w="1076" w:type="dxa"/>
            <w:vAlign w:val="center"/>
          </w:tcPr>
          <w:p>
            <w:pPr>
              <w:jc w:val="center"/>
              <w:rPr>
                <w:noProof/>
                <w:sz w:val="20"/>
                <w:szCs w:val="20"/>
              </w:rPr>
            </w:pPr>
            <w:r>
              <w:rPr>
                <w:noProof/>
                <w:sz w:val="20"/>
              </w:rPr>
              <w:t>NĒ</w:t>
            </w:r>
          </w:p>
        </w:tc>
        <w:tc>
          <w:tcPr>
            <w:tcW w:w="1080" w:type="dxa"/>
            <w:vAlign w:val="center"/>
          </w:tcPr>
          <w:p>
            <w:pPr>
              <w:jc w:val="center"/>
              <w:rPr>
                <w:noProof/>
                <w:sz w:val="20"/>
                <w:szCs w:val="20"/>
              </w:rPr>
            </w:pPr>
            <w:r>
              <w:rPr>
                <w:noProof/>
                <w:sz w:val="20"/>
              </w:rPr>
              <w:t>NĒ</w:t>
            </w:r>
          </w:p>
        </w:tc>
        <w:tc>
          <w:tcPr>
            <w:tcW w:w="1084" w:type="dxa"/>
            <w:vAlign w:val="center"/>
          </w:tcPr>
          <w:p>
            <w:pPr>
              <w:jc w:val="center"/>
              <w:rPr>
                <w:noProof/>
                <w:sz w:val="20"/>
                <w:szCs w:val="20"/>
              </w:rPr>
            </w:pPr>
            <w:r>
              <w:rPr>
                <w:noProof/>
                <w:sz w:val="20"/>
              </w:rPr>
              <w:t>NĒ</w:t>
            </w:r>
          </w:p>
        </w:tc>
        <w:tc>
          <w:tcPr>
            <w:tcW w:w="1320" w:type="dxa"/>
            <w:vAlign w:val="center"/>
          </w:tcPr>
          <w:p>
            <w:pPr>
              <w:jc w:val="center"/>
              <w:rPr>
                <w:noProof/>
                <w:sz w:val="20"/>
                <w:szCs w:val="20"/>
              </w:rPr>
            </w:pPr>
            <w:r>
              <w:rPr>
                <w:noProof/>
                <w:sz w:val="20"/>
              </w:rPr>
              <w:t>NĒ</w:t>
            </w:r>
          </w:p>
        </w:tc>
      </w:tr>
    </w:tbl>
    <w:p>
      <w:pPr>
        <w:pStyle w:val="ListBullet1"/>
        <w:rPr>
          <w:noProof/>
        </w:rPr>
      </w:pPr>
      <w:r>
        <w:rPr>
          <w:noProof/>
        </w:rPr>
        <w:t xml:space="preserve">No jauna veidojamās budžeta pozīcijas </w:t>
      </w:r>
    </w:p>
    <w:p>
      <w:pPr>
        <w:pStyle w:val="Text1"/>
        <w:rPr>
          <w:i/>
          <w:noProof/>
          <w:sz w:val="20"/>
        </w:rPr>
      </w:pPr>
      <w:r>
        <w:rPr>
          <w:i/>
          <w:noProof/>
          <w:u w:val="single"/>
        </w:rPr>
        <w:t>Sarindotas</w:t>
      </w:r>
      <w:r>
        <w:rPr>
          <w:noProof/>
        </w:rPr>
        <w:t xml:space="preserve"> </w:t>
      </w:r>
      <w:r>
        <w:rPr>
          <w:i/>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84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56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Nr. </w:t>
            </w:r>
            <w:r>
              <w:rPr>
                <w:noProof/>
                <w:sz w:val="22"/>
              </w:rPr>
              <w:br/>
            </w:r>
          </w:p>
        </w:tc>
        <w:tc>
          <w:tcPr>
            <w:tcW w:w="1080" w:type="dxa"/>
            <w:vAlign w:val="center"/>
          </w:tcPr>
          <w:p>
            <w:pPr>
              <w:jc w:val="center"/>
              <w:rPr>
                <w:noProof/>
              </w:rPr>
            </w:pPr>
            <w:r>
              <w:rPr>
                <w:noProof/>
                <w:sz w:val="18"/>
              </w:rPr>
              <w:t>Dif./nedif.</w:t>
            </w:r>
          </w:p>
        </w:tc>
        <w:tc>
          <w:tcPr>
            <w:tcW w:w="107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1084" w:type="dxa"/>
            <w:vAlign w:val="center"/>
          </w:tcPr>
          <w:p>
            <w:pPr>
              <w:jc w:val="center"/>
              <w:rPr>
                <w:noProof/>
                <w:sz w:val="18"/>
              </w:rPr>
            </w:pPr>
            <w:r>
              <w:rPr>
                <w:noProof/>
                <w:sz w:val="18"/>
              </w:rPr>
              <w:t>no trešām valstīm</w:t>
            </w:r>
          </w:p>
        </w:tc>
        <w:tc>
          <w:tcPr>
            <w:tcW w:w="1320"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JĀ/NĒ</w:t>
            </w:r>
          </w:p>
        </w:tc>
        <w:tc>
          <w:tcPr>
            <w:tcW w:w="1080" w:type="dxa"/>
            <w:vAlign w:val="center"/>
          </w:tcPr>
          <w:p>
            <w:pPr>
              <w:jc w:val="center"/>
              <w:rPr>
                <w:noProof/>
                <w:color w:val="0000FF"/>
                <w:sz w:val="20"/>
                <w:szCs w:val="20"/>
              </w:rPr>
            </w:pPr>
            <w:r>
              <w:rPr>
                <w:noProof/>
                <w:sz w:val="20"/>
              </w:rPr>
              <w:t>JĀ/NĒ</w:t>
            </w:r>
          </w:p>
        </w:tc>
        <w:tc>
          <w:tcPr>
            <w:tcW w:w="1084" w:type="dxa"/>
            <w:vAlign w:val="center"/>
          </w:tcPr>
          <w:p>
            <w:pPr>
              <w:jc w:val="center"/>
              <w:rPr>
                <w:noProof/>
                <w:color w:val="0000FF"/>
                <w:sz w:val="20"/>
                <w:szCs w:val="20"/>
              </w:rPr>
            </w:pPr>
            <w:r>
              <w:rPr>
                <w:noProof/>
                <w:sz w:val="20"/>
              </w:rPr>
              <w:t>JĀ/NĒ</w:t>
            </w:r>
          </w:p>
        </w:tc>
        <w:tc>
          <w:tcPr>
            <w:tcW w:w="1320" w:type="dxa"/>
            <w:vAlign w:val="center"/>
          </w:tcPr>
          <w:p>
            <w:pPr>
              <w:jc w:val="center"/>
              <w:rPr>
                <w:noProof/>
                <w:sz w:val="20"/>
                <w:szCs w:val="20"/>
              </w:rPr>
            </w:pPr>
            <w:r>
              <w:rPr>
                <w:noProof/>
                <w:sz w:val="20"/>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t>3.2.</w:t>
      </w:r>
      <w:r>
        <w:tab/>
      </w:r>
      <w:r>
        <w:rPr>
          <w:noProof/>
        </w:rPr>
        <w:t>Priekšlikuma aplēstā finansiālā ietekme uz apropriācijām</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Kopsavilkums par aplēsto ietekmi uz darbības apropriācijām</w:t>
      </w:r>
      <w:bookmarkEnd w:id="55"/>
      <w:bookmarkEnd w:id="56"/>
      <w:r>
        <w:rPr>
          <w:noProof/>
        </w:rPr>
        <w:t xml:space="preserve">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t>X</w:t>
      </w:r>
      <w:r>
        <w:rPr>
          <w:noProof/>
        </w:rPr>
        <w:tab/>
        <w:t>Priekšlikums/iniciatīva paredz darbības apropriācijas izmantot šādā veidā:</w:t>
      </w:r>
    </w:p>
    <w:p>
      <w:pPr>
        <w:jc w:val="right"/>
        <w:rPr>
          <w:noProof/>
          <w:sz w:val="18"/>
          <w:szCs w:val="18"/>
        </w:rPr>
      </w:pPr>
      <w:r>
        <w:rPr>
          <w:noProof/>
          <w:sz w:val="18"/>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Daudzgadu finanšu shēmas izdevumu kategorija</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Nr.</w:t>
            </w:r>
          </w:p>
          <w:p>
            <w:pPr>
              <w:spacing w:before="60" w:after="60"/>
              <w:jc w:val="center"/>
              <w:rPr>
                <w:noProof/>
              </w:rPr>
            </w:pPr>
            <w:r>
              <w:rPr>
                <w:noProof/>
                <w:sz w:val="22"/>
              </w:rPr>
              <w:t>2</w:t>
            </w:r>
          </w:p>
        </w:tc>
        <w:tc>
          <w:tcPr>
            <w:tcW w:w="7817" w:type="dxa"/>
            <w:vAlign w:val="center"/>
          </w:tcPr>
          <w:p>
            <w:pPr>
              <w:spacing w:before="60" w:after="60"/>
              <w:rPr>
                <w:noProof/>
              </w:rPr>
            </w:pPr>
            <w:r>
              <w:rPr>
                <w:noProof/>
              </w:rPr>
              <w:t>Ilgtspējīga izaugsme: dabas resursi</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MARE ĢD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99" w:type="dxa"/>
            <w:vAlign w:val="center"/>
          </w:tcPr>
          <w:p>
            <w:pPr>
              <w:jc w:val="center"/>
              <w:rPr>
                <w:noProof/>
                <w:sz w:val="20"/>
              </w:rPr>
            </w:pPr>
            <w:r>
              <w:rPr>
                <w:b/>
                <w:noProof/>
                <w:sz w:val="20"/>
              </w:rPr>
              <w:t>2023</w:t>
            </w:r>
          </w:p>
        </w:tc>
        <w:tc>
          <w:tcPr>
            <w:tcW w:w="1746"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Budžeta pozīcija</w:t>
            </w:r>
            <w:r>
              <w:rPr>
                <w:rStyle w:val="FootnoteReference"/>
                <w:noProof/>
                <w:sz w:val="20"/>
              </w:rPr>
              <w:footnoteReference w:id="13"/>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tcPr>
          <w:p>
            <w:pPr>
              <w:spacing w:before="20" w:after="20"/>
              <w:jc w:val="right"/>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tcPr>
          <w:p>
            <w:pPr>
              <w:spacing w:before="20" w:after="20"/>
              <w:jc w:val="right"/>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r>
        <w:tc>
          <w:tcPr>
            <w:tcW w:w="3960" w:type="dxa"/>
            <w:vMerge w:val="restart"/>
            <w:vAlign w:val="center"/>
          </w:tcPr>
          <w:p>
            <w:pPr>
              <w:rPr>
                <w:noProof/>
              </w:rPr>
            </w:pPr>
            <w:r>
              <w:rPr>
                <w:noProof/>
                <w:sz w:val="20"/>
              </w:rPr>
              <w:t>Budžeta pozīcija</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Administratīvās apropriācijas, kas tiek finansētas no konkrētu programmu piešķīrumiem</w:t>
            </w:r>
            <w:r>
              <w:rPr>
                <w:rStyle w:val="FootnoteReference"/>
                <w:noProof/>
                <w:sz w:val="21"/>
              </w:rPr>
              <w:footnoteReference w:id="1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Budžeta pozīcija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KOPĀ MARE ĢD apropriācijas</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=1a+1b+3</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vAlign w:val="center"/>
          </w:tcPr>
          <w:p>
            <w:pPr>
              <w:spacing w:before="20" w:after="20"/>
              <w:jc w:val="center"/>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vAlign w:val="center"/>
          </w:tcPr>
          <w:p>
            <w:pPr>
              <w:spacing w:before="20" w:after="20"/>
              <w:jc w:val="center"/>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KOPĀ</w:t>
            </w:r>
            <w:r>
              <w:rPr>
                <w:noProof/>
              </w:rPr>
              <w:t xml:space="preserve"> daudzgadu finanšu shēmas</w:t>
            </w:r>
            <w:r>
              <w:rPr>
                <w:noProof/>
              </w:rPr>
              <w:br/>
            </w:r>
            <w:r>
              <w:rPr>
                <w:b/>
                <w:noProof/>
                <w:sz w:val="22"/>
              </w:rPr>
              <w:t>2. IZDEVUMU KATEGORIJAS</w:t>
            </w:r>
            <w:r>
              <w:rPr>
                <w:b/>
                <w:noProof/>
                <w:sz w:val="22"/>
              </w:rPr>
              <w:br/>
              <w:t>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bl>
    <w:p>
      <w:pPr>
        <w:spacing w:after="40"/>
        <w:rPr>
          <w:b/>
          <w:noProof/>
          <w:sz w:val="22"/>
          <w:u w:val="single"/>
        </w:rPr>
      </w:pPr>
      <w:r>
        <w:rPr>
          <w:b/>
          <w:noProof/>
          <w:sz w:val="22"/>
          <w:u w:val="single"/>
        </w:rPr>
        <w:t>Ja priekšlikums/iniciatīva ietekmē vairāk nekā vienu darbības izdevumu kategoriju, atkārtot iepriekš minēto iedaļu: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w:t>
            </w:r>
            <w:r>
              <w:rPr>
                <w:noProof/>
                <w:sz w:val="21"/>
              </w:rPr>
              <w:t>KOPĀ darbības apropriācijas (visas darbības izdevumu kategorijas)</w:t>
            </w:r>
          </w:p>
        </w:tc>
        <w:tc>
          <w:tcPr>
            <w:tcW w:w="1440" w:type="dxa"/>
            <w:tcBorders>
              <w:top w:val="single" w:sz="4" w:space="0" w:color="auto"/>
            </w:tcBorders>
            <w:vAlign w:val="center"/>
          </w:tcPr>
          <w:p>
            <w:pPr>
              <w:spacing w:beforeLines="20" w:before="48" w:afterLines="20" w:after="48"/>
              <w:rPr>
                <w:noProof/>
                <w:sz w:val="18"/>
              </w:rPr>
            </w:pPr>
            <w:r>
              <w:rPr>
                <w:noProof/>
                <w:sz w:val="18"/>
              </w:rPr>
              <w:t>Saistības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KOPĀ administratīvās apropriācijas, kas tiek finansētas no konkrētu programmu piešķīrumiem (visas darbības izdevumu kategorijas)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KOPĀ</w:t>
            </w:r>
            <w:r>
              <w:rPr>
                <w:noProof/>
              </w:rPr>
              <w:t xml:space="preserve"> daudzgadu finanšu shēmas</w:t>
            </w:r>
            <w:r>
              <w:rPr>
                <w:noProof/>
              </w:rPr>
              <w:br/>
            </w:r>
            <w:r>
              <w:rPr>
                <w:b/>
                <w:noProof/>
                <w:sz w:val="22"/>
              </w:rPr>
              <w:t>1.–4. IZDEVUMU KATEGORIJAS</w:t>
            </w:r>
            <w:r>
              <w:rPr>
                <w:b/>
                <w:noProof/>
                <w:sz w:val="22"/>
              </w:rPr>
              <w:br/>
              <w:t>apropriācijas</w:t>
            </w:r>
            <w:r>
              <w:rPr>
                <w:noProof/>
                <w:sz w:val="22"/>
              </w:rPr>
              <w:br/>
            </w:r>
            <w:r>
              <w:rPr>
                <w:noProof/>
                <w:sz w:val="20"/>
              </w:rPr>
              <w:t>(Pamatsumma)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77" w:type="dxa"/>
            <w:tcBorders>
              <w:right w:val="single" w:sz="4" w:space="0" w:color="auto"/>
            </w:tcBorders>
            <w:vAlign w:val="center"/>
          </w:tcPr>
          <w:p>
            <w:pPr>
              <w:spacing w:before="20" w:after="20"/>
              <w:jc w:val="right"/>
              <w:rPr>
                <w:b/>
                <w:noProof/>
                <w:sz w:val="20"/>
              </w:rPr>
            </w:pPr>
            <w:r>
              <w:rPr>
                <w:b/>
                <w:noProof/>
                <w:sz w:val="20"/>
              </w:rPr>
              <w:t>78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Maksājumi</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78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Daudzgadu finanšu shēmas izdevumu kategorija</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“Administratīvie izdevumi”</w:t>
            </w:r>
          </w:p>
        </w:tc>
      </w:tr>
    </w:tbl>
    <w:p>
      <w:pPr>
        <w:jc w:val="left"/>
        <w:rPr>
          <w:noProof/>
          <w:sz w:val="20"/>
        </w:rPr>
      </w:pPr>
      <w:r>
        <w:rPr>
          <w:noProof/>
        </w:rPr>
        <w:t xml:space="preserve">Šī iedaļa būtu jāaizpilda, izmantojot administratīva rakstura budžeta datu izklājlapu, kas vispirms jānoformē </w:t>
      </w:r>
      <w:hyperlink r:id="rId18">
        <w:r>
          <w:rPr>
            <w:rStyle w:val="Hyperlink"/>
            <w:noProof/>
          </w:rPr>
          <w:t>tiesību akta finanšu pārskata pielikumā</w:t>
        </w:r>
      </w:hyperlink>
      <w:r>
        <w:rPr>
          <w:noProof/>
        </w:rPr>
        <w:t xml:space="preserve"> (iekšējo noteikumu V pielikums), kurš starpdienestu konsultāciju vajadzībām tiek augšupielādēts sistēmā </w:t>
      </w:r>
      <w:r>
        <w:rPr>
          <w:i/>
          <w:noProof/>
        </w:rPr>
        <w:t>DECIDE</w:t>
      </w:r>
      <w:r>
        <w:rPr>
          <w:noProof/>
        </w:rPr>
        <w:t>.</w:t>
      </w:r>
    </w:p>
    <w:p>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b/>
                <w:noProof/>
                <w:sz w:val="18"/>
              </w:rPr>
            </w:pPr>
            <w:r>
              <w:rPr>
                <w:b/>
                <w:noProof/>
                <w:sz w:val="20"/>
              </w:rPr>
              <w:t>2023</w:t>
            </w:r>
          </w:p>
        </w:tc>
        <w:tc>
          <w:tcPr>
            <w:tcW w:w="1777" w:type="dxa"/>
            <w:vAlign w:val="center"/>
          </w:tcPr>
          <w:p>
            <w:pPr>
              <w:jc w:val="center"/>
              <w:rPr>
                <w:b/>
                <w:noProof/>
                <w:sz w:val="20"/>
              </w:rPr>
            </w:pPr>
            <w:r>
              <w:rPr>
                <w:b/>
                <w:noProof/>
                <w:sz w:val="20"/>
              </w:rPr>
              <w:t>KOPĀ</w:t>
            </w:r>
          </w:p>
        </w:tc>
      </w:tr>
      <w:tr>
        <w:trPr>
          <w:gridAfter w:val="8"/>
          <w:wAfter w:w="8211" w:type="dxa"/>
        </w:trPr>
        <w:tc>
          <w:tcPr>
            <w:tcW w:w="3960" w:type="dxa"/>
            <w:vAlign w:val="center"/>
          </w:tcPr>
          <w:p>
            <w:pPr>
              <w:spacing w:before="60" w:after="60"/>
              <w:jc w:val="center"/>
              <w:rPr>
                <w:noProof/>
              </w:rPr>
            </w:pPr>
            <w:r>
              <w:rPr>
                <w:noProof/>
                <w:sz w:val="22"/>
              </w:rPr>
              <w:t>MARE ĢD</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Cilvēkresursi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Pārējie administratīvie izdevumi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KOPĀ MARE 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KOPĀ</w:t>
            </w:r>
            <w:r>
              <w:rPr>
                <w:noProof/>
              </w:rPr>
              <w:t xml:space="preserve"> daudzgadu finanšu shēmas</w:t>
            </w:r>
            <w:r>
              <w:rPr>
                <w:noProof/>
              </w:rPr>
              <w:br/>
            </w:r>
            <w:r>
              <w:rPr>
                <w:b/>
                <w:noProof/>
                <w:sz w:val="22"/>
              </w:rPr>
              <w:t>5. IZDEVUMU KATEGORIJAS</w:t>
            </w:r>
            <w:r>
              <w:rPr>
                <w:b/>
                <w:noProof/>
                <w:sz w:val="22"/>
              </w:rPr>
              <w:br/>
              <w:t xml:space="preserve">apropriācijas </w:t>
            </w:r>
          </w:p>
        </w:tc>
        <w:tc>
          <w:tcPr>
            <w:tcW w:w="2094" w:type="dxa"/>
            <w:vAlign w:val="center"/>
          </w:tcPr>
          <w:p>
            <w:pPr>
              <w:spacing w:before="40" w:after="40"/>
              <w:rPr>
                <w:noProof/>
              </w:rPr>
            </w:pPr>
            <w:r>
              <w:rPr>
                <w:noProof/>
                <w:sz w:val="18"/>
              </w:rPr>
              <w:t>(Saistību summa = maksājumu 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b/>
                <w:noProof/>
                <w:sz w:val="18"/>
              </w:rPr>
            </w:pPr>
            <w:r>
              <w:rPr>
                <w:b/>
                <w:noProof/>
                <w:sz w:val="20"/>
              </w:rPr>
              <w:t>2023</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sz w:val="22"/>
              </w:rPr>
              <w:t>KOPĀ</w:t>
            </w:r>
            <w:r>
              <w:rPr>
                <w:noProof/>
              </w:rPr>
              <w:t xml:space="preserve"> daudzgadu finanšu shēmas</w:t>
            </w:r>
            <w:r>
              <w:rPr>
                <w:noProof/>
              </w:rPr>
              <w:br/>
            </w:r>
            <w:r>
              <w:rPr>
                <w:b/>
                <w:noProof/>
                <w:sz w:val="22"/>
              </w:rPr>
              <w:t>1.–5. IZDEVUMU KATEGORIJAS</w:t>
            </w:r>
            <w:r>
              <w:rPr>
                <w:b/>
                <w:noProof/>
                <w:sz w:val="22"/>
              </w:rPr>
              <w:br/>
              <w:t xml:space="preserve">apropriācijas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1777" w:type="dxa"/>
            <w:vAlign w:val="center"/>
          </w:tcPr>
          <w:p>
            <w:pPr>
              <w:spacing w:before="60" w:after="60"/>
              <w:jc w:val="right"/>
              <w:rPr>
                <w:b/>
                <w:noProof/>
                <w:sz w:val="20"/>
              </w:rPr>
            </w:pPr>
            <w:r>
              <w:rPr>
                <w:b/>
                <w:noProof/>
                <w:sz w:val="20"/>
              </w:rPr>
              <w:t>78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1777" w:type="dxa"/>
            <w:vAlign w:val="center"/>
          </w:tcPr>
          <w:p>
            <w:pPr>
              <w:spacing w:before="60" w:after="60"/>
              <w:jc w:val="right"/>
              <w:rPr>
                <w:b/>
                <w:noProof/>
                <w:sz w:val="20"/>
              </w:rPr>
            </w:pPr>
            <w:r>
              <w:rPr>
                <w:b/>
                <w:noProof/>
                <w:sz w:val="20"/>
              </w:rPr>
              <w:t>78</w:t>
            </w:r>
          </w:p>
        </w:tc>
      </w:tr>
    </w:tbl>
    <w:p>
      <w:pPr>
        <w:rPr>
          <w:noProof/>
        </w:rPr>
      </w:pPr>
    </w:p>
    <w:p>
      <w:pPr>
        <w:pStyle w:val="ManualHeading3"/>
        <w:rPr>
          <w:bCs/>
          <w:noProof/>
          <w:szCs w:val="24"/>
        </w:rPr>
      </w:pPr>
      <w:bookmarkStart w:id="57" w:name="_Toc514938054"/>
      <w:bookmarkStart w:id="58" w:name="_Toc520485053"/>
      <w:r>
        <w:t>3.2.2.</w:t>
      </w:r>
      <w:r>
        <w:tab/>
      </w:r>
      <w:r>
        <w:rPr>
          <w:noProof/>
        </w:rPr>
        <w:t>Aplēstais iznākums, ko dos finansējums no darbības apropriācijām</w:t>
      </w:r>
      <w:bookmarkEnd w:id="57"/>
      <w:bookmarkEnd w:id="58"/>
      <w:r>
        <w:rPr>
          <w:noProof/>
        </w:rPr>
        <w:t xml:space="preserve"> </w:t>
      </w:r>
    </w:p>
    <w:p>
      <w:pPr>
        <w:jc w:val="right"/>
        <w:rPr>
          <w:noProof/>
          <w:sz w:val="20"/>
        </w:rPr>
      </w:pPr>
      <w:r>
        <w:rPr>
          <w:noProof/>
          <w:sz w:val="20"/>
        </w:rPr>
        <w:t>Saistību apropriācijas miljonos EUR (trīs zīmes aiz komata)</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2019</w:t>
            </w:r>
          </w:p>
        </w:tc>
        <w:tc>
          <w:tcPr>
            <w:tcW w:w="1260" w:type="dxa"/>
            <w:gridSpan w:val="2"/>
            <w:vAlign w:val="center"/>
          </w:tcPr>
          <w:p>
            <w:pPr>
              <w:ind w:right="-29"/>
              <w:jc w:val="center"/>
              <w:rPr>
                <w:noProof/>
                <w:sz w:val="18"/>
                <w:szCs w:val="18"/>
              </w:rPr>
            </w:pPr>
            <w:r>
              <w:rPr>
                <w:b/>
                <w:noProof/>
                <w:sz w:val="18"/>
              </w:rPr>
              <w:t>2020</w:t>
            </w:r>
          </w:p>
        </w:tc>
        <w:tc>
          <w:tcPr>
            <w:tcW w:w="1440" w:type="dxa"/>
            <w:gridSpan w:val="2"/>
            <w:vAlign w:val="center"/>
          </w:tcPr>
          <w:p>
            <w:pPr>
              <w:ind w:right="-29"/>
              <w:jc w:val="center"/>
              <w:rPr>
                <w:noProof/>
                <w:sz w:val="18"/>
                <w:szCs w:val="18"/>
              </w:rPr>
            </w:pPr>
            <w:r>
              <w:rPr>
                <w:b/>
                <w:noProof/>
                <w:sz w:val="18"/>
              </w:rPr>
              <w:t>2021</w:t>
            </w:r>
          </w:p>
        </w:tc>
        <w:tc>
          <w:tcPr>
            <w:tcW w:w="1620" w:type="dxa"/>
            <w:gridSpan w:val="3"/>
            <w:vAlign w:val="center"/>
          </w:tcPr>
          <w:p>
            <w:pPr>
              <w:ind w:right="-29"/>
              <w:jc w:val="center"/>
              <w:rPr>
                <w:noProof/>
                <w:sz w:val="18"/>
                <w:szCs w:val="18"/>
              </w:rPr>
            </w:pPr>
            <w:r>
              <w:rPr>
                <w:b/>
                <w:noProof/>
                <w:sz w:val="18"/>
              </w:rPr>
              <w:t>2022</w:t>
            </w:r>
          </w:p>
        </w:tc>
        <w:tc>
          <w:tcPr>
            <w:tcW w:w="1200" w:type="dxa"/>
            <w:gridSpan w:val="3"/>
            <w:vAlign w:val="center"/>
          </w:tcPr>
          <w:p>
            <w:pPr>
              <w:jc w:val="center"/>
              <w:rPr>
                <w:noProof/>
                <w:sz w:val="18"/>
                <w:szCs w:val="18"/>
              </w:rPr>
            </w:pP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KOPĀ</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Rezultāta veids</w:t>
            </w:r>
            <w:r>
              <w:rPr>
                <w:rStyle w:val="FootnoteReference"/>
                <w:noProof/>
                <w:sz w:val="18"/>
              </w:rPr>
              <w:footnoteReference w:id="15"/>
            </w:r>
          </w:p>
          <w:p>
            <w:pPr>
              <w:spacing w:before="0" w:after="0"/>
              <w:jc w:val="center"/>
              <w:rPr>
                <w:noProof/>
                <w:sz w:val="18"/>
                <w:szCs w:val="18"/>
              </w:rPr>
            </w:pPr>
          </w:p>
        </w:tc>
        <w:tc>
          <w:tcPr>
            <w:tcW w:w="701" w:type="dxa"/>
            <w:vAlign w:val="center"/>
          </w:tcPr>
          <w:p>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16"/>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Piekļuve </w:t>
            </w:r>
          </w:p>
        </w:tc>
        <w:tc>
          <w:tcPr>
            <w:tcW w:w="720" w:type="dxa"/>
          </w:tcPr>
          <w:p>
            <w:pPr>
              <w:ind w:right="-29"/>
              <w:jc w:val="center"/>
              <w:rPr>
                <w:noProof/>
                <w:sz w:val="18"/>
                <w:szCs w:val="18"/>
              </w:rPr>
            </w:pPr>
            <w:r>
              <w:rPr>
                <w:noProof/>
                <w:sz w:val="18"/>
              </w:rPr>
              <w:t>Ikgad.</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11,6</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11,6</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11,6</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11,6</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11,6</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58</w:t>
            </w:r>
          </w:p>
        </w:tc>
      </w:tr>
      <w:tr>
        <w:trPr>
          <w:gridAfter w:val="1"/>
          <w:wAfter w:w="12" w:type="dxa"/>
          <w:trHeight w:hRule="exact" w:val="369"/>
          <w:jc w:val="center"/>
        </w:trPr>
        <w:tc>
          <w:tcPr>
            <w:tcW w:w="1423" w:type="dxa"/>
          </w:tcPr>
          <w:p>
            <w:pPr>
              <w:ind w:right="-29"/>
              <w:jc w:val="center"/>
              <w:rPr>
                <w:noProof/>
                <w:sz w:val="18"/>
                <w:szCs w:val="18"/>
              </w:rPr>
            </w:pPr>
            <w:r>
              <w:rPr>
                <w:noProof/>
                <w:sz w:val="18"/>
              </w:rPr>
              <w:t>– Noz. atbalsts</w:t>
            </w:r>
          </w:p>
        </w:tc>
        <w:tc>
          <w:tcPr>
            <w:tcW w:w="720" w:type="dxa"/>
          </w:tcPr>
          <w:p>
            <w:pPr>
              <w:ind w:right="-29"/>
              <w:jc w:val="center"/>
              <w:rPr>
                <w:noProof/>
                <w:sz w:val="18"/>
                <w:szCs w:val="18"/>
              </w:rPr>
            </w:pPr>
            <w:r>
              <w:rPr>
                <w:noProof/>
                <w:sz w:val="18"/>
              </w:rPr>
              <w:t>Ikgad.</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4</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4</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w:t>
            </w:r>
          </w:p>
        </w:tc>
      </w:tr>
      <w:tr>
        <w:trPr>
          <w:gridAfter w:val="1"/>
          <w:wAfter w:w="12" w:type="dxa"/>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KOPSUMMAS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78</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t>3.2.3.</w:t>
      </w:r>
      <w:r>
        <w:tab/>
      </w:r>
      <w:r>
        <w:rPr>
          <w:noProof/>
        </w:rPr>
        <w:t>Kopsavilkums par aplēsto ietekmi uz administratīvajām apropriācijām</w:t>
      </w:r>
      <w:bookmarkEnd w:id="59"/>
      <w:bookmarkEnd w:id="60"/>
      <w:r>
        <w:rPr>
          <w:noProof/>
        </w:rPr>
        <w:t xml:space="preserve"> </w:t>
      </w:r>
    </w:p>
    <w:p>
      <w:pPr>
        <w:pStyle w:val="ListDash1"/>
        <w:rPr>
          <w:noProof/>
        </w:rPr>
      </w:pPr>
      <w:r>
        <w:rPr>
          <w:noProof/>
        </w:rPr>
        <w:t>X</w:t>
      </w:r>
      <w:r>
        <w:rPr>
          <w:noProof/>
        </w:rPr>
        <w:tab/>
        <w:t xml:space="preserve">Priekšlikums/iniciatīva neparedz izmantot administratīvās apropriācijas </w:t>
      </w:r>
    </w:p>
    <w:p>
      <w:pPr>
        <w:pStyle w:val="ListDash1"/>
        <w:rPr>
          <w:noProof/>
        </w:rPr>
      </w:pPr>
      <w:r>
        <w:rPr>
          <w:noProof/>
        </w:rPr>
        <w:sym w:font="Wingdings" w:char="F0A8"/>
      </w:r>
      <w:r>
        <w:rPr>
          <w:noProof/>
        </w:rPr>
        <w:tab/>
        <w:t>Priekšlikums/iniciatīva paredz izmantot administratīvās apropriācijas šādā veidā:</w:t>
      </w:r>
    </w:p>
    <w:p>
      <w:pPr>
        <w:jc w:val="right"/>
        <w:rPr>
          <w:noProof/>
          <w:sz w:val="20"/>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N</w:t>
            </w:r>
            <w:r>
              <w:rPr>
                <w:noProof/>
              </w:rPr>
              <w:br/>
            </w:r>
            <w:r>
              <w:rPr>
                <w:noProof/>
                <w:sz w:val="16"/>
              </w:rPr>
              <w:t>gads</w:t>
            </w:r>
            <w:r>
              <w:rPr>
                <w:rStyle w:val="FootnoteReference"/>
                <w:noProof/>
                <w:sz w:val="16"/>
              </w:rPr>
              <w:footnoteReference w:id="17"/>
            </w:r>
          </w:p>
        </w:tc>
        <w:tc>
          <w:tcPr>
            <w:tcW w:w="1080" w:type="dxa"/>
            <w:vAlign w:val="center"/>
          </w:tcPr>
          <w:p>
            <w:pPr>
              <w:spacing w:before="60" w:after="60" w:line="200" w:lineRule="exact"/>
              <w:jc w:val="center"/>
              <w:rPr>
                <w:noProof/>
                <w:sz w:val="16"/>
                <w:szCs w:val="16"/>
              </w:rPr>
            </w:pPr>
            <w:r>
              <w:rPr>
                <w:b/>
                <w:noProof/>
                <w:sz w:val="16"/>
              </w:rPr>
              <w:t>N+1</w:t>
            </w:r>
            <w:r>
              <w:rPr>
                <w:noProof/>
              </w:rPr>
              <w:br/>
            </w:r>
            <w:r>
              <w:rPr>
                <w:noProof/>
                <w:sz w:val="16"/>
              </w:rPr>
              <w:t>gads</w:t>
            </w:r>
          </w:p>
        </w:tc>
        <w:tc>
          <w:tcPr>
            <w:tcW w:w="1080" w:type="dxa"/>
            <w:vAlign w:val="center"/>
          </w:tcPr>
          <w:p>
            <w:pPr>
              <w:spacing w:before="60" w:after="60" w:line="200" w:lineRule="exact"/>
              <w:jc w:val="center"/>
              <w:rPr>
                <w:noProof/>
                <w:sz w:val="16"/>
                <w:szCs w:val="16"/>
              </w:rPr>
            </w:pPr>
            <w:r>
              <w:rPr>
                <w:b/>
                <w:noProof/>
                <w:sz w:val="16"/>
              </w:rPr>
              <w:t>N+2</w:t>
            </w:r>
            <w:r>
              <w:rPr>
                <w:noProof/>
              </w:rPr>
              <w:br/>
            </w:r>
            <w:r>
              <w:rPr>
                <w:noProof/>
                <w:sz w:val="16"/>
              </w:rPr>
              <w:t>gads</w:t>
            </w:r>
          </w:p>
        </w:tc>
        <w:tc>
          <w:tcPr>
            <w:tcW w:w="1080" w:type="dxa"/>
            <w:vAlign w:val="center"/>
          </w:tcPr>
          <w:p>
            <w:pPr>
              <w:spacing w:before="60" w:after="60" w:line="200" w:lineRule="exact"/>
              <w:jc w:val="center"/>
              <w:rPr>
                <w:noProof/>
                <w:sz w:val="16"/>
                <w:szCs w:val="16"/>
              </w:rPr>
            </w:pPr>
            <w:r>
              <w:rPr>
                <w:b/>
                <w:noProof/>
                <w:sz w:val="16"/>
              </w:rPr>
              <w:t>N+3</w:t>
            </w:r>
            <w:r>
              <w:rPr>
                <w:noProof/>
              </w:rPr>
              <w:br/>
            </w:r>
            <w:r>
              <w:rPr>
                <w:noProof/>
                <w:sz w:val="16"/>
              </w:rPr>
              <w:t>gads</w:t>
            </w: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 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daudzgadu finanšu shēmas 5. IZDEVUMU KATEGORIJA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 5. IZDEVUMU KATEGORIJAS</w:t>
            </w:r>
            <w:r>
              <w:rPr>
                <w:rStyle w:val="FootnoteReference"/>
                <w:b/>
                <w:noProof/>
                <w:sz w:val="16"/>
              </w:rPr>
              <w:footnoteReference w:id="18"/>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Pārējie 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ārpus daudzgadu finanšu shēmas 5. IZDEVUMU 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Paredzamās vajadzības pēc cilvēkresursiem </w:t>
      </w:r>
    </w:p>
    <w:p>
      <w:pPr>
        <w:pStyle w:val="ListDash1"/>
        <w:rPr>
          <w:noProof/>
        </w:rPr>
      </w:pPr>
      <w:r>
        <w:rPr>
          <w:noProof/>
        </w:rPr>
        <w:t>X</w:t>
      </w:r>
      <w:r>
        <w:rPr>
          <w:noProof/>
        </w:rPr>
        <w:tab/>
        <w:t xml:space="preserve">Priekšlikums/iniciatīva neparedz cilvēkresursu izmantošanu </w:t>
      </w:r>
    </w:p>
    <w:p>
      <w:pPr>
        <w:pStyle w:val="ListDash1"/>
        <w:rPr>
          <w:noProof/>
        </w:rPr>
      </w:pPr>
      <w:r>
        <w:rPr>
          <w:noProof/>
        </w:rPr>
        <w:sym w:font="Wingdings" w:char="F0A8"/>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N</w:t>
            </w:r>
            <w:r>
              <w:rPr>
                <w:noProof/>
              </w:rPr>
              <w:br/>
            </w:r>
            <w:r>
              <w:rPr>
                <w:noProof/>
                <w:sz w:val="16"/>
              </w:rPr>
              <w:t>gads</w:t>
            </w:r>
          </w:p>
        </w:tc>
        <w:tc>
          <w:tcPr>
            <w:tcW w:w="600" w:type="dxa"/>
            <w:shd w:val="clear" w:color="auto" w:fill="auto"/>
            <w:vAlign w:val="center"/>
          </w:tcPr>
          <w:p>
            <w:pPr>
              <w:spacing w:before="20" w:after="20"/>
              <w:jc w:val="center"/>
              <w:rPr>
                <w:noProof/>
                <w:sz w:val="16"/>
                <w:szCs w:val="16"/>
              </w:rPr>
            </w:pPr>
            <w:r>
              <w:rPr>
                <w:b/>
                <w:noProof/>
                <w:sz w:val="16"/>
              </w:rPr>
              <w:t>N+1</w:t>
            </w:r>
            <w:r>
              <w:rPr>
                <w:noProof/>
              </w:rPr>
              <w:br/>
            </w:r>
            <w:r>
              <w:rPr>
                <w:noProof/>
                <w:sz w:val="16"/>
              </w:rPr>
              <w:t>gads</w:t>
            </w:r>
          </w:p>
        </w:tc>
        <w:tc>
          <w:tcPr>
            <w:tcW w:w="600" w:type="dxa"/>
            <w:shd w:val="clear" w:color="auto" w:fill="auto"/>
            <w:vAlign w:val="center"/>
          </w:tcPr>
          <w:p>
            <w:pPr>
              <w:spacing w:before="20" w:after="20"/>
              <w:jc w:val="center"/>
              <w:rPr>
                <w:noProof/>
                <w:sz w:val="16"/>
                <w:szCs w:val="16"/>
              </w:rPr>
            </w:pPr>
            <w:r>
              <w:rPr>
                <w:b/>
                <w:noProof/>
                <w:sz w:val="16"/>
              </w:rPr>
              <w:t>N+2</w:t>
            </w:r>
            <w:r>
              <w:rPr>
                <w:noProof/>
                <w:sz w:val="16"/>
              </w:rPr>
              <w:t xml:space="preserve"> gads</w:t>
            </w:r>
          </w:p>
        </w:tc>
        <w:tc>
          <w:tcPr>
            <w:tcW w:w="600" w:type="dxa"/>
            <w:shd w:val="clear" w:color="auto" w:fill="auto"/>
            <w:vAlign w:val="center"/>
          </w:tcPr>
          <w:p>
            <w:pPr>
              <w:spacing w:before="20" w:after="20"/>
              <w:jc w:val="center"/>
              <w:rPr>
                <w:noProof/>
                <w:sz w:val="16"/>
                <w:szCs w:val="16"/>
              </w:rPr>
            </w:pPr>
            <w:r>
              <w:rPr>
                <w:b/>
                <w:noProof/>
                <w:sz w:val="16"/>
              </w:rPr>
              <w:t>N+3</w:t>
            </w:r>
            <w:r>
              <w:rPr>
                <w:noProof/>
                <w:sz w:val="16"/>
              </w:rPr>
              <w:t xml:space="preserve"> gads</w:t>
            </w:r>
          </w:p>
        </w:tc>
        <w:tc>
          <w:tcPr>
            <w:tcW w:w="600" w:type="dxa"/>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sz w:val="16"/>
              </w:rPr>
              <w:t>Štatu sarakstā ietvertās amata vietas (ierēdņi un pagaidu darbinieki)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(Netiešā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 xml:space="preserve">Ārštata darbinieki (izsakot ar pilnslodzes ekvivalentu – </w:t>
            </w:r>
            <w:r>
              <w:rPr>
                <w:b/>
                <w:i/>
                <w:noProof/>
                <w:sz w:val="16"/>
              </w:rPr>
              <w:t>FTE</w:t>
            </w:r>
            <w:r>
              <w:rPr>
                <w:b/>
                <w:noProof/>
                <w:sz w:val="16"/>
              </w:rPr>
              <w:t>)</w:t>
            </w:r>
            <w:r>
              <w:rPr>
                <w:rStyle w:val="FootnoteReference"/>
                <w:b/>
                <w:noProof/>
                <w:sz w:val="16"/>
              </w:rPr>
              <w:footnoteReference w:id="19"/>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ko finansē no vispārīgajām apropriācijām)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CA</w:t>
            </w:r>
            <w:r>
              <w:rPr>
                <w:noProof/>
                <w:sz w:val="16"/>
              </w:rPr>
              <w:t xml:space="preserve">, </w:t>
            </w:r>
            <w:r>
              <w:rPr>
                <w:i/>
                <w:noProof/>
                <w:sz w:val="16"/>
              </w:rPr>
              <w:t>LA</w:t>
            </w:r>
            <w:r>
              <w:rPr>
                <w:noProof/>
                <w:sz w:val="16"/>
              </w:rPr>
              <w:t xml:space="preserve">, </w:t>
            </w:r>
            <w:r>
              <w:rPr>
                <w:i/>
                <w:noProof/>
                <w:sz w:val="16"/>
              </w:rPr>
              <w:t>SNE</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0"/>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02/12/22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xml:space="preserve"> – netiešā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xml:space="preserve"> – 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rPr>
              <w:t>Protokola īstenošana (maksājumi, Savienības kuģu piekļuve Gvinejas-Bisavas ūdeņiem, zvejas atļauju apstrāde), apvienotās komitejas sanāksmju sagatavošana un turpmākie pasākumi, sagatavošanās protokola atjaunošanai, neatkarīgs izvērtējums, likumdošanas procedūras un sarunu risināšana.</w:t>
            </w:r>
          </w:p>
        </w:tc>
      </w:tr>
      <w:tr>
        <w:tc>
          <w:tcPr>
            <w:tcW w:w="3240" w:type="dxa"/>
          </w:tcPr>
          <w:p>
            <w:pPr>
              <w:spacing w:before="60" w:after="60"/>
              <w:rPr>
                <w:noProof/>
                <w:sz w:val="20"/>
              </w:rPr>
            </w:pPr>
            <w:r>
              <w:rPr>
                <w:noProof/>
                <w:sz w:val="20"/>
              </w:rPr>
              <w:t>Ārštata darbinieki</w:t>
            </w:r>
          </w:p>
        </w:tc>
        <w:tc>
          <w:tcPr>
            <w:tcW w:w="7200" w:type="dxa"/>
          </w:tcPr>
          <w:p>
            <w:pPr>
              <w:rPr>
                <w:noProof/>
                <w:sz w:val="20"/>
              </w:rPr>
            </w:pPr>
            <w:r>
              <w:rPr>
                <w:noProof/>
              </w:rPr>
              <w:t>Protokola īstenošana: saziņa ar Gvinejas-Bisavas iestādēm par Savienības kuģu piekļuvi Gvinejas-Bisavas ūdeņiem, zvejas atļauju apstrāde, apvienotās komitejas sanāksmju sagatavošana un turpmākie pasākumi, jo īpaši nozariskā atbalsta īstenošana.</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Saderība ar kārtējo daudzgadu finanšu shēmu</w:t>
      </w:r>
      <w:bookmarkEnd w:id="61"/>
      <w:bookmarkEnd w:id="62"/>
      <w:r>
        <w:rPr>
          <w:noProof/>
        </w:rPr>
        <w:t xml:space="preserve"> </w:t>
      </w:r>
    </w:p>
    <w:p>
      <w:pPr>
        <w:pStyle w:val="Text1"/>
        <w:rPr>
          <w:noProof/>
        </w:rPr>
      </w:pPr>
      <w:r>
        <w:rPr>
          <w:noProof/>
        </w:rPr>
        <w:t>Priekšlikuma/iniciatīvas vajadzībām:</w:t>
      </w:r>
    </w:p>
    <w:p>
      <w:pPr>
        <w:pStyle w:val="ListDash1"/>
        <w:rPr>
          <w:noProof/>
        </w:rPr>
      </w:pPr>
      <w:r>
        <w:rPr>
          <w:noProof/>
        </w:rPr>
        <w:t>X</w:t>
      </w:r>
      <w:r>
        <w:rPr>
          <w:noProof/>
        </w:rPr>
        <w:tab/>
        <w:t>pilnībā pietiek ar līdzekļu pārvietošanu daudzgadu finanšu shēmas (DFS) attiecīgajā izdevumu kategorijā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Attiecas uz rezerves pozīcijas izmantošanu (40. nodaļa).</w:t>
      </w:r>
    </w:p>
    <w:p>
      <w:pPr>
        <w:pStyle w:val="ListDash1"/>
        <w:rPr>
          <w:noProof/>
        </w:rPr>
      </w:pPr>
      <w:r>
        <w:rPr>
          <w:noProof/>
        </w:rPr>
        <w:sym w:font="Wingdings" w:char="F0A8"/>
      </w:r>
      <w:r>
        <w:rPr>
          <w:noProof/>
        </w:rPr>
        <w:tab/>
        <w:t>jāizmanto no DFS attiecīgās izdevumu kategorijas nepiešķirtās rezerves un/vai īpašie instrumenti, kas noteikti DFS regulā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Aprakstiet, kas jādara, norādot attiecīgās izdevumu kategorijas, budžeta pozīcijas un summas un instrumentus, kurus ierosināts izmantot.</w:t>
      </w:r>
    </w:p>
    <w:p>
      <w:pPr>
        <w:pStyle w:val="ListDash1"/>
        <w:rPr>
          <w:noProof/>
        </w:rPr>
      </w:pPr>
      <w:r>
        <w:rPr>
          <w:noProof/>
        </w:rPr>
        <w:sym w:font="Wingdings" w:char="F0A8"/>
      </w:r>
      <w:r>
        <w:rPr>
          <w:noProof/>
        </w:rPr>
        <w:tab/>
        <w:t>jāpārskata DFS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Aprakstiet, kas jādara, norādot attiecīgās izdevumu kategorijas, budžeta pozīcijas un summas.</w:t>
      </w:r>
    </w:p>
    <w:p>
      <w:pPr>
        <w:pStyle w:val="ManualHeading3"/>
        <w:rPr>
          <w:bCs/>
          <w:noProof/>
          <w:szCs w:val="24"/>
        </w:rPr>
      </w:pPr>
      <w:bookmarkStart w:id="63" w:name="_Toc514938058"/>
      <w:bookmarkStart w:id="64" w:name="_Toc520485056"/>
      <w:r>
        <w:t>3.2.5.</w:t>
      </w:r>
      <w:r>
        <w:tab/>
      </w:r>
      <w:r>
        <w:rPr>
          <w:noProof/>
        </w:rPr>
        <w:t>Trešo personu iemaksas</w:t>
      </w:r>
      <w:bookmarkEnd w:id="63"/>
      <w:bookmarkEnd w:id="64"/>
      <w:r>
        <w:rPr>
          <w:noProof/>
        </w:rPr>
        <w:t xml:space="preserve"> </w:t>
      </w:r>
    </w:p>
    <w:p>
      <w:pPr>
        <w:pStyle w:val="Text1"/>
        <w:rPr>
          <w:noProof/>
        </w:rPr>
      </w:pPr>
      <w:r>
        <w:rPr>
          <w:noProof/>
        </w:rPr>
        <w:t>Priekšlikums/iniciatīva:</w:t>
      </w:r>
    </w:p>
    <w:p>
      <w:pPr>
        <w:pStyle w:val="ListDash1"/>
        <w:rPr>
          <w:noProof/>
        </w:rPr>
      </w:pPr>
      <w:r>
        <w:rPr>
          <w:noProof/>
        </w:rPr>
        <w:t>X</w:t>
      </w:r>
      <w:r>
        <w:rPr>
          <w:noProof/>
        </w:rPr>
        <w:tab/>
        <w:t>neparedz trešo personu līdzfinansējumu</w:t>
      </w:r>
    </w:p>
    <w:p>
      <w:pPr>
        <w:pStyle w:val="ListDash1"/>
        <w:rPr>
          <w:noProof/>
        </w:rPr>
      </w:pPr>
      <w:r>
        <w:rPr>
          <w:noProof/>
        </w:rPr>
        <w:sym w:font="Wingdings" w:char="F0A8"/>
      </w:r>
      <w:r>
        <w:rPr>
          <w:noProof/>
        </w:rPr>
        <w:tab/>
        <w:t>paredz trešo personu sniegtu līdzfinansējumu atbilstoši šādai aplēsei:</w:t>
      </w:r>
    </w:p>
    <w:p>
      <w:pPr>
        <w:jc w:val="right"/>
        <w:rPr>
          <w:noProof/>
          <w:sz w:val="20"/>
        </w:rPr>
      </w:pPr>
      <w:r>
        <w:rPr>
          <w:noProof/>
          <w:sz w:val="20"/>
        </w:rPr>
        <w:t>Apropriācijas miljonos EUR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noProof/>
              </w:rPr>
              <w:br/>
            </w:r>
            <w:r>
              <w:rPr>
                <w:noProof/>
                <w:sz w:val="20"/>
              </w:rPr>
              <w:t>gads</w:t>
            </w:r>
            <w:r>
              <w:rPr>
                <w:rStyle w:val="FootnoteReference"/>
                <w:noProof/>
                <w:sz w:val="20"/>
              </w:rPr>
              <w:footnoteReference w:id="21"/>
            </w:r>
          </w:p>
        </w:tc>
        <w:tc>
          <w:tcPr>
            <w:tcW w:w="964" w:type="dxa"/>
            <w:vAlign w:val="center"/>
          </w:tcPr>
          <w:p>
            <w:pPr>
              <w:jc w:val="center"/>
              <w:rPr>
                <w:noProof/>
                <w:sz w:val="20"/>
              </w:rPr>
            </w:pPr>
            <w:r>
              <w:rPr>
                <w:b/>
                <w:noProof/>
                <w:sz w:val="20"/>
              </w:rPr>
              <w:t>N+1</w:t>
            </w:r>
            <w:r>
              <w:rPr>
                <w:noProof/>
              </w:rPr>
              <w:br/>
            </w:r>
            <w:r>
              <w:rPr>
                <w:noProof/>
                <w:sz w:val="20"/>
              </w:rPr>
              <w:t>gads</w:t>
            </w:r>
          </w:p>
        </w:tc>
        <w:tc>
          <w:tcPr>
            <w:tcW w:w="964" w:type="dxa"/>
            <w:vAlign w:val="center"/>
          </w:tcPr>
          <w:p>
            <w:pPr>
              <w:jc w:val="center"/>
              <w:rPr>
                <w:noProof/>
                <w:sz w:val="20"/>
              </w:rPr>
            </w:pPr>
            <w:r>
              <w:rPr>
                <w:b/>
                <w:noProof/>
                <w:sz w:val="20"/>
              </w:rPr>
              <w:t>N+2</w:t>
            </w:r>
            <w:r>
              <w:rPr>
                <w:noProof/>
              </w:rPr>
              <w:br/>
            </w:r>
            <w:r>
              <w:rPr>
                <w:noProof/>
                <w:sz w:val="20"/>
              </w:rPr>
              <w:t>gads</w:t>
            </w:r>
          </w:p>
        </w:tc>
        <w:tc>
          <w:tcPr>
            <w:tcW w:w="964" w:type="dxa"/>
            <w:vAlign w:val="center"/>
          </w:tcPr>
          <w:p>
            <w:pPr>
              <w:jc w:val="center"/>
              <w:rPr>
                <w:noProof/>
                <w:sz w:val="20"/>
              </w:rPr>
            </w:pPr>
            <w:r>
              <w:rPr>
                <w:b/>
                <w:noProof/>
                <w:sz w:val="20"/>
              </w:rPr>
              <w:t>N+3</w:t>
            </w:r>
            <w:r>
              <w:rPr>
                <w:noProof/>
              </w:rPr>
              <w:br/>
            </w:r>
            <w:r>
              <w:rPr>
                <w:noProof/>
                <w:sz w:val="20"/>
              </w:rPr>
              <w:t>gads</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Paredzamā ietekme uz ieņēmumiem</w:t>
      </w:r>
      <w:bookmarkEnd w:id="65"/>
      <w:bookmarkEnd w:id="66"/>
      <w:r>
        <w:rPr>
          <w:noProof/>
        </w:rPr>
        <w:t xml:space="preserve"> </w:t>
      </w:r>
    </w:p>
    <w:p>
      <w:pPr>
        <w:pStyle w:val="ListDash1"/>
        <w:rPr>
          <w:noProof/>
        </w:rPr>
      </w:pPr>
      <w:r>
        <w:rPr>
          <w:noProof/>
        </w:rPr>
        <w:t>X</w:t>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dažādus ieņēmumus</w:t>
      </w:r>
    </w:p>
    <w:p>
      <w:pPr>
        <w:pStyle w:val="ListNumberLevel3"/>
        <w:rPr>
          <w:noProof/>
        </w:rPr>
      </w:pPr>
      <w:r>
        <w:rPr>
          <w:noProof/>
        </w:rPr>
        <w:t>Norādiet, ja ieņēmumi ir piešķirti izdevumu pozīcijām </w:t>
      </w:r>
      <w:r>
        <w:rPr>
          <w:noProof/>
        </w:rPr>
        <w:sym w:font="Wingdings" w:char="F0A8"/>
      </w:r>
      <w:r>
        <w:rPr>
          <w:noProof/>
        </w:rPr>
        <w:tab/>
      </w:r>
    </w:p>
    <w:p>
      <w:pPr>
        <w:ind w:left="4320"/>
        <w:rPr>
          <w:i/>
          <w:noProof/>
          <w:sz w:val="20"/>
        </w:rPr>
      </w:pPr>
      <w:r>
        <w:rPr>
          <w:noProof/>
        </w:rPr>
        <w:t xml:space="preserve">     miljonos EUR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325" w:type="dxa"/>
            <w:vMerge w:val="restart"/>
            <w:vAlign w:val="center"/>
          </w:tcPr>
          <w:p>
            <w:pPr>
              <w:jc w:val="center"/>
              <w:rPr>
                <w:noProof/>
                <w:sz w:val="18"/>
              </w:rPr>
            </w:pPr>
            <w:r>
              <w:rPr>
                <w:noProof/>
                <w:sz w:val="18"/>
              </w:rPr>
              <w:t>Kārtējā finanšu gadā pieejamās apropriācijas</w:t>
            </w:r>
          </w:p>
        </w:tc>
        <w:tc>
          <w:tcPr>
            <w:tcW w:w="7151" w:type="dxa"/>
            <w:gridSpan w:val="7"/>
            <w:vAlign w:val="center"/>
          </w:tcPr>
          <w:p>
            <w:pPr>
              <w:jc w:val="center"/>
              <w:rPr>
                <w:noProof/>
                <w:sz w:val="18"/>
              </w:rPr>
            </w:pPr>
            <w:r>
              <w:rPr>
                <w:noProof/>
                <w:sz w:val="18"/>
              </w:rPr>
              <w:t>Priekšlikuma/iniciatīvas ietekme</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N</w:t>
            </w:r>
            <w:r>
              <w:rPr>
                <w:noProof/>
              </w:rPr>
              <w:br/>
            </w:r>
            <w:r>
              <w:rPr>
                <w:noProof/>
                <w:sz w:val="18"/>
              </w:rPr>
              <w:t>gads</w:t>
            </w:r>
          </w:p>
        </w:tc>
        <w:tc>
          <w:tcPr>
            <w:tcW w:w="900" w:type="dxa"/>
            <w:vAlign w:val="center"/>
          </w:tcPr>
          <w:p>
            <w:pPr>
              <w:jc w:val="center"/>
              <w:rPr>
                <w:noProof/>
                <w:sz w:val="18"/>
              </w:rPr>
            </w:pPr>
            <w:r>
              <w:rPr>
                <w:b/>
                <w:noProof/>
                <w:sz w:val="18"/>
              </w:rPr>
              <w:t>N+1</w:t>
            </w:r>
            <w:r>
              <w:rPr>
                <w:noProof/>
              </w:rPr>
              <w:br/>
            </w:r>
            <w:r>
              <w:rPr>
                <w:noProof/>
                <w:sz w:val="18"/>
              </w:rPr>
              <w:t>gads</w:t>
            </w:r>
          </w:p>
        </w:tc>
        <w:tc>
          <w:tcPr>
            <w:tcW w:w="900" w:type="dxa"/>
            <w:vAlign w:val="center"/>
          </w:tcPr>
          <w:p>
            <w:pPr>
              <w:jc w:val="center"/>
              <w:rPr>
                <w:noProof/>
                <w:sz w:val="18"/>
              </w:rPr>
            </w:pPr>
            <w:r>
              <w:rPr>
                <w:b/>
                <w:noProof/>
                <w:sz w:val="18"/>
              </w:rPr>
              <w:t>N+2</w:t>
            </w:r>
            <w:r>
              <w:rPr>
                <w:noProof/>
              </w:rPr>
              <w:br/>
            </w:r>
            <w:r>
              <w:rPr>
                <w:noProof/>
                <w:sz w:val="18"/>
              </w:rPr>
              <w:t>gads</w:t>
            </w:r>
          </w:p>
        </w:tc>
        <w:tc>
          <w:tcPr>
            <w:tcW w:w="1080" w:type="dxa"/>
            <w:vAlign w:val="center"/>
          </w:tcPr>
          <w:p>
            <w:pPr>
              <w:jc w:val="center"/>
              <w:rPr>
                <w:noProof/>
                <w:sz w:val="18"/>
              </w:rPr>
            </w:pPr>
            <w:r>
              <w:rPr>
                <w:b/>
                <w:noProof/>
                <w:sz w:val="18"/>
              </w:rPr>
              <w:t>N+3</w:t>
            </w:r>
            <w:r>
              <w:rPr>
                <w:noProof/>
              </w:rPr>
              <w:br/>
            </w:r>
            <w:r>
              <w:rPr>
                <w:noProof/>
                <w:sz w:val="18"/>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piešķirtajiem ieņēmumiem norādīt attiecīgo budžeta izdevumu pozīciju (pozīcijas).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Citas piezīmes (piem., metode/formula, ko izmanto, lai aprēķinātu ietekmi uz ieņēmumiem, vai jebkura cita informācija).</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Pieņemtas Vides padomē 2017. gada 28. februārī.</w:t>
      </w:r>
    </w:p>
  </w:footnote>
  <w:footnote w:id="2">
    <w:p>
      <w:pPr>
        <w:pStyle w:val="FootnoteText"/>
        <w:rPr>
          <w:lang w:val="nb-NO"/>
        </w:rPr>
      </w:pPr>
      <w:r>
        <w:rPr>
          <w:rStyle w:val="FootnoteReference"/>
        </w:rPr>
        <w:footnoteRef/>
      </w:r>
      <w:r>
        <w:tab/>
        <w:t>OV L 342, 27.12.2007., 5. lpp.</w:t>
      </w:r>
    </w:p>
  </w:footnote>
  <w:footnote w:id="3">
    <w:p>
      <w:pPr>
        <w:pStyle w:val="FootnoteText"/>
        <w:rPr>
          <w:lang w:val="nb-NO"/>
        </w:rPr>
      </w:pPr>
      <w:r>
        <w:rPr>
          <w:rStyle w:val="FootnoteReference"/>
        </w:rPr>
        <w:footnoteRef/>
      </w:r>
      <w:r>
        <w:tab/>
        <w:t>OV L 354, 28.12.2013., 22. lpp.</w:t>
      </w:r>
    </w:p>
  </w:footnote>
  <w:footnote w:id="4">
    <w:p>
      <w:pPr>
        <w:pStyle w:val="FootnoteText"/>
        <w:rPr>
          <w:lang w:val="nb-NO"/>
        </w:rPr>
      </w:pPr>
      <w:r>
        <w:rPr>
          <w:rStyle w:val="FootnoteReference"/>
        </w:rPr>
        <w:footnoteRef/>
      </w:r>
      <w:r>
        <w:tab/>
        <w:t>SWD (2017) 19 final, 18.1.2017.</w:t>
      </w:r>
    </w:p>
  </w:footnote>
  <w:footnote w:id="5">
    <w:p>
      <w:pPr>
        <w:pStyle w:val="FootnoteText"/>
        <w:rPr>
          <w:lang w:val="nb-NO"/>
        </w:rPr>
      </w:pPr>
      <w:r>
        <w:rPr>
          <w:rStyle w:val="FootnoteReference"/>
        </w:rPr>
        <w:footnoteRef/>
      </w:r>
      <w:r>
        <w:tab/>
        <w:t>Saskaņā ar Iestāžu nolīgumu par sadarbību budžeta jautājumos (2013/C 373/01).</w:t>
      </w:r>
    </w:p>
  </w:footnote>
  <w:footnote w:id="6">
    <w:p>
      <w:pPr>
        <w:pStyle w:val="FootnoteText"/>
        <w:ind w:left="0" w:firstLine="0"/>
        <w:rPr>
          <w:lang w:val="nb-NO"/>
        </w:rPr>
      </w:pPr>
      <w:r>
        <w:rPr>
          <w:rStyle w:val="FootnoteReference"/>
        </w:rPr>
        <w:footnoteRef/>
      </w:r>
      <w:r>
        <w:tab/>
        <w:t>Padomes 2008. gada 17. marta Regula (EK) Nr. 241/2008 par to, lai noslēgtu Partnerattiecību nolīgumu zivsaimniecības nozarē starp Eiropas Kopienu un Gvinejas-Bisavas Republiku (OV L 75, 18.3.2008., 49. lpp.).</w:t>
      </w:r>
    </w:p>
  </w:footnote>
  <w:footnote w:id="7">
    <w:p>
      <w:pPr>
        <w:pStyle w:val="FootnoteText"/>
        <w:rPr>
          <w:lang w:val="nb-NO"/>
        </w:rPr>
      </w:pPr>
      <w:r>
        <w:rPr>
          <w:rStyle w:val="FootnoteReference"/>
        </w:rPr>
        <w:footnoteRef/>
      </w:r>
      <w:r>
        <w:tab/>
        <w:t>OV L 342, 27.12.2007., 5. lpp.</w:t>
      </w:r>
    </w:p>
  </w:footnote>
  <w:footnote w:id="8">
    <w:p>
      <w:pPr>
        <w:pStyle w:val="FootnoteText"/>
        <w:rPr>
          <w:szCs w:val="24"/>
        </w:rPr>
      </w:pPr>
      <w:r>
        <w:rPr>
          <w:rStyle w:val="FootnoteReference"/>
        </w:rPr>
        <w:footnoteRef/>
      </w:r>
      <w:r>
        <w:tab/>
        <w:t>Kā paredzēts Finanšu regulas 58. panta 2. punkta attiecīgi a) un b) apakšpunktā.</w:t>
      </w:r>
    </w:p>
  </w:footnote>
  <w:footnote w:id="9">
    <w:p>
      <w:pPr>
        <w:pStyle w:val="FootnoteText"/>
        <w:jc w:val="left"/>
        <w:rPr>
          <w:szCs w:val="24"/>
        </w:rPr>
      </w:pPr>
      <w:r>
        <w:rPr>
          <w:rStyle w:val="FootnoteReference"/>
        </w:rPr>
        <w:footnoteRef/>
      </w:r>
      <w:r>
        <w:tab/>
        <w:t xml:space="preserve">Skaidrojumus par pārvaldības veidiem un atsauces uz Finanšu regulu skatīt </w:t>
      </w:r>
      <w:r>
        <w:rPr>
          <w:i/>
        </w:rPr>
        <w:t>BudgWeb</w:t>
      </w:r>
      <w:r>
        <w:t xml:space="preserve"> tīmekļvietnē: </w:t>
      </w:r>
      <w:hyperlink r:id="rId1">
        <w:r>
          <w:rPr>
            <w:rStyle w:val="Hyperlink"/>
          </w:rPr>
          <w:t>https://myintracomm.ec.europa.eu/budgweb/FR/man/budgmanag/Pages/budgmanag.aspx.</w:t>
        </w:r>
      </w:hyperlink>
      <w:r>
        <w:t xml:space="preserve"> </w:t>
      </w:r>
    </w:p>
  </w:footnote>
  <w:footnote w:id="10">
    <w:p>
      <w:pPr>
        <w:pStyle w:val="FootnoteText"/>
        <w:rPr>
          <w:szCs w:val="24"/>
        </w:rPr>
      </w:pPr>
      <w:r>
        <w:rPr>
          <w:rStyle w:val="FootnoteReference"/>
        </w:rPr>
        <w:footnoteRef/>
      </w:r>
      <w:r>
        <w:tab/>
        <w:t>Dif. – diferencētās apropriācijas, nedif. – nediferencētās apropriācijas.</w:t>
      </w:r>
    </w:p>
  </w:footnote>
  <w:footnote w:id="11">
    <w:p>
      <w:pPr>
        <w:pStyle w:val="FootnoteText"/>
        <w:rPr>
          <w:szCs w:val="24"/>
        </w:rPr>
      </w:pPr>
      <w:r>
        <w:rPr>
          <w:rStyle w:val="FootnoteReference"/>
        </w:rPr>
        <w:footnoteRef/>
      </w:r>
      <w:r>
        <w:tab/>
        <w:t xml:space="preserve">EBTA – Eiropas Brīvās tirdzniecības asociācija. </w:t>
      </w:r>
    </w:p>
  </w:footnote>
  <w:footnote w:id="12">
    <w:p>
      <w:pPr>
        <w:pStyle w:val="FootnoteText"/>
        <w:rPr>
          <w:szCs w:val="24"/>
        </w:rPr>
      </w:pPr>
      <w:r>
        <w:rPr>
          <w:rStyle w:val="FootnoteReference"/>
        </w:rPr>
        <w:footnoteRef/>
      </w:r>
      <w:r>
        <w:tab/>
        <w:t>Kandidātvalstis un – attiecīgā gadījumā – potenciālās kandidātvalstis no Rietumbalkāniem.</w:t>
      </w:r>
    </w:p>
  </w:footnote>
  <w:footnote w:id="13">
    <w:p>
      <w:pPr>
        <w:pStyle w:val="FootnoteText"/>
        <w:rPr>
          <w:sz w:val="18"/>
          <w:szCs w:val="18"/>
        </w:rPr>
      </w:pPr>
      <w:r>
        <w:rPr>
          <w:rStyle w:val="FootnoteReference"/>
        </w:rPr>
        <w:footnoteRef/>
      </w:r>
      <w:r>
        <w:tab/>
      </w:r>
      <w:r>
        <w:rPr>
          <w:sz w:val="18"/>
        </w:rPr>
        <w:t>Saskaņā ar oficiālo budžeta nomenklatūru.</w:t>
      </w:r>
    </w:p>
  </w:footnote>
  <w:footnote w:id="14">
    <w:p>
      <w:pPr>
        <w:pStyle w:val="FootnoteText"/>
        <w:rPr>
          <w:szCs w:val="24"/>
        </w:rPr>
      </w:pPr>
      <w:r>
        <w:rPr>
          <w:rStyle w:val="FootnoteReference"/>
        </w:rPr>
        <w:footnoteRef/>
      </w:r>
      <w:r>
        <w:tab/>
      </w:r>
      <w:r>
        <w:rPr>
          <w:sz w:val="18"/>
        </w:rPr>
        <w:t>Tehniskais un/vai administratīvais atbalsts un ES programmu un/vai darbību īstenošanas atbalsta izdevumi (kādreizējās “</w:t>
      </w:r>
      <w:r>
        <w:rPr>
          <w:i/>
          <w:sz w:val="18"/>
        </w:rPr>
        <w:t>BA</w:t>
      </w:r>
      <w:r>
        <w:rPr>
          <w:sz w:val="18"/>
        </w:rPr>
        <w:t>” pozīcijas), netiešā pētniecība, tiešā pētniecība.</w:t>
      </w:r>
    </w:p>
  </w:footnote>
  <w:footnote w:id="15">
    <w:p>
      <w:pPr>
        <w:pStyle w:val="FootnoteText"/>
        <w:rPr>
          <w:szCs w:val="24"/>
        </w:rPr>
      </w:pPr>
      <w:r>
        <w:rPr>
          <w:rStyle w:val="FootnoteReference"/>
        </w:rPr>
        <w:footnoteRef/>
      </w:r>
      <w:r>
        <w:tab/>
        <w:t>Rezultāti ir attiecīgie produkti vai pakalpojumi (piemēram, finansēto studentu apmaiņu skaits, uzbūvēto ceļu garums kilometros utt.).</w:t>
      </w:r>
    </w:p>
  </w:footnote>
  <w:footnote w:id="16">
    <w:p>
      <w:pPr>
        <w:pStyle w:val="FootnoteText"/>
        <w:rPr>
          <w:szCs w:val="24"/>
        </w:rPr>
      </w:pPr>
      <w:r>
        <w:rPr>
          <w:rStyle w:val="FootnoteReference"/>
        </w:rPr>
        <w:footnoteRef/>
      </w:r>
      <w:r>
        <w:tab/>
        <w:t xml:space="preserve">Konkrētie mērķi, kas norādīti 1.4.2. punktā. </w:t>
      </w:r>
    </w:p>
  </w:footnote>
  <w:footnote w:id="17">
    <w:p>
      <w:pPr>
        <w:pStyle w:val="FootnoteText"/>
        <w:rPr>
          <w:sz w:val="18"/>
          <w:szCs w:val="18"/>
        </w:rPr>
      </w:pPr>
      <w:r>
        <w:rPr>
          <w:rStyle w:val="FootnoteReference"/>
        </w:rPr>
        <w:footnoteRef/>
      </w:r>
      <w:r>
        <w:tab/>
      </w:r>
      <w:r>
        <w:rPr>
          <w:sz w:val="18"/>
        </w:rPr>
        <w:t>N gads ir gads, kurā priekšlikumu/iniciatīvu sāk īstenot. “N gada” vietā ierakstiet paredzēto pirmo īstenošanas gadu (piemēram, 2021). Tādā pašā veidā ierakstiet turpmākos gadus.</w:t>
      </w:r>
    </w:p>
  </w:footnote>
  <w:footnote w:id="18">
    <w:p>
      <w:pPr>
        <w:pStyle w:val="FootnoteText"/>
        <w:rPr>
          <w:szCs w:val="24"/>
        </w:rPr>
      </w:pPr>
      <w:r>
        <w:rPr>
          <w:rStyle w:val="FootnoteReference"/>
        </w:rPr>
        <w:footnoteRef/>
      </w:r>
      <w:r>
        <w:tab/>
      </w:r>
      <w:r>
        <w:rPr>
          <w:sz w:val="18"/>
        </w:rPr>
        <w:t>Tehniskais un/vai administratīvais atbalsts un ES programmu un/vai darbību īstenošanas atbalsta izdevumi (kādreizējās “</w:t>
      </w:r>
      <w:r>
        <w:rPr>
          <w:i/>
          <w:sz w:val="18"/>
        </w:rPr>
        <w:t>BA</w:t>
      </w:r>
      <w:r>
        <w:rPr>
          <w:sz w:val="18"/>
        </w:rPr>
        <w:t>” pozīcijas), netiešā pētniecība, tiešā pētniecība.</w:t>
      </w:r>
    </w:p>
  </w:footnote>
  <w:footnote w:id="19">
    <w:p>
      <w:pPr>
        <w:pStyle w:val="FootnoteText"/>
        <w:rPr>
          <w:szCs w:val="24"/>
        </w:rPr>
      </w:pPr>
      <w:r>
        <w:rPr>
          <w:rStyle w:val="FootnoteReference"/>
        </w:rPr>
        <w:footnoteRef/>
      </w:r>
      <w:r>
        <w:tab/>
      </w:r>
      <w:r>
        <w:rPr>
          <w:i/>
        </w:rPr>
        <w:t>CA</w:t>
      </w:r>
      <w:r>
        <w:t xml:space="preserve"> – līgumdarbinieki, </w:t>
      </w:r>
      <w:r>
        <w:rPr>
          <w:i/>
        </w:rPr>
        <w:t>LA</w:t>
      </w:r>
      <w:r>
        <w:t xml:space="preserve"> – vietējie darbinieki, </w:t>
      </w:r>
      <w:r>
        <w:rPr>
          <w:i/>
        </w:rPr>
        <w:t>SNE</w:t>
      </w:r>
      <w:r>
        <w:t xml:space="preserve"> – valstu norīkotie eksperti, </w:t>
      </w:r>
      <w:r>
        <w:rPr>
          <w:i/>
        </w:rPr>
        <w:t>INT</w:t>
      </w:r>
      <w:r>
        <w:t xml:space="preserve"> – aģentūras darbinieki, </w:t>
      </w:r>
      <w:r>
        <w:rPr>
          <w:i/>
        </w:rPr>
        <w:t>JED</w:t>
      </w:r>
      <w:r>
        <w:t xml:space="preserve"> – jaunākie eksperti delegācijās. </w:t>
      </w:r>
    </w:p>
  </w:footnote>
  <w:footnote w:id="20">
    <w:p>
      <w:pPr>
        <w:pStyle w:val="FootnoteText"/>
        <w:rPr>
          <w:szCs w:val="24"/>
        </w:rPr>
      </w:pPr>
      <w:r>
        <w:rPr>
          <w:rStyle w:val="FootnoteReference"/>
        </w:rPr>
        <w:footnoteRef/>
      </w:r>
      <w:r>
        <w:tab/>
        <w:t>Ārštata darbiniekiem paredzēto maksimālo summu finansē no darbības apropriācijām (kādreizējām “</w:t>
      </w:r>
      <w:r>
        <w:rPr>
          <w:i/>
        </w:rPr>
        <w:t>BA</w:t>
      </w:r>
      <w:r>
        <w:t>” pozīcijām).</w:t>
      </w:r>
    </w:p>
  </w:footnote>
  <w:footnote w:id="21">
    <w:p>
      <w:pPr>
        <w:pStyle w:val="FootnoteText"/>
      </w:pPr>
      <w:r>
        <w:rPr>
          <w:rStyle w:val="FootnoteReference"/>
        </w:rPr>
        <w:footnoteRef/>
      </w:r>
      <w:r>
        <w:tab/>
        <w:t>N gads ir gads, kurā priekšlikumu/iniciatīvu sāk īstenot. “N gada” vietā ierakstiet paredzēto pirmo īstenošanas gadu (piemēram, 2021). Tādā pašā veidā ierakstiet turpmākos gadus.</w:t>
      </w:r>
    </w:p>
  </w:footnote>
  <w:footnote w:id="22">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20 %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 w:numId="33">
    <w:abstractNumId w:val="21"/>
  </w:num>
  <w:num w:numId="34">
    <w:abstractNumId w:val="11"/>
  </w:num>
  <w:num w:numId="35">
    <w:abstractNumId w:val="24"/>
  </w:num>
  <w:num w:numId="36">
    <w:abstractNumId w:val="6"/>
  </w:num>
  <w:num w:numId="37">
    <w:abstractNumId w:val="12"/>
  </w:num>
  <w:num w:numId="38">
    <w:abstractNumId w:val="4"/>
  </w:num>
  <w:num w:numId="39">
    <w:abstractNumId w:val="23"/>
  </w:num>
  <w:num w:numId="40">
    <w:abstractNumId w:val="3"/>
  </w:num>
  <w:num w:numId="41">
    <w:abstractNumId w:val="13"/>
  </w:num>
  <w:num w:numId="42">
    <w:abstractNumId w:val="19"/>
  </w:num>
  <w:num w:numId="43">
    <w:abstractNumId w:val="20"/>
  </w:num>
  <w:num w:numId="44">
    <w:abstractNumId w:val="5"/>
  </w:num>
  <w:num w:numId="45">
    <w:abstractNumId w:val="17"/>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09:19: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229EC74-836C-4142-AC4D-B1D4C426D656"/>
    <w:docVar w:name="LW_COVERPAGE_TYPE" w:val="1"/>
    <w:docVar w:name="LW_CROSSREFERENCE" w:val="&lt;UNUSED&gt;"/>
    <w:docVar w:name="LW_DocType" w:val="COM"/>
    <w:docVar w:name="LW_EMISSION" w:val="10.4.2019"/>
    <w:docVar w:name="LW_EMISSION_ISODATE" w:val="2019-04-10"/>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91"/>
    <w:docVar w:name="LW_REF.II.NEW.CP_YEAR" w:val="2019"/>
    <w:docVar w:name="LW_REF.INST.NEW" w:val="COM"/>
    <w:docVar w:name="LW_REF.INST.NEW_ADOPTED" w:val="final"/>
    <w:docVar w:name="LW_REF.INST.NEW_TEXT" w:val="(2019)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to, lai Savien\u299?bas v\u257?rd\u257? parakst\u299?tu un provizoriski piem\u275?rotu protokolu, ar kuru \u299?steno partnerattiec\u299?bu nol\u299?gumu zivsaimniec\u299?bas nozar\u275? starp Eiropas Kopienu un Gvinejas-Bisavas Republiku (2019\u8211?2024) "/>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lv-LV" w:bidi="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bidi="lv-LV"/>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bidi="lv-LV"/>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v-LV" w:eastAsia="lv-LV" w:bidi="lv-LV"/>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lv-LV" w:eastAsia="lv-LV" w:bidi="lv-LV"/>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lv-LV" w:bidi="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bidi="lv-LV"/>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bidi="lv-LV"/>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v-LV" w:eastAsia="lv-LV" w:bidi="lv-LV"/>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lv-LV" w:eastAsia="lv-LV" w:bidi="lv-LV"/>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FR/leg/internal/Documents/2016-5-legislative-financial-statement-ann-fr.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4F79E7-9409-465D-BCBE-CFE83FFD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TotalTime>
  <Pages>24</Pages>
  <Words>3844</Words>
  <Characters>27216</Characters>
  <Application>Microsoft Office Word</Application>
  <DocSecurity>0</DocSecurity>
  <Lines>1296</Lines>
  <Paragraphs>609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2019-02-19T18:13:00Z</cp:lastPrinted>
  <dcterms:created xsi:type="dcterms:W3CDTF">2019-04-02T13:06:00Z</dcterms:created>
  <dcterms:modified xsi:type="dcterms:W3CDTF">2019-04-04T07:19:00Z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