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60B5A4AA-A801-463B-9552-144C2FBAAD9B" style="width:450.75pt;height:503.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120"/>
        <w:jc w:val="center"/>
        <w:rPr>
          <w:rFonts w:cs="Times New Roman"/>
          <w:b/>
          <w:noProof/>
          <w:u w:val="single"/>
        </w:rPr>
      </w:pPr>
      <w:bookmarkStart w:id="1" w:name="_GoBack"/>
      <w:bookmarkEnd w:id="1"/>
      <w:r>
        <w:rPr>
          <w:b/>
          <w:noProof/>
          <w:u w:val="single"/>
        </w:rPr>
        <w:lastRenderedPageBreak/>
        <w:t>BIJLAGE</w:t>
      </w:r>
    </w:p>
    <w:p>
      <w:pPr>
        <w:pStyle w:val="Pa35"/>
        <w:spacing w:after="240"/>
        <w:rPr>
          <w:rFonts w:ascii="Times New Roman" w:hAnsi="Times New Roman" w:cs="Times New Roman"/>
          <w:noProof/>
          <w:color w:val="000000"/>
          <w:sz w:val="23"/>
          <w:szCs w:val="23"/>
        </w:rPr>
      </w:pPr>
      <w:r>
        <w:rPr>
          <w:rStyle w:val="A13"/>
          <w:rFonts w:ascii="Times New Roman" w:hAnsi="Times New Roman"/>
          <w:noProof/>
          <w:sz w:val="23"/>
          <w:szCs w:val="23"/>
        </w:rPr>
        <w:t>UITVOERING WETGEVINGSPRIORITEITEN</w:t>
      </w:r>
    </w:p>
    <w:tbl>
      <w:tblPr>
        <w:tblStyle w:val="TableGrid"/>
        <w:tblW w:w="11326" w:type="dxa"/>
        <w:tblInd w:w="250" w:type="dxa"/>
        <w:tblLook w:val="04A0" w:firstRow="1" w:lastRow="0" w:firstColumn="1" w:lastColumn="0" w:noHBand="0" w:noVBand="1"/>
      </w:tblPr>
      <w:tblGrid>
        <w:gridCol w:w="392"/>
        <w:gridCol w:w="10934"/>
      </w:tblGrid>
      <w:tr>
        <w:tc>
          <w:tcPr>
            <w:tcW w:w="392" w:type="dxa"/>
            <w:tcBorders>
              <w:right w:val="single" w:sz="4" w:space="0" w:color="auto"/>
            </w:tcBorders>
            <w:shd w:val="clear" w:color="auto" w:fill="00B050"/>
          </w:tcPr>
          <w:p>
            <w:pPr>
              <w:rPr>
                <w:rFonts w:cs="Times New Roman"/>
                <w:noProof/>
                <w:color w:val="000000"/>
                <w:szCs w:val="20"/>
              </w:rPr>
            </w:pPr>
          </w:p>
        </w:tc>
        <w:tc>
          <w:tcPr>
            <w:tcW w:w="10934" w:type="dxa"/>
            <w:tcBorders>
              <w:top w:val="nil"/>
              <w:left w:val="single" w:sz="4" w:space="0" w:color="auto"/>
              <w:bottom w:val="nil"/>
              <w:right w:val="nil"/>
            </w:tcBorders>
          </w:tcPr>
          <w:p>
            <w:pPr>
              <w:rPr>
                <w:rFonts w:cs="Times New Roman"/>
                <w:noProof/>
                <w:color w:val="000000"/>
                <w:szCs w:val="20"/>
              </w:rPr>
            </w:pPr>
            <w:r>
              <w:rPr>
                <w:noProof/>
              </w:rPr>
              <w:t>Ingediend en akkoord bereikt</w:t>
            </w:r>
          </w:p>
        </w:tc>
      </w:tr>
      <w:tr>
        <w:tc>
          <w:tcPr>
            <w:tcW w:w="392" w:type="dxa"/>
            <w:tcBorders>
              <w:right w:val="single" w:sz="4" w:space="0" w:color="auto"/>
            </w:tcBorders>
            <w:shd w:val="clear" w:color="auto" w:fill="FFFF00"/>
          </w:tcPr>
          <w:p>
            <w:pPr>
              <w:rPr>
                <w:rFonts w:cs="Times New Roman"/>
                <w:noProof/>
                <w:color w:val="000000"/>
                <w:szCs w:val="20"/>
              </w:rPr>
            </w:pPr>
          </w:p>
        </w:tc>
        <w:tc>
          <w:tcPr>
            <w:tcW w:w="10934" w:type="dxa"/>
            <w:tcBorders>
              <w:top w:val="nil"/>
              <w:left w:val="single" w:sz="4" w:space="0" w:color="auto"/>
              <w:bottom w:val="nil"/>
              <w:right w:val="nil"/>
            </w:tcBorders>
          </w:tcPr>
          <w:p>
            <w:pPr>
              <w:rPr>
                <w:rFonts w:cs="Times New Roman"/>
                <w:noProof/>
                <w:color w:val="000000"/>
                <w:szCs w:val="20"/>
              </w:rPr>
            </w:pPr>
            <w:r>
              <w:rPr>
                <w:noProof/>
              </w:rPr>
              <w:t>Snel akkoord mogelijk via de normale procedures</w:t>
            </w:r>
          </w:p>
        </w:tc>
      </w:tr>
      <w:tr>
        <w:tc>
          <w:tcPr>
            <w:tcW w:w="392" w:type="dxa"/>
            <w:tcBorders>
              <w:right w:val="single" w:sz="4" w:space="0" w:color="auto"/>
            </w:tcBorders>
            <w:shd w:val="clear" w:color="auto" w:fill="F79646" w:themeFill="accent6"/>
          </w:tcPr>
          <w:p>
            <w:pPr>
              <w:rPr>
                <w:rFonts w:cs="Times New Roman"/>
                <w:noProof/>
                <w:color w:val="000000"/>
                <w:szCs w:val="20"/>
              </w:rPr>
            </w:pPr>
          </w:p>
        </w:tc>
        <w:tc>
          <w:tcPr>
            <w:tcW w:w="10934" w:type="dxa"/>
            <w:tcBorders>
              <w:top w:val="nil"/>
              <w:left w:val="single" w:sz="4" w:space="0" w:color="auto"/>
              <w:bottom w:val="nil"/>
              <w:right w:val="nil"/>
            </w:tcBorders>
          </w:tcPr>
          <w:p>
            <w:pPr>
              <w:rPr>
                <w:rFonts w:cs="Times New Roman"/>
                <w:noProof/>
                <w:color w:val="000000"/>
                <w:szCs w:val="20"/>
              </w:rPr>
            </w:pPr>
            <w:r>
              <w:rPr>
                <w:noProof/>
              </w:rPr>
              <w:t>Akkoord mogelijk mits alle EU-instellingen sterke politieke wil tonen</w:t>
            </w:r>
          </w:p>
        </w:tc>
      </w:tr>
    </w:tbl>
    <w:p>
      <w:pPr>
        <w:pStyle w:val="Pa35"/>
        <w:spacing w:before="240" w:after="240"/>
        <w:rPr>
          <w:rFonts w:ascii="Times New Roman" w:hAnsi="Times New Roman" w:cs="Times New Roman"/>
          <w:noProof/>
        </w:rPr>
      </w:pPr>
      <w:r>
        <w:rPr>
          <w:rStyle w:val="A13"/>
          <w:rFonts w:ascii="Times New Roman" w:hAnsi="Times New Roman"/>
          <w:noProof/>
          <w:sz w:val="23"/>
          <w:szCs w:val="23"/>
        </w:rPr>
        <w:t>I. Initiatieven genoemd in de Staat van de Unie 2018</w:t>
      </w:r>
      <w:r>
        <w:rPr>
          <w:rStyle w:val="FootnoteReference"/>
          <w:rFonts w:ascii="Times New Roman" w:hAnsi="Times New Roman" w:cs="Times New Roman"/>
          <w:b/>
          <w:bCs/>
          <w:noProof/>
          <w:sz w:val="23"/>
          <w:szCs w:val="23"/>
        </w:rPr>
        <w:footnoteReference w:id="1"/>
      </w:r>
    </w:p>
    <w:tbl>
      <w:tblPr>
        <w:tblStyle w:val="TableGrid"/>
        <w:tblW w:w="0" w:type="auto"/>
        <w:jc w:val="center"/>
        <w:tblLook w:val="04A0" w:firstRow="1" w:lastRow="0" w:firstColumn="1" w:lastColumn="0" w:noHBand="0" w:noVBand="1"/>
      </w:tblPr>
      <w:tblGrid>
        <w:gridCol w:w="2977"/>
        <w:gridCol w:w="2683"/>
        <w:gridCol w:w="1337"/>
        <w:gridCol w:w="1337"/>
        <w:gridCol w:w="1338"/>
      </w:tblGrid>
      <w:tr>
        <w:trPr>
          <w:cantSplit/>
          <w:jc w:val="center"/>
        </w:trPr>
        <w:tc>
          <w:tcPr>
            <w:tcW w:w="2977" w:type="dxa"/>
            <w:vAlign w:val="center"/>
          </w:tcPr>
          <w:p>
            <w:pPr>
              <w:jc w:val="center"/>
              <w:rPr>
                <w:rFonts w:cs="Times New Roman"/>
                <w:b/>
                <w:noProof/>
              </w:rPr>
            </w:pPr>
            <w:r>
              <w:rPr>
                <w:b/>
                <w:noProof/>
              </w:rPr>
              <w:t>Beleid</w:t>
            </w:r>
          </w:p>
        </w:tc>
        <w:tc>
          <w:tcPr>
            <w:tcW w:w="2683" w:type="dxa"/>
            <w:vAlign w:val="center"/>
          </w:tcPr>
          <w:p>
            <w:pPr>
              <w:jc w:val="center"/>
              <w:rPr>
                <w:rFonts w:cs="Times New Roman"/>
                <w:b/>
                <w:noProof/>
              </w:rPr>
            </w:pPr>
            <w:r>
              <w:rPr>
                <w:b/>
                <w:noProof/>
              </w:rPr>
              <w:t>Omschrijving</w:t>
            </w:r>
          </w:p>
        </w:tc>
        <w:tc>
          <w:tcPr>
            <w:tcW w:w="1337" w:type="dxa"/>
            <w:vAlign w:val="center"/>
          </w:tcPr>
          <w:p>
            <w:pPr>
              <w:jc w:val="center"/>
              <w:rPr>
                <w:rFonts w:cs="Times New Roman"/>
                <w:b/>
                <w:noProof/>
              </w:rPr>
            </w:pPr>
            <w:r>
              <w:rPr>
                <w:b/>
                <w:noProof/>
              </w:rPr>
              <w:t>Europese Commissie</w:t>
            </w:r>
          </w:p>
        </w:tc>
        <w:tc>
          <w:tcPr>
            <w:tcW w:w="1337" w:type="dxa"/>
            <w:vAlign w:val="center"/>
          </w:tcPr>
          <w:p>
            <w:pPr>
              <w:jc w:val="center"/>
              <w:rPr>
                <w:rFonts w:cs="Times New Roman"/>
                <w:b/>
                <w:noProof/>
              </w:rPr>
            </w:pPr>
            <w:r>
              <w:rPr>
                <w:b/>
                <w:noProof/>
              </w:rPr>
              <w:t>Europees Parlement</w:t>
            </w:r>
          </w:p>
        </w:tc>
        <w:tc>
          <w:tcPr>
            <w:tcW w:w="1338" w:type="dxa"/>
            <w:vAlign w:val="center"/>
          </w:tcPr>
          <w:p>
            <w:pPr>
              <w:jc w:val="center"/>
              <w:rPr>
                <w:rFonts w:cs="Times New Roman"/>
                <w:b/>
                <w:noProof/>
              </w:rPr>
            </w:pPr>
            <w:r>
              <w:rPr>
                <w:b/>
                <w:noProof/>
              </w:rPr>
              <w:t>Raad</w:t>
            </w:r>
            <w:r>
              <w:rPr>
                <w:b/>
                <w:noProof/>
              </w:rPr>
              <w:br/>
              <w:t>van de Europese Unie</w:t>
            </w:r>
          </w:p>
        </w:tc>
      </w:tr>
      <w:tr>
        <w:trPr>
          <w:cantSplit/>
          <w:jc w:val="center"/>
        </w:trPr>
        <w:tc>
          <w:tcPr>
            <w:tcW w:w="2977" w:type="dxa"/>
            <w:shd w:val="clear" w:color="auto" w:fill="DBE5F1" w:themeFill="accent1" w:themeFillTint="33"/>
          </w:tcPr>
          <w:p>
            <w:pPr>
              <w:spacing w:before="180" w:after="180"/>
              <w:rPr>
                <w:rFonts w:cs="Times New Roman"/>
                <w:noProof/>
                <w:sz w:val="20"/>
                <w:szCs w:val="20"/>
              </w:rPr>
            </w:pPr>
            <w:r>
              <w:rPr>
                <w:noProof/>
                <w:sz w:val="20"/>
                <w:szCs w:val="20"/>
              </w:rPr>
              <w:t>Voorkoming van de verspreiding van terroristische online-inhoud</w:t>
            </w:r>
            <w:r>
              <w:rPr>
                <w:rStyle w:val="FootnoteReference"/>
                <w:rFonts w:cs="Times New Roman"/>
                <w:noProof/>
                <w:sz w:val="20"/>
                <w:szCs w:val="20"/>
              </w:rPr>
              <w:footnoteReference w:id="2"/>
            </w:r>
          </w:p>
        </w:tc>
        <w:tc>
          <w:tcPr>
            <w:tcW w:w="2683" w:type="dxa"/>
          </w:tcPr>
          <w:p>
            <w:pPr>
              <w:spacing w:before="180" w:after="180"/>
              <w:rPr>
                <w:rFonts w:cs="Times New Roman"/>
                <w:noProof/>
                <w:sz w:val="20"/>
                <w:szCs w:val="20"/>
              </w:rPr>
            </w:pPr>
            <w:r>
              <w:rPr>
                <w:noProof/>
                <w:sz w:val="20"/>
                <w:szCs w:val="20"/>
              </w:rPr>
              <w:t>Voorgesteld september 2018; Raad heeft mandaat vastgesteld op 6 december 2018; Europees Parlement moet onderhandelings</w:t>
            </w:r>
            <w:r>
              <w:rPr>
                <w:noProof/>
                <w:sz w:val="20"/>
                <w:szCs w:val="20"/>
              </w:rPr>
              <w:softHyphen/>
              <w:t>mandaat vaststellen en trialoog</w:t>
            </w:r>
            <w:r>
              <w:rPr>
                <w:noProof/>
                <w:sz w:val="20"/>
                <w:szCs w:val="20"/>
              </w:rPr>
              <w:softHyphen/>
              <w:t>besprekingen aangaan.</w:t>
            </w:r>
          </w:p>
        </w:tc>
        <w:tc>
          <w:tcPr>
            <w:tcW w:w="1337" w:type="dxa"/>
            <w:shd w:val="clear" w:color="auto" w:fill="00B050"/>
            <w:vAlign w:val="center"/>
          </w:tcPr>
          <w:p>
            <w:pPr>
              <w:spacing w:before="180" w:after="180"/>
              <w:rPr>
                <w:rFonts w:cs="Times New Roman"/>
                <w:noProof/>
                <w:sz w:val="20"/>
                <w:szCs w:val="20"/>
              </w:rPr>
            </w:pPr>
          </w:p>
        </w:tc>
        <w:tc>
          <w:tcPr>
            <w:tcW w:w="1337" w:type="dxa"/>
            <w:shd w:val="clear" w:color="auto" w:fill="F79646" w:themeFill="accent6"/>
            <w:vAlign w:val="center"/>
          </w:tcPr>
          <w:p>
            <w:pPr>
              <w:spacing w:before="180" w:after="180"/>
              <w:rPr>
                <w:rFonts w:cs="Times New Roman"/>
                <w:noProof/>
                <w:sz w:val="20"/>
                <w:szCs w:val="20"/>
              </w:rPr>
            </w:pPr>
          </w:p>
        </w:tc>
        <w:tc>
          <w:tcPr>
            <w:tcW w:w="1338" w:type="dxa"/>
            <w:shd w:val="clear" w:color="auto" w:fill="FFFF00"/>
            <w:vAlign w:val="center"/>
          </w:tcPr>
          <w:p>
            <w:pPr>
              <w:spacing w:before="180" w:after="180"/>
              <w:jc w:val="center"/>
              <w:rPr>
                <w:rFonts w:cs="Times New Roman"/>
                <w:noProof/>
                <w:sz w:val="20"/>
                <w:szCs w:val="20"/>
              </w:rPr>
            </w:pPr>
          </w:p>
        </w:tc>
      </w:tr>
      <w:tr>
        <w:trPr>
          <w:cantSplit/>
          <w:jc w:val="center"/>
        </w:trPr>
        <w:tc>
          <w:tcPr>
            <w:tcW w:w="2977" w:type="dxa"/>
            <w:shd w:val="clear" w:color="auto" w:fill="DBE5F1" w:themeFill="accent1" w:themeFillTint="33"/>
          </w:tcPr>
          <w:p>
            <w:pPr>
              <w:spacing w:before="180" w:after="180"/>
              <w:rPr>
                <w:rFonts w:cs="Times New Roman"/>
                <w:noProof/>
                <w:sz w:val="20"/>
                <w:szCs w:val="20"/>
              </w:rPr>
            </w:pPr>
            <w:r>
              <w:rPr>
                <w:noProof/>
                <w:sz w:val="20"/>
                <w:szCs w:val="20"/>
              </w:rPr>
              <w:t>Uitbreiding mandaat Europees Openbaar Ministerie tot grensoverschrijdend terrorisme</w:t>
            </w:r>
            <w:r>
              <w:rPr>
                <w:rStyle w:val="FootnoteReference"/>
                <w:rFonts w:cs="Times New Roman"/>
                <w:noProof/>
                <w:sz w:val="20"/>
                <w:szCs w:val="20"/>
              </w:rPr>
              <w:footnoteReference w:id="3"/>
            </w:r>
          </w:p>
        </w:tc>
        <w:tc>
          <w:tcPr>
            <w:tcW w:w="2683" w:type="dxa"/>
          </w:tcPr>
          <w:p>
            <w:pPr>
              <w:spacing w:before="180" w:after="180"/>
              <w:rPr>
                <w:rFonts w:cs="Times New Roman"/>
                <w:noProof/>
                <w:sz w:val="20"/>
                <w:szCs w:val="20"/>
              </w:rPr>
            </w:pPr>
            <w:r>
              <w:rPr>
                <w:noProof/>
                <w:sz w:val="20"/>
                <w:szCs w:val="20"/>
              </w:rPr>
              <w:t>Voorgesteld september 2018.</w:t>
            </w:r>
          </w:p>
        </w:tc>
        <w:tc>
          <w:tcPr>
            <w:tcW w:w="1337" w:type="dxa"/>
            <w:shd w:val="clear" w:color="auto" w:fill="00B050"/>
            <w:vAlign w:val="center"/>
          </w:tcPr>
          <w:p>
            <w:pPr>
              <w:spacing w:before="180" w:after="180"/>
              <w:rPr>
                <w:rFonts w:cs="Times New Roman"/>
                <w:noProof/>
                <w:sz w:val="20"/>
                <w:szCs w:val="20"/>
              </w:rPr>
            </w:pPr>
          </w:p>
        </w:tc>
        <w:tc>
          <w:tcPr>
            <w:tcW w:w="1337" w:type="dxa"/>
            <w:shd w:val="clear" w:color="auto" w:fill="F79646" w:themeFill="accent6"/>
            <w:vAlign w:val="center"/>
          </w:tcPr>
          <w:p>
            <w:pPr>
              <w:spacing w:before="180" w:after="180"/>
              <w:rPr>
                <w:rFonts w:cs="Times New Roman"/>
                <w:noProof/>
                <w:sz w:val="20"/>
                <w:szCs w:val="20"/>
              </w:rPr>
            </w:pPr>
          </w:p>
        </w:tc>
        <w:tc>
          <w:tcPr>
            <w:tcW w:w="1338" w:type="dxa"/>
            <w:shd w:val="clear" w:color="auto" w:fill="F79646" w:themeFill="accent6"/>
            <w:vAlign w:val="center"/>
          </w:tcPr>
          <w:p>
            <w:pPr>
              <w:spacing w:before="180" w:after="180"/>
              <w:rPr>
                <w:rFonts w:cs="Times New Roman"/>
                <w:noProof/>
                <w:sz w:val="20"/>
                <w:szCs w:val="20"/>
              </w:rPr>
            </w:pPr>
          </w:p>
        </w:tc>
      </w:tr>
      <w:tr>
        <w:trPr>
          <w:cantSplit/>
          <w:jc w:val="center"/>
        </w:trPr>
        <w:tc>
          <w:tcPr>
            <w:tcW w:w="2977" w:type="dxa"/>
            <w:shd w:val="clear" w:color="auto" w:fill="DBE5F1" w:themeFill="accent1" w:themeFillTint="33"/>
          </w:tcPr>
          <w:p>
            <w:pPr>
              <w:spacing w:before="180" w:after="180"/>
              <w:rPr>
                <w:rFonts w:cs="Times New Roman"/>
                <w:noProof/>
                <w:sz w:val="20"/>
                <w:szCs w:val="20"/>
              </w:rPr>
            </w:pPr>
            <w:r>
              <w:rPr>
                <w:noProof/>
                <w:sz w:val="20"/>
                <w:szCs w:val="20"/>
              </w:rPr>
              <w:t>Gerichte wijziging van de verordening partijfinanciering: verificatieprocedure voor inbreuken op de regels inzake bescherming van persoonsgegevens bij de verkiezingen voor het Europees Parlement</w:t>
            </w:r>
            <w:r>
              <w:rPr>
                <w:rStyle w:val="FootnoteReference"/>
                <w:rFonts w:cs="Times New Roman"/>
                <w:noProof/>
                <w:sz w:val="20"/>
                <w:szCs w:val="20"/>
              </w:rPr>
              <w:footnoteReference w:id="4"/>
            </w:r>
          </w:p>
        </w:tc>
        <w:tc>
          <w:tcPr>
            <w:tcW w:w="2683" w:type="dxa"/>
          </w:tcPr>
          <w:p>
            <w:pPr>
              <w:spacing w:before="180" w:after="180"/>
              <w:rPr>
                <w:rFonts w:cs="Times New Roman"/>
                <w:noProof/>
                <w:sz w:val="20"/>
                <w:szCs w:val="20"/>
              </w:rPr>
            </w:pPr>
            <w:r>
              <w:rPr>
                <w:noProof/>
                <w:sz w:val="20"/>
                <w:szCs w:val="20"/>
              </w:rPr>
              <w:t>Voorgesteld september 2018; akkoord tussen mede</w:t>
            </w:r>
            <w:r>
              <w:rPr>
                <w:noProof/>
                <w:sz w:val="20"/>
                <w:szCs w:val="20"/>
              </w:rPr>
              <w:softHyphen/>
              <w:t>wetgevers; formele vaststelling maart 2019.</w:t>
            </w:r>
          </w:p>
        </w:tc>
        <w:tc>
          <w:tcPr>
            <w:tcW w:w="1337" w:type="dxa"/>
            <w:shd w:val="clear" w:color="auto" w:fill="00B050"/>
            <w:vAlign w:val="center"/>
          </w:tcPr>
          <w:p>
            <w:pPr>
              <w:spacing w:before="180" w:after="180"/>
              <w:rPr>
                <w:rFonts w:cs="Times New Roman"/>
                <w:noProof/>
                <w:sz w:val="20"/>
                <w:szCs w:val="20"/>
              </w:rPr>
            </w:pPr>
          </w:p>
        </w:tc>
        <w:tc>
          <w:tcPr>
            <w:tcW w:w="1337" w:type="dxa"/>
            <w:shd w:val="clear" w:color="auto" w:fill="00B050"/>
            <w:vAlign w:val="center"/>
          </w:tcPr>
          <w:p>
            <w:pPr>
              <w:spacing w:before="180" w:after="180"/>
              <w:rPr>
                <w:rFonts w:cs="Times New Roman"/>
                <w:noProof/>
                <w:sz w:val="20"/>
                <w:szCs w:val="20"/>
              </w:rPr>
            </w:pPr>
          </w:p>
        </w:tc>
        <w:tc>
          <w:tcPr>
            <w:tcW w:w="1338" w:type="dxa"/>
            <w:shd w:val="clear" w:color="auto" w:fill="00B050"/>
            <w:vAlign w:val="center"/>
          </w:tcPr>
          <w:p>
            <w:pPr>
              <w:spacing w:before="180" w:after="180"/>
              <w:rPr>
                <w:rFonts w:cs="Times New Roman"/>
                <w:noProof/>
                <w:sz w:val="20"/>
                <w:szCs w:val="20"/>
              </w:rPr>
            </w:pPr>
          </w:p>
        </w:tc>
      </w:tr>
      <w:tr>
        <w:trPr>
          <w:cantSplit/>
          <w:jc w:val="center"/>
        </w:trPr>
        <w:tc>
          <w:tcPr>
            <w:tcW w:w="2977" w:type="dxa"/>
            <w:shd w:val="clear" w:color="auto" w:fill="DBE5F1" w:themeFill="accent1" w:themeFillTint="33"/>
          </w:tcPr>
          <w:p>
            <w:pPr>
              <w:spacing w:before="180" w:after="180"/>
              <w:rPr>
                <w:rFonts w:cs="Times New Roman"/>
                <w:noProof/>
                <w:sz w:val="20"/>
                <w:szCs w:val="20"/>
              </w:rPr>
            </w:pPr>
            <w:r>
              <w:rPr>
                <w:noProof/>
                <w:sz w:val="20"/>
                <w:szCs w:val="20"/>
              </w:rPr>
              <w:t>Versterking van de capaciteit van het Europees Grens- en kustwachtagentschap</w:t>
            </w:r>
            <w:r>
              <w:rPr>
                <w:rStyle w:val="FootnoteReference"/>
                <w:rFonts w:cs="Times New Roman"/>
                <w:noProof/>
                <w:sz w:val="20"/>
                <w:szCs w:val="20"/>
              </w:rPr>
              <w:footnoteReference w:id="5"/>
            </w:r>
          </w:p>
        </w:tc>
        <w:tc>
          <w:tcPr>
            <w:tcW w:w="2683" w:type="dxa"/>
          </w:tcPr>
          <w:p>
            <w:pPr>
              <w:spacing w:before="180" w:after="180"/>
              <w:rPr>
                <w:rFonts w:cs="Times New Roman"/>
                <w:noProof/>
                <w:sz w:val="20"/>
                <w:szCs w:val="20"/>
              </w:rPr>
            </w:pPr>
            <w:r>
              <w:rPr>
                <w:noProof/>
                <w:sz w:val="20"/>
                <w:szCs w:val="20"/>
              </w:rPr>
              <w:t>Voorgesteld september 2018; Raad en Europees Parlement hebben onderhandelings</w:t>
            </w:r>
            <w:r>
              <w:rPr>
                <w:noProof/>
                <w:sz w:val="20"/>
                <w:szCs w:val="20"/>
              </w:rPr>
              <w:softHyphen/>
              <w:t>mandaat vastgesteld en zijn interinstitutionele onder</w:t>
            </w:r>
            <w:r>
              <w:rPr>
                <w:noProof/>
                <w:sz w:val="20"/>
                <w:szCs w:val="20"/>
              </w:rPr>
              <w:softHyphen/>
              <w:t>handelingen aangegaan.</w:t>
            </w:r>
          </w:p>
        </w:tc>
        <w:tc>
          <w:tcPr>
            <w:tcW w:w="1337" w:type="dxa"/>
            <w:shd w:val="clear" w:color="auto" w:fill="00B050"/>
            <w:vAlign w:val="center"/>
          </w:tcPr>
          <w:p>
            <w:pPr>
              <w:spacing w:before="180" w:after="180"/>
              <w:rPr>
                <w:rFonts w:cs="Times New Roman"/>
                <w:noProof/>
                <w:sz w:val="20"/>
                <w:szCs w:val="20"/>
              </w:rPr>
            </w:pPr>
          </w:p>
        </w:tc>
        <w:tc>
          <w:tcPr>
            <w:tcW w:w="1337" w:type="dxa"/>
            <w:shd w:val="clear" w:color="auto" w:fill="FFFF00"/>
            <w:vAlign w:val="center"/>
          </w:tcPr>
          <w:p>
            <w:pPr>
              <w:spacing w:before="180" w:after="180"/>
              <w:rPr>
                <w:rFonts w:cs="Times New Roman"/>
                <w:noProof/>
                <w:sz w:val="20"/>
                <w:szCs w:val="20"/>
              </w:rPr>
            </w:pPr>
          </w:p>
        </w:tc>
        <w:tc>
          <w:tcPr>
            <w:tcW w:w="1338" w:type="dxa"/>
            <w:shd w:val="clear" w:color="auto" w:fill="FFFF00"/>
            <w:vAlign w:val="center"/>
          </w:tcPr>
          <w:p>
            <w:pPr>
              <w:spacing w:before="180" w:after="180"/>
              <w:rPr>
                <w:rFonts w:cs="Times New Roman"/>
                <w:noProof/>
                <w:sz w:val="20"/>
                <w:szCs w:val="20"/>
              </w:rPr>
            </w:pPr>
          </w:p>
        </w:tc>
      </w:tr>
      <w:tr>
        <w:trPr>
          <w:cantSplit/>
          <w:jc w:val="center"/>
        </w:trPr>
        <w:tc>
          <w:tcPr>
            <w:tcW w:w="2977" w:type="dxa"/>
            <w:shd w:val="clear" w:color="auto" w:fill="DBE5F1" w:themeFill="accent1" w:themeFillTint="33"/>
          </w:tcPr>
          <w:p>
            <w:pPr>
              <w:spacing w:before="180" w:after="180"/>
              <w:rPr>
                <w:rFonts w:cs="Times New Roman"/>
                <w:noProof/>
                <w:sz w:val="20"/>
                <w:szCs w:val="20"/>
              </w:rPr>
            </w:pPr>
            <w:r>
              <w:rPr>
                <w:noProof/>
                <w:sz w:val="20"/>
                <w:szCs w:val="20"/>
              </w:rPr>
              <w:t>Europees kenniscentrum voor industrie, technologie en onderzoek op het gebied van cyberbeveiliging</w:t>
            </w:r>
            <w:r>
              <w:rPr>
                <w:rStyle w:val="FootnoteReference"/>
                <w:rFonts w:cs="Times New Roman"/>
                <w:noProof/>
                <w:sz w:val="20"/>
                <w:szCs w:val="20"/>
              </w:rPr>
              <w:footnoteReference w:id="6"/>
            </w:r>
          </w:p>
        </w:tc>
        <w:tc>
          <w:tcPr>
            <w:tcW w:w="2683" w:type="dxa"/>
          </w:tcPr>
          <w:p>
            <w:pPr>
              <w:spacing w:before="180" w:after="180"/>
              <w:rPr>
                <w:rFonts w:cs="Times New Roman"/>
                <w:noProof/>
                <w:sz w:val="20"/>
                <w:szCs w:val="20"/>
              </w:rPr>
            </w:pPr>
            <w:r>
              <w:rPr>
                <w:noProof/>
                <w:sz w:val="20"/>
                <w:szCs w:val="20"/>
              </w:rPr>
              <w:t>Voorgesteld september 2018; Europees Parlement en Raad hebben onderhandelings</w:t>
            </w:r>
            <w:r>
              <w:rPr>
                <w:noProof/>
                <w:sz w:val="20"/>
                <w:szCs w:val="20"/>
              </w:rPr>
              <w:softHyphen/>
              <w:t>mandaat vastgesteld en zijn interinstitutionele onder</w:t>
            </w:r>
            <w:r>
              <w:rPr>
                <w:noProof/>
                <w:sz w:val="20"/>
                <w:szCs w:val="20"/>
              </w:rPr>
              <w:softHyphen/>
              <w:t>handelingen aangegaan.</w:t>
            </w:r>
          </w:p>
        </w:tc>
        <w:tc>
          <w:tcPr>
            <w:tcW w:w="1337" w:type="dxa"/>
            <w:shd w:val="clear" w:color="auto" w:fill="00B050"/>
            <w:vAlign w:val="center"/>
          </w:tcPr>
          <w:p>
            <w:pPr>
              <w:spacing w:before="180" w:after="180"/>
              <w:rPr>
                <w:rFonts w:cs="Times New Roman"/>
                <w:noProof/>
                <w:sz w:val="20"/>
                <w:szCs w:val="20"/>
              </w:rPr>
            </w:pPr>
          </w:p>
        </w:tc>
        <w:tc>
          <w:tcPr>
            <w:tcW w:w="1337" w:type="dxa"/>
            <w:shd w:val="clear" w:color="auto" w:fill="FFFF00"/>
            <w:vAlign w:val="center"/>
          </w:tcPr>
          <w:p>
            <w:pPr>
              <w:spacing w:before="180" w:after="180"/>
              <w:rPr>
                <w:rFonts w:cs="Times New Roman"/>
                <w:noProof/>
                <w:sz w:val="20"/>
                <w:szCs w:val="20"/>
              </w:rPr>
            </w:pPr>
          </w:p>
        </w:tc>
        <w:tc>
          <w:tcPr>
            <w:tcW w:w="1338" w:type="dxa"/>
            <w:shd w:val="clear" w:color="auto" w:fill="FFFF00"/>
            <w:vAlign w:val="center"/>
          </w:tcPr>
          <w:p>
            <w:pPr>
              <w:spacing w:before="180" w:after="180"/>
              <w:rPr>
                <w:rFonts w:cs="Times New Roman"/>
                <w:noProof/>
                <w:sz w:val="20"/>
                <w:szCs w:val="20"/>
              </w:rPr>
            </w:pPr>
          </w:p>
        </w:tc>
      </w:tr>
    </w:tbl>
    <w:p>
      <w:pPr>
        <w:pStyle w:val="Pa35"/>
        <w:rPr>
          <w:rStyle w:val="A13"/>
          <w:rFonts w:ascii="Times New Roman" w:hAnsi="Times New Roman" w:cs="Times New Roman"/>
          <w:noProof/>
          <w:color w:val="auto"/>
          <w:sz w:val="23"/>
          <w:szCs w:val="23"/>
        </w:rPr>
      </w:pPr>
    </w:p>
    <w:p>
      <w:pPr>
        <w:pStyle w:val="Pa35"/>
        <w:keepNext/>
        <w:spacing w:after="240"/>
        <w:rPr>
          <w:rFonts w:ascii="Times New Roman" w:hAnsi="Times New Roman" w:cs="Times New Roman"/>
          <w:noProof/>
        </w:rPr>
      </w:pPr>
      <w:r>
        <w:rPr>
          <w:rStyle w:val="A13"/>
          <w:rFonts w:ascii="Times New Roman" w:hAnsi="Times New Roman"/>
          <w:noProof/>
          <w:sz w:val="23"/>
          <w:szCs w:val="23"/>
        </w:rPr>
        <w:t>II. Prioriteiten die zijn overeengekomen in de gezamenlijke verklaring</w:t>
      </w:r>
      <w:r>
        <w:rPr>
          <w:rStyle w:val="FootnoteReference"/>
          <w:rFonts w:ascii="Times New Roman" w:hAnsi="Times New Roman" w:cs="Times New Roman"/>
          <w:b/>
          <w:bCs/>
          <w:noProof/>
          <w:sz w:val="23"/>
          <w:szCs w:val="23"/>
        </w:rPr>
        <w:footnoteReference w:id="7"/>
      </w:r>
    </w:p>
    <w:tbl>
      <w:tblPr>
        <w:tblStyle w:val="TableGrid"/>
        <w:tblW w:w="0" w:type="auto"/>
        <w:jc w:val="center"/>
        <w:tblLook w:val="04A0" w:firstRow="1" w:lastRow="0" w:firstColumn="1" w:lastColumn="0" w:noHBand="0" w:noVBand="1"/>
      </w:tblPr>
      <w:tblGrid>
        <w:gridCol w:w="2830"/>
        <w:gridCol w:w="2776"/>
        <w:gridCol w:w="1358"/>
        <w:gridCol w:w="1359"/>
        <w:gridCol w:w="1359"/>
      </w:tblGrid>
      <w:tr>
        <w:trPr>
          <w:cantSplit/>
          <w:tblHeader/>
          <w:jc w:val="center"/>
        </w:trPr>
        <w:tc>
          <w:tcPr>
            <w:tcW w:w="2830" w:type="dxa"/>
            <w:vAlign w:val="center"/>
          </w:tcPr>
          <w:p>
            <w:pPr>
              <w:jc w:val="center"/>
              <w:rPr>
                <w:rFonts w:cs="Times New Roman"/>
                <w:b/>
                <w:noProof/>
              </w:rPr>
            </w:pPr>
            <w:r>
              <w:rPr>
                <w:b/>
                <w:noProof/>
              </w:rPr>
              <w:t>Beleid</w:t>
            </w:r>
          </w:p>
        </w:tc>
        <w:tc>
          <w:tcPr>
            <w:tcW w:w="2776" w:type="dxa"/>
            <w:vAlign w:val="center"/>
          </w:tcPr>
          <w:p>
            <w:pPr>
              <w:jc w:val="center"/>
              <w:rPr>
                <w:rFonts w:cs="Times New Roman"/>
                <w:b/>
                <w:noProof/>
              </w:rPr>
            </w:pPr>
            <w:r>
              <w:rPr>
                <w:b/>
                <w:noProof/>
              </w:rPr>
              <w:t>Omschrijving</w:t>
            </w:r>
          </w:p>
        </w:tc>
        <w:tc>
          <w:tcPr>
            <w:tcW w:w="1358" w:type="dxa"/>
            <w:vAlign w:val="center"/>
          </w:tcPr>
          <w:p>
            <w:pPr>
              <w:jc w:val="center"/>
              <w:rPr>
                <w:rFonts w:cs="Times New Roman"/>
                <w:b/>
                <w:noProof/>
              </w:rPr>
            </w:pPr>
            <w:r>
              <w:rPr>
                <w:b/>
                <w:noProof/>
              </w:rPr>
              <w:t>Europese Commissie</w:t>
            </w:r>
          </w:p>
        </w:tc>
        <w:tc>
          <w:tcPr>
            <w:tcW w:w="1359" w:type="dxa"/>
            <w:vAlign w:val="center"/>
          </w:tcPr>
          <w:p>
            <w:pPr>
              <w:jc w:val="center"/>
              <w:rPr>
                <w:rFonts w:cs="Times New Roman"/>
                <w:b/>
                <w:noProof/>
              </w:rPr>
            </w:pPr>
            <w:r>
              <w:rPr>
                <w:b/>
                <w:noProof/>
              </w:rPr>
              <w:t>Europees Parlement</w:t>
            </w:r>
          </w:p>
        </w:tc>
        <w:tc>
          <w:tcPr>
            <w:tcW w:w="1359" w:type="dxa"/>
            <w:vAlign w:val="center"/>
          </w:tcPr>
          <w:p>
            <w:pPr>
              <w:jc w:val="center"/>
              <w:rPr>
                <w:rFonts w:cs="Times New Roman"/>
                <w:b/>
                <w:noProof/>
              </w:rPr>
            </w:pPr>
            <w:r>
              <w:rPr>
                <w:b/>
                <w:noProof/>
              </w:rPr>
              <w:t>Raad</w:t>
            </w:r>
            <w:r>
              <w:rPr>
                <w:b/>
                <w:noProof/>
              </w:rPr>
              <w:br/>
              <w:t>van de Europese Unie</w:t>
            </w:r>
          </w:p>
        </w:tc>
      </w:tr>
      <w:tr>
        <w:trPr>
          <w:cantSplit/>
          <w:jc w:val="center"/>
        </w:trPr>
        <w:tc>
          <w:tcPr>
            <w:tcW w:w="2830" w:type="dxa"/>
            <w:shd w:val="clear" w:color="auto" w:fill="DBE5F1" w:themeFill="accent1" w:themeFillTint="33"/>
          </w:tcPr>
          <w:p>
            <w:pPr>
              <w:spacing w:before="180" w:after="180"/>
              <w:rPr>
                <w:rFonts w:cs="Times New Roman"/>
                <w:noProof/>
                <w:sz w:val="20"/>
                <w:szCs w:val="20"/>
              </w:rPr>
            </w:pPr>
            <w:r>
              <w:rPr>
                <w:noProof/>
                <w:sz w:val="20"/>
                <w:szCs w:val="20"/>
              </w:rPr>
              <w:t>Europees systeem voor reisinformatie en -autorisatie</w:t>
            </w:r>
            <w:r>
              <w:rPr>
                <w:rStyle w:val="FootnoteReference"/>
                <w:rFonts w:cs="Times New Roman"/>
                <w:noProof/>
                <w:sz w:val="20"/>
                <w:szCs w:val="20"/>
              </w:rPr>
              <w:footnoteReference w:id="8"/>
            </w:r>
          </w:p>
        </w:tc>
        <w:tc>
          <w:tcPr>
            <w:tcW w:w="2776" w:type="dxa"/>
          </w:tcPr>
          <w:p>
            <w:pPr>
              <w:spacing w:before="180" w:after="180"/>
              <w:rPr>
                <w:rFonts w:cs="Times New Roman"/>
                <w:noProof/>
                <w:sz w:val="20"/>
                <w:szCs w:val="20"/>
              </w:rPr>
            </w:pPr>
            <w:r>
              <w:rPr>
                <w:noProof/>
                <w:sz w:val="20"/>
                <w:szCs w:val="20"/>
              </w:rPr>
              <w:t>Voorgesteld november 2016; akkoord tussen mede</w:t>
            </w:r>
            <w:r>
              <w:rPr>
                <w:noProof/>
                <w:sz w:val="20"/>
                <w:szCs w:val="20"/>
              </w:rPr>
              <w:softHyphen/>
              <w:t>wetgevers; formele vaststelling september 2018.</w:t>
            </w:r>
          </w:p>
        </w:tc>
        <w:tc>
          <w:tcPr>
            <w:tcW w:w="1358" w:type="dxa"/>
            <w:shd w:val="clear" w:color="auto" w:fill="00B050"/>
            <w:vAlign w:val="center"/>
          </w:tcPr>
          <w:p>
            <w:pPr>
              <w:spacing w:before="180" w:after="180"/>
              <w:jc w:val="center"/>
              <w:rPr>
                <w:rFonts w:cs="Times New Roman"/>
                <w:noProof/>
                <w:sz w:val="20"/>
                <w:szCs w:val="20"/>
              </w:rPr>
            </w:pPr>
          </w:p>
        </w:tc>
        <w:tc>
          <w:tcPr>
            <w:tcW w:w="1359" w:type="dxa"/>
            <w:shd w:val="clear" w:color="auto" w:fill="00B050"/>
            <w:vAlign w:val="center"/>
          </w:tcPr>
          <w:p>
            <w:pPr>
              <w:spacing w:before="180" w:after="180"/>
              <w:jc w:val="center"/>
              <w:rPr>
                <w:rFonts w:cs="Times New Roman"/>
                <w:noProof/>
                <w:sz w:val="20"/>
                <w:szCs w:val="20"/>
              </w:rPr>
            </w:pPr>
          </w:p>
        </w:tc>
        <w:tc>
          <w:tcPr>
            <w:tcW w:w="1359" w:type="dxa"/>
            <w:shd w:val="clear" w:color="auto" w:fill="00B050"/>
            <w:vAlign w:val="center"/>
          </w:tcPr>
          <w:p>
            <w:pPr>
              <w:spacing w:before="180" w:after="180"/>
              <w:jc w:val="center"/>
              <w:rPr>
                <w:rFonts w:cs="Times New Roman"/>
                <w:noProof/>
                <w:sz w:val="20"/>
                <w:szCs w:val="20"/>
              </w:rPr>
            </w:pPr>
          </w:p>
        </w:tc>
      </w:tr>
      <w:tr>
        <w:trPr>
          <w:cantSplit/>
          <w:jc w:val="center"/>
        </w:trPr>
        <w:tc>
          <w:tcPr>
            <w:tcW w:w="2830" w:type="dxa"/>
            <w:shd w:val="clear" w:color="auto" w:fill="DBE5F1" w:themeFill="accent1" w:themeFillTint="33"/>
          </w:tcPr>
          <w:p>
            <w:pPr>
              <w:spacing w:before="180" w:after="180"/>
              <w:rPr>
                <w:rFonts w:cs="Times New Roman"/>
                <w:noProof/>
                <w:sz w:val="20"/>
                <w:szCs w:val="20"/>
              </w:rPr>
            </w:pPr>
            <w:r>
              <w:rPr>
                <w:noProof/>
                <w:sz w:val="20"/>
                <w:szCs w:val="20"/>
              </w:rPr>
              <w:t>Europees Agentschap voor het operationeel beheer van grootschalige IT-systemen op het gebied van vrijheid, veiligheid en recht</w:t>
            </w:r>
            <w:r>
              <w:rPr>
                <w:rStyle w:val="FootnoteReference"/>
                <w:rFonts w:cs="Times New Roman"/>
                <w:noProof/>
                <w:sz w:val="20"/>
                <w:szCs w:val="20"/>
              </w:rPr>
              <w:footnoteReference w:id="9"/>
            </w:r>
          </w:p>
        </w:tc>
        <w:tc>
          <w:tcPr>
            <w:tcW w:w="2776" w:type="dxa"/>
          </w:tcPr>
          <w:p>
            <w:pPr>
              <w:spacing w:before="180" w:after="180"/>
              <w:rPr>
                <w:rFonts w:cs="Times New Roman"/>
                <w:noProof/>
                <w:sz w:val="20"/>
                <w:szCs w:val="20"/>
              </w:rPr>
            </w:pPr>
            <w:r>
              <w:rPr>
                <w:noProof/>
                <w:sz w:val="20"/>
                <w:szCs w:val="20"/>
              </w:rPr>
              <w:t>Voorgesteld juni 2017; akkoord tussen mede</w:t>
            </w:r>
            <w:r>
              <w:rPr>
                <w:noProof/>
                <w:sz w:val="20"/>
                <w:szCs w:val="20"/>
              </w:rPr>
              <w:softHyphen/>
              <w:t>wetgevers; formele vaststelling november 2018.</w:t>
            </w:r>
          </w:p>
        </w:tc>
        <w:tc>
          <w:tcPr>
            <w:tcW w:w="1358" w:type="dxa"/>
            <w:shd w:val="clear" w:color="auto" w:fill="00B050"/>
            <w:vAlign w:val="center"/>
          </w:tcPr>
          <w:p>
            <w:pPr>
              <w:spacing w:before="180" w:after="180"/>
              <w:jc w:val="center"/>
              <w:rPr>
                <w:rFonts w:cs="Times New Roman"/>
                <w:noProof/>
                <w:sz w:val="20"/>
                <w:szCs w:val="20"/>
              </w:rPr>
            </w:pPr>
          </w:p>
        </w:tc>
        <w:tc>
          <w:tcPr>
            <w:tcW w:w="1359" w:type="dxa"/>
            <w:shd w:val="clear" w:color="auto" w:fill="00B050"/>
            <w:vAlign w:val="center"/>
          </w:tcPr>
          <w:p>
            <w:pPr>
              <w:spacing w:before="180" w:after="180"/>
              <w:jc w:val="center"/>
              <w:rPr>
                <w:rFonts w:cs="Times New Roman"/>
                <w:noProof/>
                <w:sz w:val="20"/>
                <w:szCs w:val="20"/>
              </w:rPr>
            </w:pPr>
          </w:p>
        </w:tc>
        <w:tc>
          <w:tcPr>
            <w:tcW w:w="1359" w:type="dxa"/>
            <w:shd w:val="clear" w:color="auto" w:fill="00B050"/>
            <w:vAlign w:val="center"/>
          </w:tcPr>
          <w:p>
            <w:pPr>
              <w:spacing w:before="180" w:after="180"/>
              <w:jc w:val="center"/>
              <w:rPr>
                <w:rFonts w:cs="Times New Roman"/>
                <w:noProof/>
                <w:sz w:val="20"/>
                <w:szCs w:val="20"/>
              </w:rPr>
            </w:pPr>
          </w:p>
        </w:tc>
      </w:tr>
      <w:tr>
        <w:trPr>
          <w:cantSplit/>
          <w:jc w:val="center"/>
        </w:trPr>
        <w:tc>
          <w:tcPr>
            <w:tcW w:w="2830" w:type="dxa"/>
            <w:shd w:val="clear" w:color="auto" w:fill="DBE5F1" w:themeFill="accent1" w:themeFillTint="33"/>
          </w:tcPr>
          <w:p>
            <w:pPr>
              <w:spacing w:before="180" w:after="180"/>
              <w:rPr>
                <w:rFonts w:cs="Times New Roman"/>
                <w:noProof/>
                <w:sz w:val="20"/>
                <w:szCs w:val="20"/>
              </w:rPr>
            </w:pPr>
            <w:r>
              <w:rPr>
                <w:noProof/>
                <w:sz w:val="20"/>
                <w:szCs w:val="20"/>
              </w:rPr>
              <w:t>Versterking Schengeninformatiesysteem</w:t>
            </w:r>
            <w:r>
              <w:rPr>
                <w:rStyle w:val="FootnoteReference"/>
                <w:rFonts w:cs="Times New Roman"/>
                <w:noProof/>
                <w:sz w:val="20"/>
                <w:szCs w:val="20"/>
              </w:rPr>
              <w:footnoteReference w:id="10"/>
            </w:r>
          </w:p>
        </w:tc>
        <w:tc>
          <w:tcPr>
            <w:tcW w:w="2776" w:type="dxa"/>
          </w:tcPr>
          <w:p>
            <w:pPr>
              <w:spacing w:before="180" w:after="180"/>
              <w:rPr>
                <w:rFonts w:cs="Times New Roman"/>
                <w:noProof/>
                <w:sz w:val="20"/>
                <w:szCs w:val="20"/>
              </w:rPr>
            </w:pPr>
            <w:r>
              <w:rPr>
                <w:noProof/>
                <w:sz w:val="20"/>
                <w:szCs w:val="20"/>
              </w:rPr>
              <w:t>Voorgesteld december 2016; akkoord tussen medewetgevers; formele vaststelling najaar 2018.</w:t>
            </w:r>
          </w:p>
        </w:tc>
        <w:tc>
          <w:tcPr>
            <w:tcW w:w="1358" w:type="dxa"/>
            <w:shd w:val="clear" w:color="auto" w:fill="00B050"/>
            <w:vAlign w:val="center"/>
          </w:tcPr>
          <w:p>
            <w:pPr>
              <w:spacing w:before="180" w:after="180"/>
              <w:jc w:val="center"/>
              <w:rPr>
                <w:rFonts w:cs="Times New Roman"/>
                <w:noProof/>
                <w:sz w:val="20"/>
                <w:szCs w:val="20"/>
              </w:rPr>
            </w:pPr>
          </w:p>
        </w:tc>
        <w:tc>
          <w:tcPr>
            <w:tcW w:w="1359" w:type="dxa"/>
            <w:shd w:val="clear" w:color="auto" w:fill="00B050"/>
            <w:vAlign w:val="center"/>
          </w:tcPr>
          <w:p>
            <w:pPr>
              <w:spacing w:before="180" w:after="180"/>
              <w:jc w:val="center"/>
              <w:rPr>
                <w:rFonts w:cs="Times New Roman"/>
                <w:noProof/>
                <w:sz w:val="20"/>
                <w:szCs w:val="20"/>
              </w:rPr>
            </w:pPr>
          </w:p>
        </w:tc>
        <w:tc>
          <w:tcPr>
            <w:tcW w:w="1359" w:type="dxa"/>
            <w:shd w:val="clear" w:color="auto" w:fill="00B050"/>
            <w:vAlign w:val="center"/>
          </w:tcPr>
          <w:p>
            <w:pPr>
              <w:spacing w:before="180" w:after="180"/>
              <w:jc w:val="center"/>
              <w:rPr>
                <w:rFonts w:cs="Times New Roman"/>
                <w:noProof/>
                <w:sz w:val="20"/>
                <w:szCs w:val="20"/>
              </w:rPr>
            </w:pPr>
          </w:p>
        </w:tc>
      </w:tr>
      <w:tr>
        <w:trPr>
          <w:cantSplit/>
          <w:jc w:val="center"/>
        </w:trPr>
        <w:tc>
          <w:tcPr>
            <w:tcW w:w="2830" w:type="dxa"/>
            <w:shd w:val="clear" w:color="auto" w:fill="DBE5F1" w:themeFill="accent1" w:themeFillTint="33"/>
          </w:tcPr>
          <w:p>
            <w:pPr>
              <w:spacing w:before="180" w:after="180"/>
              <w:rPr>
                <w:rFonts w:cs="Times New Roman"/>
                <w:noProof/>
                <w:sz w:val="20"/>
                <w:szCs w:val="20"/>
              </w:rPr>
            </w:pPr>
            <w:r>
              <w:rPr>
                <w:noProof/>
                <w:sz w:val="20"/>
                <w:szCs w:val="20"/>
              </w:rPr>
              <w:t>Witwassen en terrorismefinanciering</w:t>
            </w:r>
            <w:r>
              <w:rPr>
                <w:rStyle w:val="FootnoteReference"/>
                <w:rFonts w:cs="Times New Roman"/>
                <w:noProof/>
                <w:sz w:val="20"/>
                <w:szCs w:val="20"/>
              </w:rPr>
              <w:footnoteReference w:id="11"/>
            </w:r>
          </w:p>
        </w:tc>
        <w:tc>
          <w:tcPr>
            <w:tcW w:w="2776" w:type="dxa"/>
          </w:tcPr>
          <w:p>
            <w:pPr>
              <w:spacing w:before="180" w:after="180"/>
              <w:rPr>
                <w:rFonts w:cs="Times New Roman"/>
                <w:noProof/>
                <w:sz w:val="20"/>
                <w:szCs w:val="20"/>
              </w:rPr>
            </w:pPr>
            <w:r>
              <w:rPr>
                <w:noProof/>
                <w:sz w:val="20"/>
                <w:szCs w:val="20"/>
              </w:rPr>
              <w:t>Voorgesteld juli 2016; formele vaststelling mei 2018.</w:t>
            </w:r>
          </w:p>
        </w:tc>
        <w:tc>
          <w:tcPr>
            <w:tcW w:w="1358" w:type="dxa"/>
            <w:shd w:val="clear" w:color="auto" w:fill="00B050"/>
            <w:vAlign w:val="center"/>
          </w:tcPr>
          <w:p>
            <w:pPr>
              <w:spacing w:before="180" w:after="180"/>
              <w:jc w:val="center"/>
              <w:rPr>
                <w:rFonts w:cs="Times New Roman"/>
                <w:noProof/>
                <w:sz w:val="20"/>
                <w:szCs w:val="20"/>
              </w:rPr>
            </w:pPr>
          </w:p>
        </w:tc>
        <w:tc>
          <w:tcPr>
            <w:tcW w:w="1359" w:type="dxa"/>
            <w:shd w:val="clear" w:color="auto" w:fill="00B050"/>
            <w:vAlign w:val="center"/>
          </w:tcPr>
          <w:p>
            <w:pPr>
              <w:spacing w:before="180" w:after="180"/>
              <w:jc w:val="center"/>
              <w:rPr>
                <w:rFonts w:cs="Times New Roman"/>
                <w:noProof/>
                <w:sz w:val="20"/>
                <w:szCs w:val="20"/>
              </w:rPr>
            </w:pPr>
          </w:p>
        </w:tc>
        <w:tc>
          <w:tcPr>
            <w:tcW w:w="1359" w:type="dxa"/>
            <w:shd w:val="clear" w:color="auto" w:fill="00B050"/>
            <w:vAlign w:val="center"/>
          </w:tcPr>
          <w:p>
            <w:pPr>
              <w:spacing w:before="180" w:after="180"/>
              <w:jc w:val="center"/>
              <w:rPr>
                <w:rFonts w:cs="Times New Roman"/>
                <w:noProof/>
                <w:sz w:val="20"/>
                <w:szCs w:val="20"/>
              </w:rPr>
            </w:pPr>
          </w:p>
        </w:tc>
      </w:tr>
      <w:tr>
        <w:trPr>
          <w:cantSplit/>
          <w:jc w:val="center"/>
        </w:trPr>
        <w:tc>
          <w:tcPr>
            <w:tcW w:w="2830" w:type="dxa"/>
            <w:shd w:val="clear" w:color="auto" w:fill="DBE5F1" w:themeFill="accent1" w:themeFillTint="33"/>
          </w:tcPr>
          <w:p>
            <w:pPr>
              <w:spacing w:before="180" w:after="180"/>
              <w:rPr>
                <w:rFonts w:cs="Times New Roman"/>
                <w:noProof/>
                <w:sz w:val="20"/>
                <w:szCs w:val="20"/>
              </w:rPr>
            </w:pPr>
            <w:r>
              <w:rPr>
                <w:noProof/>
                <w:sz w:val="20"/>
                <w:szCs w:val="20"/>
              </w:rPr>
              <w:t>Inreis-uitreissysteem</w:t>
            </w:r>
            <w:r>
              <w:rPr>
                <w:rStyle w:val="FootnoteReference"/>
                <w:rFonts w:cs="Times New Roman"/>
                <w:noProof/>
                <w:sz w:val="20"/>
                <w:szCs w:val="20"/>
              </w:rPr>
              <w:footnoteReference w:id="12"/>
            </w:r>
          </w:p>
        </w:tc>
        <w:tc>
          <w:tcPr>
            <w:tcW w:w="2776" w:type="dxa"/>
          </w:tcPr>
          <w:p>
            <w:pPr>
              <w:spacing w:before="180" w:after="180"/>
              <w:rPr>
                <w:rFonts w:cs="Times New Roman"/>
                <w:noProof/>
                <w:sz w:val="20"/>
                <w:szCs w:val="20"/>
              </w:rPr>
            </w:pPr>
            <w:r>
              <w:rPr>
                <w:noProof/>
                <w:sz w:val="20"/>
                <w:szCs w:val="20"/>
              </w:rPr>
              <w:t>Voorgesteld april 2016; formele vaststelling november 2017.</w:t>
            </w:r>
          </w:p>
        </w:tc>
        <w:tc>
          <w:tcPr>
            <w:tcW w:w="1358" w:type="dxa"/>
            <w:shd w:val="clear" w:color="auto" w:fill="00B050"/>
            <w:vAlign w:val="center"/>
          </w:tcPr>
          <w:p>
            <w:pPr>
              <w:spacing w:before="180" w:after="180"/>
              <w:jc w:val="center"/>
              <w:rPr>
                <w:rFonts w:cs="Times New Roman"/>
                <w:noProof/>
                <w:sz w:val="20"/>
                <w:szCs w:val="20"/>
              </w:rPr>
            </w:pPr>
          </w:p>
        </w:tc>
        <w:tc>
          <w:tcPr>
            <w:tcW w:w="1359" w:type="dxa"/>
            <w:shd w:val="clear" w:color="auto" w:fill="00B050"/>
            <w:vAlign w:val="center"/>
          </w:tcPr>
          <w:p>
            <w:pPr>
              <w:spacing w:before="180" w:after="180"/>
              <w:jc w:val="center"/>
              <w:rPr>
                <w:rFonts w:cs="Times New Roman"/>
                <w:noProof/>
                <w:sz w:val="20"/>
                <w:szCs w:val="20"/>
              </w:rPr>
            </w:pPr>
          </w:p>
        </w:tc>
        <w:tc>
          <w:tcPr>
            <w:tcW w:w="1359" w:type="dxa"/>
            <w:shd w:val="clear" w:color="auto" w:fill="00B050"/>
            <w:vAlign w:val="center"/>
          </w:tcPr>
          <w:p>
            <w:pPr>
              <w:spacing w:before="180" w:after="180"/>
              <w:jc w:val="center"/>
              <w:rPr>
                <w:rFonts w:cs="Times New Roman"/>
                <w:noProof/>
                <w:sz w:val="20"/>
                <w:szCs w:val="20"/>
              </w:rPr>
            </w:pPr>
          </w:p>
        </w:tc>
      </w:tr>
      <w:tr>
        <w:trPr>
          <w:cantSplit/>
          <w:jc w:val="center"/>
        </w:trPr>
        <w:tc>
          <w:tcPr>
            <w:tcW w:w="2830" w:type="dxa"/>
            <w:shd w:val="clear" w:color="auto" w:fill="DBE5F1" w:themeFill="accent1" w:themeFillTint="33"/>
          </w:tcPr>
          <w:p>
            <w:pPr>
              <w:spacing w:before="180" w:after="180"/>
              <w:rPr>
                <w:rFonts w:cs="Times New Roman"/>
                <w:noProof/>
                <w:sz w:val="20"/>
                <w:szCs w:val="20"/>
              </w:rPr>
            </w:pPr>
            <w:r>
              <w:rPr>
                <w:noProof/>
                <w:sz w:val="20"/>
                <w:szCs w:val="20"/>
              </w:rPr>
              <w:t>Controle op de verwerving en het voorhanden hebben van wapens</w:t>
            </w:r>
            <w:r>
              <w:rPr>
                <w:rStyle w:val="FootnoteReference"/>
                <w:rFonts w:cs="Times New Roman"/>
                <w:noProof/>
                <w:sz w:val="20"/>
                <w:szCs w:val="20"/>
              </w:rPr>
              <w:footnoteReference w:id="13"/>
            </w:r>
          </w:p>
        </w:tc>
        <w:tc>
          <w:tcPr>
            <w:tcW w:w="2776" w:type="dxa"/>
          </w:tcPr>
          <w:p>
            <w:pPr>
              <w:spacing w:before="180" w:after="180"/>
              <w:rPr>
                <w:rFonts w:cs="Times New Roman"/>
                <w:noProof/>
                <w:sz w:val="20"/>
                <w:szCs w:val="20"/>
              </w:rPr>
            </w:pPr>
            <w:r>
              <w:rPr>
                <w:noProof/>
                <w:sz w:val="20"/>
                <w:szCs w:val="20"/>
              </w:rPr>
              <w:t>Voorgesteld november 2015; formele vaststelling mei 2017.</w:t>
            </w:r>
          </w:p>
        </w:tc>
        <w:tc>
          <w:tcPr>
            <w:tcW w:w="1358" w:type="dxa"/>
            <w:shd w:val="clear" w:color="auto" w:fill="00B050"/>
            <w:vAlign w:val="center"/>
          </w:tcPr>
          <w:p>
            <w:pPr>
              <w:spacing w:before="180" w:after="180"/>
              <w:jc w:val="center"/>
              <w:rPr>
                <w:rFonts w:cs="Times New Roman"/>
                <w:noProof/>
                <w:sz w:val="20"/>
                <w:szCs w:val="20"/>
              </w:rPr>
            </w:pPr>
          </w:p>
        </w:tc>
        <w:tc>
          <w:tcPr>
            <w:tcW w:w="1359" w:type="dxa"/>
            <w:shd w:val="clear" w:color="auto" w:fill="00B050"/>
            <w:vAlign w:val="center"/>
          </w:tcPr>
          <w:p>
            <w:pPr>
              <w:spacing w:before="180" w:after="180"/>
              <w:jc w:val="center"/>
              <w:rPr>
                <w:rFonts w:cs="Times New Roman"/>
                <w:noProof/>
                <w:sz w:val="20"/>
                <w:szCs w:val="20"/>
              </w:rPr>
            </w:pPr>
          </w:p>
        </w:tc>
        <w:tc>
          <w:tcPr>
            <w:tcW w:w="1359" w:type="dxa"/>
            <w:shd w:val="clear" w:color="auto" w:fill="00B050"/>
            <w:vAlign w:val="center"/>
          </w:tcPr>
          <w:p>
            <w:pPr>
              <w:spacing w:before="180" w:after="180"/>
              <w:jc w:val="center"/>
              <w:rPr>
                <w:rFonts w:cs="Times New Roman"/>
                <w:noProof/>
                <w:sz w:val="20"/>
                <w:szCs w:val="20"/>
              </w:rPr>
            </w:pPr>
          </w:p>
        </w:tc>
      </w:tr>
      <w:tr>
        <w:trPr>
          <w:cantSplit/>
          <w:jc w:val="center"/>
        </w:trPr>
        <w:tc>
          <w:tcPr>
            <w:tcW w:w="2830" w:type="dxa"/>
            <w:shd w:val="clear" w:color="auto" w:fill="DBE5F1" w:themeFill="accent1" w:themeFillTint="33"/>
          </w:tcPr>
          <w:p>
            <w:pPr>
              <w:spacing w:before="180" w:after="180"/>
              <w:rPr>
                <w:rFonts w:cs="Times New Roman"/>
                <w:noProof/>
                <w:sz w:val="20"/>
                <w:szCs w:val="20"/>
              </w:rPr>
            </w:pPr>
            <w:r>
              <w:rPr>
                <w:noProof/>
                <w:sz w:val="20"/>
                <w:szCs w:val="20"/>
              </w:rPr>
              <w:t>Richtlijn terrorismebestrijding</w:t>
            </w:r>
            <w:r>
              <w:rPr>
                <w:rStyle w:val="FootnoteReference"/>
                <w:rFonts w:cs="Times New Roman"/>
                <w:noProof/>
                <w:sz w:val="20"/>
                <w:szCs w:val="20"/>
              </w:rPr>
              <w:footnoteReference w:id="14"/>
            </w:r>
          </w:p>
        </w:tc>
        <w:tc>
          <w:tcPr>
            <w:tcW w:w="2776" w:type="dxa"/>
          </w:tcPr>
          <w:p>
            <w:pPr>
              <w:spacing w:before="180" w:after="180"/>
              <w:rPr>
                <w:rFonts w:cs="Times New Roman"/>
                <w:noProof/>
                <w:sz w:val="20"/>
                <w:szCs w:val="20"/>
              </w:rPr>
            </w:pPr>
            <w:r>
              <w:rPr>
                <w:noProof/>
                <w:sz w:val="20"/>
                <w:szCs w:val="20"/>
              </w:rPr>
              <w:t>Voorgesteld december 2015; formele vaststelling maart 2017.</w:t>
            </w:r>
          </w:p>
        </w:tc>
        <w:tc>
          <w:tcPr>
            <w:tcW w:w="1358" w:type="dxa"/>
            <w:shd w:val="clear" w:color="auto" w:fill="00B050"/>
            <w:vAlign w:val="center"/>
          </w:tcPr>
          <w:p>
            <w:pPr>
              <w:spacing w:before="180" w:after="180"/>
              <w:jc w:val="center"/>
              <w:rPr>
                <w:rFonts w:cs="Times New Roman"/>
                <w:noProof/>
                <w:sz w:val="20"/>
                <w:szCs w:val="20"/>
              </w:rPr>
            </w:pPr>
          </w:p>
        </w:tc>
        <w:tc>
          <w:tcPr>
            <w:tcW w:w="1359" w:type="dxa"/>
            <w:shd w:val="clear" w:color="auto" w:fill="00B050"/>
            <w:vAlign w:val="center"/>
          </w:tcPr>
          <w:p>
            <w:pPr>
              <w:spacing w:before="180" w:after="180"/>
              <w:jc w:val="center"/>
              <w:rPr>
                <w:rFonts w:cs="Times New Roman"/>
                <w:noProof/>
                <w:sz w:val="20"/>
                <w:szCs w:val="20"/>
              </w:rPr>
            </w:pPr>
          </w:p>
        </w:tc>
        <w:tc>
          <w:tcPr>
            <w:tcW w:w="1359" w:type="dxa"/>
            <w:shd w:val="clear" w:color="auto" w:fill="00B050"/>
            <w:vAlign w:val="center"/>
          </w:tcPr>
          <w:p>
            <w:pPr>
              <w:spacing w:before="180" w:after="180"/>
              <w:jc w:val="center"/>
              <w:rPr>
                <w:rFonts w:cs="Times New Roman"/>
                <w:noProof/>
                <w:sz w:val="20"/>
                <w:szCs w:val="20"/>
              </w:rPr>
            </w:pPr>
          </w:p>
        </w:tc>
      </w:tr>
      <w:tr>
        <w:trPr>
          <w:cantSplit/>
          <w:jc w:val="center"/>
        </w:trPr>
        <w:tc>
          <w:tcPr>
            <w:tcW w:w="2830" w:type="dxa"/>
            <w:shd w:val="clear" w:color="auto" w:fill="DBE5F1" w:themeFill="accent1" w:themeFillTint="33"/>
          </w:tcPr>
          <w:p>
            <w:pPr>
              <w:spacing w:before="180" w:after="180"/>
              <w:rPr>
                <w:rFonts w:cs="Times New Roman"/>
                <w:noProof/>
                <w:sz w:val="20"/>
                <w:szCs w:val="20"/>
              </w:rPr>
            </w:pPr>
            <w:r>
              <w:rPr>
                <w:noProof/>
                <w:sz w:val="20"/>
                <w:szCs w:val="20"/>
              </w:rPr>
              <w:t>Cyberbeveiligingsverordening</w:t>
            </w:r>
            <w:r>
              <w:rPr>
                <w:rStyle w:val="FootnoteReference"/>
                <w:rFonts w:cs="Times New Roman"/>
                <w:noProof/>
                <w:sz w:val="20"/>
                <w:szCs w:val="20"/>
              </w:rPr>
              <w:footnoteReference w:id="15"/>
            </w:r>
          </w:p>
        </w:tc>
        <w:tc>
          <w:tcPr>
            <w:tcW w:w="2776" w:type="dxa"/>
          </w:tcPr>
          <w:p>
            <w:pPr>
              <w:spacing w:before="180" w:after="180"/>
              <w:rPr>
                <w:rFonts w:cs="Times New Roman"/>
                <w:noProof/>
                <w:sz w:val="20"/>
                <w:szCs w:val="20"/>
              </w:rPr>
            </w:pPr>
            <w:r>
              <w:rPr>
                <w:noProof/>
                <w:sz w:val="20"/>
                <w:szCs w:val="20"/>
              </w:rPr>
              <w:t>Voorgesteld september 2017; akkoord tussen mede</w:t>
            </w:r>
            <w:r>
              <w:rPr>
                <w:noProof/>
                <w:sz w:val="20"/>
                <w:szCs w:val="20"/>
              </w:rPr>
              <w:softHyphen/>
              <w:t>wetgevers; formele vaststelling april 2019.</w:t>
            </w:r>
          </w:p>
        </w:tc>
        <w:tc>
          <w:tcPr>
            <w:tcW w:w="1358" w:type="dxa"/>
            <w:shd w:val="clear" w:color="auto" w:fill="00B050"/>
            <w:vAlign w:val="center"/>
          </w:tcPr>
          <w:p>
            <w:pPr>
              <w:spacing w:before="180" w:after="180"/>
              <w:jc w:val="center"/>
              <w:rPr>
                <w:rFonts w:cs="Times New Roman"/>
                <w:noProof/>
                <w:sz w:val="20"/>
                <w:szCs w:val="20"/>
              </w:rPr>
            </w:pPr>
          </w:p>
        </w:tc>
        <w:tc>
          <w:tcPr>
            <w:tcW w:w="1359" w:type="dxa"/>
            <w:shd w:val="clear" w:color="auto" w:fill="00B050"/>
            <w:vAlign w:val="center"/>
          </w:tcPr>
          <w:p>
            <w:pPr>
              <w:spacing w:before="180" w:after="180"/>
              <w:jc w:val="center"/>
              <w:rPr>
                <w:rFonts w:cs="Times New Roman"/>
                <w:noProof/>
                <w:sz w:val="20"/>
                <w:szCs w:val="20"/>
              </w:rPr>
            </w:pPr>
          </w:p>
        </w:tc>
        <w:tc>
          <w:tcPr>
            <w:tcW w:w="1359" w:type="dxa"/>
            <w:shd w:val="clear" w:color="auto" w:fill="00B050"/>
            <w:vAlign w:val="center"/>
          </w:tcPr>
          <w:p>
            <w:pPr>
              <w:spacing w:before="180" w:after="180"/>
              <w:jc w:val="center"/>
              <w:rPr>
                <w:rFonts w:cs="Times New Roman"/>
                <w:noProof/>
                <w:sz w:val="20"/>
                <w:szCs w:val="20"/>
              </w:rPr>
            </w:pPr>
          </w:p>
        </w:tc>
      </w:tr>
      <w:tr>
        <w:trPr>
          <w:cantSplit/>
          <w:jc w:val="center"/>
        </w:trPr>
        <w:tc>
          <w:tcPr>
            <w:tcW w:w="2830" w:type="dxa"/>
            <w:tcBorders>
              <w:bottom w:val="single" w:sz="4" w:space="0" w:color="auto"/>
            </w:tcBorders>
            <w:shd w:val="clear" w:color="auto" w:fill="DBE5F1" w:themeFill="accent1" w:themeFillTint="33"/>
          </w:tcPr>
          <w:p>
            <w:pPr>
              <w:spacing w:before="180" w:after="180"/>
              <w:rPr>
                <w:rFonts w:cs="Times New Roman"/>
                <w:noProof/>
                <w:sz w:val="20"/>
                <w:szCs w:val="20"/>
              </w:rPr>
            </w:pPr>
            <w:r>
              <w:rPr>
                <w:noProof/>
                <w:sz w:val="20"/>
                <w:szCs w:val="20"/>
              </w:rPr>
              <w:t>Europees Strafregisterinformatiesysteem</w:t>
            </w:r>
            <w:r>
              <w:rPr>
                <w:rStyle w:val="FootnoteReference"/>
                <w:rFonts w:cs="Times New Roman"/>
                <w:noProof/>
                <w:sz w:val="20"/>
                <w:szCs w:val="20"/>
              </w:rPr>
              <w:footnoteReference w:id="16"/>
            </w:r>
          </w:p>
        </w:tc>
        <w:tc>
          <w:tcPr>
            <w:tcW w:w="2776" w:type="dxa"/>
            <w:tcBorders>
              <w:bottom w:val="single" w:sz="4" w:space="0" w:color="auto"/>
            </w:tcBorders>
          </w:tcPr>
          <w:p>
            <w:pPr>
              <w:spacing w:before="180" w:after="180"/>
              <w:rPr>
                <w:rFonts w:cs="Times New Roman"/>
                <w:noProof/>
                <w:sz w:val="20"/>
                <w:szCs w:val="20"/>
              </w:rPr>
            </w:pPr>
            <w:r>
              <w:rPr>
                <w:noProof/>
                <w:sz w:val="20"/>
                <w:szCs w:val="20"/>
              </w:rPr>
              <w:t>Voorgesteld januari 2016 en aangevuld juni 2017; formele vaststelling maart 2019.</w:t>
            </w:r>
          </w:p>
        </w:tc>
        <w:tc>
          <w:tcPr>
            <w:tcW w:w="1358" w:type="dxa"/>
            <w:tcBorders>
              <w:bottom w:val="single" w:sz="4" w:space="0" w:color="auto"/>
            </w:tcBorders>
            <w:shd w:val="clear" w:color="auto" w:fill="00B050"/>
            <w:vAlign w:val="center"/>
          </w:tcPr>
          <w:p>
            <w:pPr>
              <w:spacing w:before="180" w:after="180"/>
              <w:jc w:val="center"/>
              <w:rPr>
                <w:rFonts w:cs="Times New Roman"/>
                <w:noProof/>
                <w:sz w:val="20"/>
                <w:szCs w:val="20"/>
              </w:rPr>
            </w:pPr>
          </w:p>
        </w:tc>
        <w:tc>
          <w:tcPr>
            <w:tcW w:w="1359" w:type="dxa"/>
            <w:tcBorders>
              <w:bottom w:val="single" w:sz="4" w:space="0" w:color="auto"/>
            </w:tcBorders>
            <w:shd w:val="clear" w:color="auto" w:fill="00B050"/>
            <w:vAlign w:val="center"/>
          </w:tcPr>
          <w:p>
            <w:pPr>
              <w:spacing w:before="180" w:after="180"/>
              <w:jc w:val="center"/>
              <w:rPr>
                <w:rFonts w:cs="Times New Roman"/>
                <w:noProof/>
                <w:sz w:val="20"/>
                <w:szCs w:val="20"/>
              </w:rPr>
            </w:pPr>
          </w:p>
        </w:tc>
        <w:tc>
          <w:tcPr>
            <w:tcW w:w="1359" w:type="dxa"/>
            <w:tcBorders>
              <w:bottom w:val="single" w:sz="4" w:space="0" w:color="auto"/>
            </w:tcBorders>
            <w:shd w:val="clear" w:color="auto" w:fill="00B050"/>
            <w:vAlign w:val="center"/>
          </w:tcPr>
          <w:p>
            <w:pPr>
              <w:spacing w:before="180" w:after="180"/>
              <w:jc w:val="center"/>
              <w:rPr>
                <w:rFonts w:cs="Times New Roman"/>
                <w:noProof/>
                <w:sz w:val="20"/>
                <w:szCs w:val="20"/>
              </w:rPr>
            </w:pPr>
          </w:p>
        </w:tc>
      </w:tr>
      <w:tr>
        <w:trPr>
          <w:cantSplit/>
          <w:jc w:val="center"/>
        </w:trPr>
        <w:tc>
          <w:tcPr>
            <w:tcW w:w="2830" w:type="dxa"/>
            <w:tcBorders>
              <w:top w:val="single" w:sz="4" w:space="0" w:color="auto"/>
            </w:tcBorders>
            <w:shd w:val="clear" w:color="auto" w:fill="DBE5F1" w:themeFill="accent1" w:themeFillTint="33"/>
          </w:tcPr>
          <w:p>
            <w:pPr>
              <w:spacing w:before="180" w:after="180"/>
              <w:rPr>
                <w:rFonts w:cs="Times New Roman"/>
                <w:noProof/>
                <w:sz w:val="20"/>
                <w:szCs w:val="20"/>
              </w:rPr>
            </w:pPr>
            <w:r>
              <w:rPr>
                <w:noProof/>
                <w:sz w:val="20"/>
                <w:szCs w:val="20"/>
              </w:rPr>
              <w:t>Interoperabiliteit van de EU-informatiesystemen op het gebied van veiligheid en grens- en migratiebeheer</w:t>
            </w:r>
            <w:r>
              <w:rPr>
                <w:rStyle w:val="FootnoteReference"/>
                <w:rFonts w:cs="Times New Roman"/>
                <w:noProof/>
                <w:sz w:val="20"/>
                <w:szCs w:val="20"/>
              </w:rPr>
              <w:footnoteReference w:id="17"/>
            </w:r>
          </w:p>
        </w:tc>
        <w:tc>
          <w:tcPr>
            <w:tcW w:w="2776" w:type="dxa"/>
            <w:tcBorders>
              <w:top w:val="single" w:sz="4" w:space="0" w:color="auto"/>
            </w:tcBorders>
          </w:tcPr>
          <w:p>
            <w:pPr>
              <w:spacing w:before="180" w:after="180"/>
              <w:rPr>
                <w:rFonts w:cs="Times New Roman"/>
                <w:noProof/>
                <w:sz w:val="20"/>
                <w:szCs w:val="20"/>
              </w:rPr>
            </w:pPr>
            <w:r>
              <w:rPr>
                <w:noProof/>
                <w:sz w:val="20"/>
                <w:szCs w:val="20"/>
              </w:rPr>
              <w:t>Voorgesteld januari 2017 en gewijzigd juni 2018; formele vaststelling april 2019.</w:t>
            </w:r>
          </w:p>
        </w:tc>
        <w:tc>
          <w:tcPr>
            <w:tcW w:w="1358" w:type="dxa"/>
            <w:tcBorders>
              <w:top w:val="single" w:sz="4" w:space="0" w:color="auto"/>
            </w:tcBorders>
            <w:shd w:val="clear" w:color="auto" w:fill="00B050"/>
            <w:vAlign w:val="center"/>
          </w:tcPr>
          <w:p>
            <w:pPr>
              <w:spacing w:before="180" w:after="180"/>
              <w:jc w:val="center"/>
              <w:rPr>
                <w:rFonts w:cs="Times New Roman"/>
                <w:noProof/>
                <w:sz w:val="20"/>
                <w:szCs w:val="20"/>
              </w:rPr>
            </w:pPr>
          </w:p>
        </w:tc>
        <w:tc>
          <w:tcPr>
            <w:tcW w:w="1359" w:type="dxa"/>
            <w:tcBorders>
              <w:top w:val="single" w:sz="4" w:space="0" w:color="auto"/>
            </w:tcBorders>
            <w:shd w:val="clear" w:color="auto" w:fill="00B050"/>
            <w:vAlign w:val="center"/>
          </w:tcPr>
          <w:p>
            <w:pPr>
              <w:spacing w:before="180" w:after="180"/>
              <w:jc w:val="center"/>
              <w:rPr>
                <w:rFonts w:cs="Times New Roman"/>
                <w:noProof/>
                <w:sz w:val="20"/>
                <w:szCs w:val="20"/>
              </w:rPr>
            </w:pPr>
          </w:p>
        </w:tc>
        <w:tc>
          <w:tcPr>
            <w:tcW w:w="1359" w:type="dxa"/>
            <w:tcBorders>
              <w:top w:val="single" w:sz="4" w:space="0" w:color="auto"/>
            </w:tcBorders>
            <w:shd w:val="clear" w:color="auto" w:fill="00B050"/>
            <w:vAlign w:val="center"/>
          </w:tcPr>
          <w:p>
            <w:pPr>
              <w:spacing w:before="180" w:after="180"/>
              <w:jc w:val="center"/>
              <w:rPr>
                <w:rFonts w:cs="Times New Roman"/>
                <w:noProof/>
                <w:sz w:val="20"/>
                <w:szCs w:val="20"/>
              </w:rPr>
            </w:pPr>
          </w:p>
        </w:tc>
      </w:tr>
      <w:tr>
        <w:trPr>
          <w:cantSplit/>
          <w:jc w:val="center"/>
        </w:trPr>
        <w:tc>
          <w:tcPr>
            <w:tcW w:w="2830" w:type="dxa"/>
            <w:shd w:val="clear" w:color="auto" w:fill="DBE5F1" w:themeFill="accent1" w:themeFillTint="33"/>
          </w:tcPr>
          <w:p>
            <w:pPr>
              <w:spacing w:before="180" w:after="180"/>
              <w:rPr>
                <w:rFonts w:cs="Times New Roman"/>
                <w:noProof/>
                <w:sz w:val="20"/>
                <w:szCs w:val="20"/>
              </w:rPr>
            </w:pPr>
            <w:r>
              <w:rPr>
                <w:noProof/>
                <w:sz w:val="20"/>
                <w:szCs w:val="20"/>
              </w:rPr>
              <w:t>Grensoverschrijdende toegang van rechtshandhavingsinstanties tot elektronisch bewijsmateriaal</w:t>
            </w:r>
            <w:r>
              <w:rPr>
                <w:rStyle w:val="FootnoteReference"/>
                <w:rFonts w:cs="Times New Roman"/>
                <w:noProof/>
                <w:sz w:val="20"/>
                <w:szCs w:val="20"/>
              </w:rPr>
              <w:footnoteReference w:id="18"/>
            </w:r>
          </w:p>
        </w:tc>
        <w:tc>
          <w:tcPr>
            <w:tcW w:w="2776" w:type="dxa"/>
          </w:tcPr>
          <w:p>
            <w:pPr>
              <w:spacing w:before="180" w:after="180"/>
              <w:rPr>
                <w:rFonts w:cs="Times New Roman"/>
                <w:noProof/>
                <w:sz w:val="20"/>
                <w:szCs w:val="20"/>
              </w:rPr>
            </w:pPr>
            <w:r>
              <w:rPr>
                <w:noProof/>
                <w:sz w:val="20"/>
                <w:szCs w:val="20"/>
              </w:rPr>
              <w:t>Voorgesteld april 2018; Raad heeft onderhandelings</w:t>
            </w:r>
            <w:r>
              <w:rPr>
                <w:noProof/>
                <w:sz w:val="20"/>
                <w:szCs w:val="20"/>
              </w:rPr>
              <w:softHyphen/>
              <w:t>mandaat vastgesteld; Europees Parlement moet onderhandelings</w:t>
            </w:r>
            <w:r>
              <w:rPr>
                <w:noProof/>
                <w:sz w:val="20"/>
                <w:szCs w:val="20"/>
              </w:rPr>
              <w:softHyphen/>
              <w:t>mandaat vaststellen en trialoog</w:t>
            </w:r>
            <w:r>
              <w:rPr>
                <w:noProof/>
                <w:sz w:val="20"/>
                <w:szCs w:val="20"/>
              </w:rPr>
              <w:softHyphen/>
              <w:t>besprekingen aangaan.</w:t>
            </w:r>
          </w:p>
        </w:tc>
        <w:tc>
          <w:tcPr>
            <w:tcW w:w="1358" w:type="dxa"/>
            <w:shd w:val="clear" w:color="auto" w:fill="00B050"/>
            <w:vAlign w:val="center"/>
          </w:tcPr>
          <w:p>
            <w:pPr>
              <w:spacing w:before="180" w:after="180"/>
              <w:jc w:val="center"/>
              <w:rPr>
                <w:rFonts w:cs="Times New Roman"/>
                <w:noProof/>
                <w:sz w:val="20"/>
                <w:szCs w:val="20"/>
              </w:rPr>
            </w:pPr>
          </w:p>
        </w:tc>
        <w:tc>
          <w:tcPr>
            <w:tcW w:w="1359" w:type="dxa"/>
            <w:shd w:val="clear" w:color="auto" w:fill="F79646" w:themeFill="accent6"/>
            <w:vAlign w:val="center"/>
          </w:tcPr>
          <w:p>
            <w:pPr>
              <w:spacing w:before="180" w:after="180"/>
              <w:jc w:val="center"/>
              <w:rPr>
                <w:rFonts w:cs="Times New Roman"/>
                <w:noProof/>
                <w:sz w:val="20"/>
                <w:szCs w:val="20"/>
              </w:rPr>
            </w:pPr>
          </w:p>
        </w:tc>
        <w:tc>
          <w:tcPr>
            <w:tcW w:w="1359" w:type="dxa"/>
            <w:shd w:val="clear" w:color="auto" w:fill="FFFF00"/>
            <w:vAlign w:val="center"/>
          </w:tcPr>
          <w:p>
            <w:pPr>
              <w:spacing w:before="180" w:after="180"/>
              <w:jc w:val="center"/>
              <w:rPr>
                <w:rFonts w:cs="Times New Roman"/>
                <w:noProof/>
                <w:sz w:val="20"/>
                <w:szCs w:val="20"/>
              </w:rPr>
            </w:pPr>
          </w:p>
        </w:tc>
      </w:tr>
      <w:tr>
        <w:trPr>
          <w:cantSplit/>
          <w:jc w:val="center"/>
        </w:trPr>
        <w:tc>
          <w:tcPr>
            <w:tcW w:w="2830" w:type="dxa"/>
            <w:shd w:val="clear" w:color="auto" w:fill="DBE5F1" w:themeFill="accent1" w:themeFillTint="33"/>
          </w:tcPr>
          <w:p>
            <w:pPr>
              <w:spacing w:before="180" w:after="180"/>
              <w:rPr>
                <w:rFonts w:cs="Times New Roman"/>
                <w:noProof/>
                <w:sz w:val="20"/>
                <w:szCs w:val="20"/>
              </w:rPr>
            </w:pPr>
            <w:r>
              <w:rPr>
                <w:noProof/>
                <w:sz w:val="20"/>
                <w:szCs w:val="20"/>
              </w:rPr>
              <w:t>Grensoverschrijdende toegang tot en gebruik van financiële gegevens door rechtshandhavingsinstanties</w:t>
            </w:r>
            <w:r>
              <w:rPr>
                <w:rStyle w:val="FootnoteReference"/>
                <w:rFonts w:cs="Times New Roman"/>
                <w:noProof/>
                <w:sz w:val="20"/>
                <w:szCs w:val="20"/>
              </w:rPr>
              <w:footnoteReference w:id="19"/>
            </w:r>
          </w:p>
        </w:tc>
        <w:tc>
          <w:tcPr>
            <w:tcW w:w="2776" w:type="dxa"/>
          </w:tcPr>
          <w:p>
            <w:pPr>
              <w:spacing w:before="180" w:after="180"/>
              <w:rPr>
                <w:rFonts w:cs="Times New Roman"/>
                <w:noProof/>
                <w:sz w:val="20"/>
                <w:szCs w:val="20"/>
              </w:rPr>
            </w:pPr>
            <w:r>
              <w:rPr>
                <w:noProof/>
                <w:sz w:val="20"/>
                <w:szCs w:val="20"/>
              </w:rPr>
              <w:t>Voorgesteld april 2018; formele vaststelling april 2019.</w:t>
            </w:r>
          </w:p>
        </w:tc>
        <w:tc>
          <w:tcPr>
            <w:tcW w:w="1358" w:type="dxa"/>
            <w:shd w:val="clear" w:color="auto" w:fill="00B050"/>
            <w:vAlign w:val="center"/>
          </w:tcPr>
          <w:p>
            <w:pPr>
              <w:spacing w:before="180" w:after="180"/>
              <w:jc w:val="center"/>
              <w:rPr>
                <w:rFonts w:cs="Times New Roman"/>
                <w:noProof/>
                <w:sz w:val="20"/>
                <w:szCs w:val="20"/>
              </w:rPr>
            </w:pPr>
          </w:p>
        </w:tc>
        <w:tc>
          <w:tcPr>
            <w:tcW w:w="1359" w:type="dxa"/>
            <w:shd w:val="clear" w:color="auto" w:fill="00B050"/>
            <w:vAlign w:val="center"/>
          </w:tcPr>
          <w:p>
            <w:pPr>
              <w:spacing w:before="180" w:after="180"/>
              <w:jc w:val="center"/>
              <w:rPr>
                <w:rFonts w:cs="Times New Roman"/>
                <w:noProof/>
                <w:sz w:val="20"/>
                <w:szCs w:val="20"/>
              </w:rPr>
            </w:pPr>
          </w:p>
        </w:tc>
        <w:tc>
          <w:tcPr>
            <w:tcW w:w="1359" w:type="dxa"/>
            <w:shd w:val="clear" w:color="auto" w:fill="00B050"/>
            <w:vAlign w:val="center"/>
          </w:tcPr>
          <w:p>
            <w:pPr>
              <w:spacing w:before="180" w:after="180"/>
              <w:jc w:val="center"/>
              <w:rPr>
                <w:rFonts w:cs="Times New Roman"/>
                <w:noProof/>
                <w:sz w:val="20"/>
                <w:szCs w:val="20"/>
              </w:rPr>
            </w:pPr>
          </w:p>
        </w:tc>
      </w:tr>
      <w:tr>
        <w:trPr>
          <w:cantSplit/>
          <w:jc w:val="center"/>
        </w:trPr>
        <w:tc>
          <w:tcPr>
            <w:tcW w:w="2830" w:type="dxa"/>
            <w:shd w:val="clear" w:color="auto" w:fill="DBE5F1" w:themeFill="accent1" w:themeFillTint="33"/>
          </w:tcPr>
          <w:p>
            <w:pPr>
              <w:spacing w:before="180" w:after="180"/>
              <w:rPr>
                <w:rFonts w:cs="Times New Roman"/>
                <w:noProof/>
                <w:sz w:val="20"/>
                <w:szCs w:val="20"/>
              </w:rPr>
            </w:pPr>
            <w:r>
              <w:rPr>
                <w:noProof/>
                <w:sz w:val="20"/>
                <w:szCs w:val="20"/>
              </w:rPr>
              <w:t>Versterking van Eurodac</w:t>
            </w:r>
            <w:r>
              <w:rPr>
                <w:rStyle w:val="FootnoteReference"/>
                <w:rFonts w:cs="Times New Roman"/>
                <w:noProof/>
                <w:sz w:val="20"/>
                <w:szCs w:val="20"/>
              </w:rPr>
              <w:footnoteReference w:id="20"/>
            </w:r>
          </w:p>
        </w:tc>
        <w:tc>
          <w:tcPr>
            <w:tcW w:w="2776" w:type="dxa"/>
          </w:tcPr>
          <w:p>
            <w:pPr>
              <w:spacing w:before="180" w:after="180"/>
              <w:rPr>
                <w:rFonts w:cs="Times New Roman"/>
                <w:noProof/>
                <w:sz w:val="20"/>
                <w:szCs w:val="20"/>
              </w:rPr>
            </w:pPr>
            <w:r>
              <w:rPr>
                <w:noProof/>
                <w:sz w:val="20"/>
                <w:szCs w:val="20"/>
              </w:rPr>
              <w:t>Voorgesteld mei 2016; onderhandelingen tussen Europees Parlement en Raad hebben vergevorderd stadium bereikt en moeten worden afgerond.</w:t>
            </w:r>
          </w:p>
        </w:tc>
        <w:tc>
          <w:tcPr>
            <w:tcW w:w="1358" w:type="dxa"/>
            <w:shd w:val="clear" w:color="auto" w:fill="00B050"/>
            <w:vAlign w:val="center"/>
          </w:tcPr>
          <w:p>
            <w:pPr>
              <w:spacing w:before="180" w:after="180"/>
              <w:jc w:val="center"/>
              <w:rPr>
                <w:rFonts w:cs="Times New Roman"/>
                <w:noProof/>
                <w:sz w:val="20"/>
                <w:szCs w:val="20"/>
              </w:rPr>
            </w:pPr>
          </w:p>
        </w:tc>
        <w:tc>
          <w:tcPr>
            <w:tcW w:w="1359" w:type="dxa"/>
            <w:shd w:val="clear" w:color="auto" w:fill="F79646" w:themeFill="accent6"/>
            <w:vAlign w:val="center"/>
          </w:tcPr>
          <w:p>
            <w:pPr>
              <w:spacing w:before="180" w:after="180"/>
              <w:jc w:val="center"/>
              <w:rPr>
                <w:rFonts w:cs="Times New Roman"/>
                <w:noProof/>
                <w:sz w:val="20"/>
                <w:szCs w:val="20"/>
              </w:rPr>
            </w:pPr>
          </w:p>
        </w:tc>
        <w:tc>
          <w:tcPr>
            <w:tcW w:w="1359" w:type="dxa"/>
            <w:shd w:val="clear" w:color="auto" w:fill="F79646" w:themeFill="accent6"/>
            <w:vAlign w:val="center"/>
          </w:tcPr>
          <w:p>
            <w:pPr>
              <w:spacing w:before="180" w:after="180"/>
              <w:jc w:val="center"/>
              <w:rPr>
                <w:rFonts w:cs="Times New Roman"/>
                <w:noProof/>
                <w:sz w:val="20"/>
                <w:szCs w:val="20"/>
              </w:rPr>
            </w:pPr>
          </w:p>
        </w:tc>
      </w:tr>
    </w:tbl>
    <w:p>
      <w:pPr>
        <w:rPr>
          <w:rFonts w:cs="Times New Roman"/>
          <w:noProof/>
        </w:rPr>
      </w:pPr>
    </w:p>
    <w:p>
      <w:pPr>
        <w:rPr>
          <w:rStyle w:val="A13"/>
          <w:rFonts w:cs="Times New Roman"/>
          <w:noProof/>
          <w:sz w:val="23"/>
          <w:szCs w:val="23"/>
        </w:rPr>
      </w:pPr>
      <w:r>
        <w:rPr>
          <w:noProof/>
        </w:rPr>
        <w:br w:type="page"/>
      </w:r>
    </w:p>
    <w:p>
      <w:pPr>
        <w:pStyle w:val="Pa35"/>
        <w:keepNext/>
        <w:spacing w:after="120"/>
        <w:rPr>
          <w:rFonts w:ascii="Times New Roman" w:hAnsi="Times New Roman" w:cs="Times New Roman"/>
          <w:noProof/>
        </w:rPr>
      </w:pPr>
      <w:r>
        <w:rPr>
          <w:rStyle w:val="A13"/>
          <w:rFonts w:ascii="Times New Roman" w:hAnsi="Times New Roman"/>
          <w:noProof/>
          <w:sz w:val="23"/>
          <w:szCs w:val="23"/>
        </w:rPr>
        <w:t>III. Andere in bespreking zijnde wetgevingsinitiatieven in het kader van de Veiligheidsunie</w:t>
      </w:r>
    </w:p>
    <w:tbl>
      <w:tblPr>
        <w:tblStyle w:val="TableGrid"/>
        <w:tblW w:w="0" w:type="auto"/>
        <w:jc w:val="center"/>
        <w:tblLayout w:type="fixed"/>
        <w:tblLook w:val="04A0" w:firstRow="1" w:lastRow="0" w:firstColumn="1" w:lastColumn="0" w:noHBand="0" w:noVBand="1"/>
      </w:tblPr>
      <w:tblGrid>
        <w:gridCol w:w="2773"/>
        <w:gridCol w:w="2693"/>
        <w:gridCol w:w="1367"/>
        <w:gridCol w:w="1367"/>
        <w:gridCol w:w="1367"/>
      </w:tblGrid>
      <w:tr>
        <w:trPr>
          <w:cantSplit/>
          <w:jc w:val="center"/>
        </w:trPr>
        <w:tc>
          <w:tcPr>
            <w:tcW w:w="2773" w:type="dxa"/>
            <w:vAlign w:val="center"/>
          </w:tcPr>
          <w:p>
            <w:pPr>
              <w:jc w:val="center"/>
              <w:rPr>
                <w:rFonts w:cs="Times New Roman"/>
                <w:b/>
                <w:noProof/>
              </w:rPr>
            </w:pPr>
            <w:r>
              <w:rPr>
                <w:b/>
                <w:noProof/>
              </w:rPr>
              <w:t>Beleid</w:t>
            </w:r>
          </w:p>
        </w:tc>
        <w:tc>
          <w:tcPr>
            <w:tcW w:w="2693" w:type="dxa"/>
            <w:vAlign w:val="center"/>
          </w:tcPr>
          <w:p>
            <w:pPr>
              <w:jc w:val="center"/>
              <w:rPr>
                <w:rFonts w:cs="Times New Roman"/>
                <w:b/>
                <w:noProof/>
              </w:rPr>
            </w:pPr>
            <w:r>
              <w:rPr>
                <w:b/>
                <w:noProof/>
              </w:rPr>
              <w:t>Omschrijving</w:t>
            </w:r>
          </w:p>
        </w:tc>
        <w:tc>
          <w:tcPr>
            <w:tcW w:w="1367" w:type="dxa"/>
            <w:vAlign w:val="center"/>
          </w:tcPr>
          <w:p>
            <w:pPr>
              <w:jc w:val="center"/>
              <w:rPr>
                <w:rFonts w:cs="Times New Roman"/>
                <w:b/>
                <w:noProof/>
              </w:rPr>
            </w:pPr>
            <w:r>
              <w:rPr>
                <w:b/>
                <w:noProof/>
              </w:rPr>
              <w:t>Europese Commissie</w:t>
            </w:r>
          </w:p>
        </w:tc>
        <w:tc>
          <w:tcPr>
            <w:tcW w:w="1367" w:type="dxa"/>
            <w:vAlign w:val="center"/>
          </w:tcPr>
          <w:p>
            <w:pPr>
              <w:jc w:val="center"/>
              <w:rPr>
                <w:rFonts w:cs="Times New Roman"/>
                <w:b/>
                <w:noProof/>
              </w:rPr>
            </w:pPr>
            <w:r>
              <w:rPr>
                <w:b/>
                <w:noProof/>
              </w:rPr>
              <w:t>Europees Parlement</w:t>
            </w:r>
          </w:p>
        </w:tc>
        <w:tc>
          <w:tcPr>
            <w:tcW w:w="1367" w:type="dxa"/>
            <w:vAlign w:val="center"/>
          </w:tcPr>
          <w:p>
            <w:pPr>
              <w:jc w:val="center"/>
              <w:rPr>
                <w:rFonts w:cs="Times New Roman"/>
                <w:b/>
                <w:noProof/>
              </w:rPr>
            </w:pPr>
            <w:r>
              <w:rPr>
                <w:b/>
                <w:noProof/>
              </w:rPr>
              <w:t>Raad</w:t>
            </w:r>
            <w:r>
              <w:rPr>
                <w:b/>
                <w:noProof/>
              </w:rPr>
              <w:br/>
              <w:t>van de Europese Unie</w:t>
            </w:r>
          </w:p>
        </w:tc>
      </w:tr>
      <w:tr>
        <w:trPr>
          <w:cantSplit/>
          <w:jc w:val="center"/>
        </w:trPr>
        <w:tc>
          <w:tcPr>
            <w:tcW w:w="2773" w:type="dxa"/>
            <w:shd w:val="clear" w:color="auto" w:fill="DBE5F1" w:themeFill="accent1" w:themeFillTint="33"/>
          </w:tcPr>
          <w:p>
            <w:pPr>
              <w:spacing w:before="180" w:after="180"/>
              <w:rPr>
                <w:rFonts w:cs="Times New Roman"/>
                <w:noProof/>
                <w:sz w:val="20"/>
                <w:szCs w:val="20"/>
              </w:rPr>
            </w:pPr>
            <w:r>
              <w:rPr>
                <w:noProof/>
                <w:sz w:val="20"/>
                <w:szCs w:val="20"/>
              </w:rPr>
              <w:t>Bestrijding van fraude met en vervalsing van niet-contante betaalmiddelen</w:t>
            </w:r>
            <w:r>
              <w:rPr>
                <w:rStyle w:val="FootnoteReference"/>
                <w:rFonts w:cs="Times New Roman"/>
                <w:noProof/>
                <w:sz w:val="20"/>
                <w:szCs w:val="20"/>
              </w:rPr>
              <w:footnoteReference w:id="21"/>
            </w:r>
          </w:p>
        </w:tc>
        <w:tc>
          <w:tcPr>
            <w:tcW w:w="2693" w:type="dxa"/>
          </w:tcPr>
          <w:p>
            <w:pPr>
              <w:spacing w:before="180" w:after="180"/>
              <w:rPr>
                <w:rFonts w:cs="Times New Roman"/>
                <w:noProof/>
                <w:sz w:val="20"/>
                <w:szCs w:val="20"/>
              </w:rPr>
            </w:pPr>
            <w:r>
              <w:rPr>
                <w:noProof/>
                <w:sz w:val="20"/>
                <w:szCs w:val="20"/>
              </w:rPr>
              <w:t>Voorgesteld september 2017; formele vaststelling april 2019.</w:t>
            </w:r>
          </w:p>
        </w:tc>
        <w:tc>
          <w:tcPr>
            <w:tcW w:w="1367" w:type="dxa"/>
            <w:shd w:val="clear" w:color="auto" w:fill="00B050"/>
          </w:tcPr>
          <w:p>
            <w:pPr>
              <w:spacing w:before="180" w:after="180"/>
              <w:jc w:val="center"/>
              <w:rPr>
                <w:rFonts w:cs="Times New Roman"/>
                <w:noProof/>
                <w:sz w:val="20"/>
                <w:szCs w:val="20"/>
              </w:rPr>
            </w:pPr>
          </w:p>
        </w:tc>
        <w:tc>
          <w:tcPr>
            <w:tcW w:w="1367" w:type="dxa"/>
            <w:shd w:val="clear" w:color="auto" w:fill="00B050"/>
          </w:tcPr>
          <w:p>
            <w:pPr>
              <w:spacing w:before="180" w:after="180"/>
              <w:jc w:val="center"/>
              <w:rPr>
                <w:rFonts w:cs="Times New Roman"/>
                <w:noProof/>
                <w:sz w:val="20"/>
                <w:szCs w:val="20"/>
              </w:rPr>
            </w:pPr>
          </w:p>
        </w:tc>
        <w:tc>
          <w:tcPr>
            <w:tcW w:w="1367" w:type="dxa"/>
            <w:shd w:val="clear" w:color="auto" w:fill="00B050"/>
          </w:tcPr>
          <w:p>
            <w:pPr>
              <w:spacing w:before="180" w:after="180"/>
              <w:jc w:val="center"/>
              <w:rPr>
                <w:rFonts w:cs="Times New Roman"/>
                <w:noProof/>
                <w:sz w:val="20"/>
                <w:szCs w:val="20"/>
              </w:rPr>
            </w:pPr>
          </w:p>
        </w:tc>
      </w:tr>
      <w:tr>
        <w:trPr>
          <w:cantSplit/>
          <w:jc w:val="center"/>
        </w:trPr>
        <w:tc>
          <w:tcPr>
            <w:tcW w:w="2773" w:type="dxa"/>
            <w:shd w:val="clear" w:color="auto" w:fill="DBE5F1" w:themeFill="accent1" w:themeFillTint="33"/>
          </w:tcPr>
          <w:p>
            <w:pPr>
              <w:spacing w:before="180" w:after="180"/>
              <w:rPr>
                <w:rFonts w:cs="Times New Roman"/>
                <w:noProof/>
                <w:sz w:val="20"/>
                <w:szCs w:val="20"/>
              </w:rPr>
            </w:pPr>
            <w:r>
              <w:rPr>
                <w:noProof/>
                <w:sz w:val="20"/>
                <w:szCs w:val="20"/>
              </w:rPr>
              <w:t>Beperkingen op het op de markt brengen en het gebruik van precursoren voor explosieven</w:t>
            </w:r>
            <w:r>
              <w:rPr>
                <w:rStyle w:val="FootnoteReference"/>
                <w:rFonts w:cs="Times New Roman"/>
                <w:noProof/>
                <w:sz w:val="20"/>
                <w:szCs w:val="20"/>
              </w:rPr>
              <w:footnoteReference w:id="22"/>
            </w:r>
          </w:p>
        </w:tc>
        <w:tc>
          <w:tcPr>
            <w:tcW w:w="2693" w:type="dxa"/>
          </w:tcPr>
          <w:p>
            <w:pPr>
              <w:spacing w:before="180" w:after="180"/>
              <w:rPr>
                <w:rFonts w:cs="Times New Roman"/>
                <w:noProof/>
                <w:sz w:val="20"/>
                <w:szCs w:val="20"/>
              </w:rPr>
            </w:pPr>
            <w:r>
              <w:rPr>
                <w:noProof/>
                <w:sz w:val="20"/>
                <w:szCs w:val="20"/>
              </w:rPr>
              <w:t>Voorgesteld april 2018; formele vaststelling april 2019.</w:t>
            </w:r>
          </w:p>
        </w:tc>
        <w:tc>
          <w:tcPr>
            <w:tcW w:w="1367" w:type="dxa"/>
            <w:shd w:val="clear" w:color="auto" w:fill="00B050"/>
          </w:tcPr>
          <w:p>
            <w:pPr>
              <w:spacing w:before="180" w:after="180"/>
              <w:jc w:val="center"/>
              <w:rPr>
                <w:rFonts w:cs="Times New Roman"/>
                <w:noProof/>
                <w:sz w:val="20"/>
                <w:szCs w:val="20"/>
              </w:rPr>
            </w:pPr>
          </w:p>
        </w:tc>
        <w:tc>
          <w:tcPr>
            <w:tcW w:w="1367" w:type="dxa"/>
            <w:shd w:val="clear" w:color="auto" w:fill="00B050"/>
          </w:tcPr>
          <w:p>
            <w:pPr>
              <w:spacing w:before="180" w:after="180"/>
              <w:jc w:val="center"/>
              <w:rPr>
                <w:rFonts w:cs="Times New Roman"/>
                <w:noProof/>
                <w:sz w:val="20"/>
                <w:szCs w:val="20"/>
              </w:rPr>
            </w:pPr>
          </w:p>
        </w:tc>
        <w:tc>
          <w:tcPr>
            <w:tcW w:w="1367" w:type="dxa"/>
            <w:shd w:val="clear" w:color="auto" w:fill="00B050"/>
          </w:tcPr>
          <w:p>
            <w:pPr>
              <w:spacing w:before="180" w:after="180"/>
              <w:jc w:val="center"/>
              <w:rPr>
                <w:rFonts w:cs="Times New Roman"/>
                <w:noProof/>
                <w:sz w:val="20"/>
                <w:szCs w:val="20"/>
              </w:rPr>
            </w:pPr>
          </w:p>
        </w:tc>
      </w:tr>
      <w:tr>
        <w:trPr>
          <w:cantSplit/>
          <w:jc w:val="center"/>
        </w:trPr>
        <w:tc>
          <w:tcPr>
            <w:tcW w:w="2773" w:type="dxa"/>
            <w:shd w:val="clear" w:color="auto" w:fill="DBE5F1" w:themeFill="accent1" w:themeFillTint="33"/>
          </w:tcPr>
          <w:p>
            <w:pPr>
              <w:spacing w:before="180" w:after="180"/>
              <w:rPr>
                <w:rFonts w:cs="Times New Roman"/>
                <w:noProof/>
                <w:sz w:val="20"/>
                <w:szCs w:val="20"/>
              </w:rPr>
            </w:pPr>
            <w:r>
              <w:rPr>
                <w:noProof/>
                <w:sz w:val="20"/>
                <w:szCs w:val="20"/>
              </w:rPr>
              <w:t>Verbetering van de beveiligingskenmerken van nationale identiteitskaarten en verblijfsdocumenten</w:t>
            </w:r>
            <w:r>
              <w:rPr>
                <w:rStyle w:val="FootnoteReference"/>
                <w:rFonts w:cs="Times New Roman"/>
                <w:noProof/>
                <w:sz w:val="20"/>
                <w:szCs w:val="20"/>
              </w:rPr>
              <w:footnoteReference w:id="23"/>
            </w:r>
          </w:p>
        </w:tc>
        <w:tc>
          <w:tcPr>
            <w:tcW w:w="2693" w:type="dxa"/>
          </w:tcPr>
          <w:p>
            <w:pPr>
              <w:spacing w:before="180" w:after="180"/>
              <w:rPr>
                <w:rFonts w:cs="Times New Roman"/>
                <w:noProof/>
                <w:sz w:val="20"/>
                <w:szCs w:val="20"/>
              </w:rPr>
            </w:pPr>
            <w:r>
              <w:rPr>
                <w:noProof/>
                <w:sz w:val="20"/>
                <w:szCs w:val="20"/>
              </w:rPr>
              <w:t xml:space="preserve">Voorgesteld april 2018; Europees Parlement en Raad hebben in februari 2019 voorlopig akkoord bereikt, te bevestigen door plenaire vergadering EP april 2019; formele vaststelling op een latere datum. </w:t>
            </w:r>
          </w:p>
        </w:tc>
        <w:tc>
          <w:tcPr>
            <w:tcW w:w="1367" w:type="dxa"/>
            <w:shd w:val="clear" w:color="auto" w:fill="00B050"/>
          </w:tcPr>
          <w:p>
            <w:pPr>
              <w:spacing w:before="180" w:after="180"/>
              <w:jc w:val="center"/>
              <w:rPr>
                <w:rFonts w:cs="Times New Roman"/>
                <w:noProof/>
                <w:sz w:val="20"/>
                <w:szCs w:val="20"/>
              </w:rPr>
            </w:pPr>
          </w:p>
        </w:tc>
        <w:tc>
          <w:tcPr>
            <w:tcW w:w="1367" w:type="dxa"/>
            <w:shd w:val="clear" w:color="auto" w:fill="00B050"/>
          </w:tcPr>
          <w:p>
            <w:pPr>
              <w:spacing w:before="180" w:after="180"/>
              <w:jc w:val="center"/>
              <w:rPr>
                <w:rFonts w:cs="Times New Roman"/>
                <w:noProof/>
                <w:sz w:val="20"/>
                <w:szCs w:val="20"/>
              </w:rPr>
            </w:pPr>
          </w:p>
        </w:tc>
        <w:tc>
          <w:tcPr>
            <w:tcW w:w="1367" w:type="dxa"/>
            <w:shd w:val="clear" w:color="auto" w:fill="00B050"/>
          </w:tcPr>
          <w:p>
            <w:pPr>
              <w:spacing w:before="180" w:after="180"/>
              <w:jc w:val="center"/>
              <w:rPr>
                <w:rFonts w:cs="Times New Roman"/>
                <w:noProof/>
                <w:sz w:val="20"/>
                <w:szCs w:val="20"/>
              </w:rPr>
            </w:pPr>
          </w:p>
        </w:tc>
      </w:tr>
      <w:tr>
        <w:trPr>
          <w:cantSplit/>
          <w:jc w:val="center"/>
        </w:trPr>
        <w:tc>
          <w:tcPr>
            <w:tcW w:w="2773" w:type="dxa"/>
            <w:shd w:val="clear" w:color="auto" w:fill="DBE5F1" w:themeFill="accent1" w:themeFillTint="33"/>
          </w:tcPr>
          <w:p>
            <w:pPr>
              <w:spacing w:before="180" w:after="180"/>
              <w:rPr>
                <w:rFonts w:cs="Times New Roman"/>
                <w:noProof/>
                <w:sz w:val="20"/>
                <w:szCs w:val="20"/>
              </w:rPr>
            </w:pPr>
            <w:r>
              <w:rPr>
                <w:noProof/>
                <w:sz w:val="20"/>
                <w:szCs w:val="20"/>
              </w:rPr>
              <w:t>Versterking van het Visuminformatiesysteem</w:t>
            </w:r>
            <w:r>
              <w:rPr>
                <w:rStyle w:val="FootnoteReference"/>
                <w:rFonts w:cs="Times New Roman"/>
                <w:noProof/>
                <w:sz w:val="20"/>
                <w:szCs w:val="20"/>
              </w:rPr>
              <w:footnoteReference w:id="24"/>
            </w:r>
          </w:p>
        </w:tc>
        <w:tc>
          <w:tcPr>
            <w:tcW w:w="2693" w:type="dxa"/>
          </w:tcPr>
          <w:p>
            <w:pPr>
              <w:spacing w:before="180" w:after="180"/>
              <w:rPr>
                <w:rFonts w:cs="Times New Roman"/>
                <w:noProof/>
                <w:sz w:val="20"/>
                <w:szCs w:val="20"/>
              </w:rPr>
            </w:pPr>
            <w:r>
              <w:rPr>
                <w:noProof/>
                <w:sz w:val="20"/>
                <w:szCs w:val="20"/>
              </w:rPr>
              <w:t>Voorgesteld mei 2018; Raad heeft onderhandelings</w:t>
            </w:r>
            <w:r>
              <w:rPr>
                <w:noProof/>
                <w:sz w:val="20"/>
                <w:szCs w:val="20"/>
              </w:rPr>
              <w:softHyphen/>
              <w:t>mandaat vastgesteld op 19 december 2018; Europees Parlement heeft op 13 maart 2019 gestemd over verslag, waarmee eerste lezing is beëindigd. Trialoog</w:t>
            </w:r>
            <w:r>
              <w:rPr>
                <w:noProof/>
                <w:sz w:val="20"/>
                <w:szCs w:val="20"/>
              </w:rPr>
              <w:softHyphen/>
              <w:t>bespre</w:t>
            </w:r>
            <w:r>
              <w:rPr>
                <w:noProof/>
                <w:sz w:val="20"/>
                <w:szCs w:val="20"/>
              </w:rPr>
              <w:softHyphen/>
              <w:t>kingen tussen mede</w:t>
            </w:r>
            <w:r>
              <w:rPr>
                <w:noProof/>
                <w:sz w:val="20"/>
                <w:szCs w:val="20"/>
              </w:rPr>
              <w:softHyphen/>
              <w:t>wetge</w:t>
            </w:r>
            <w:r>
              <w:rPr>
                <w:noProof/>
                <w:sz w:val="20"/>
                <w:szCs w:val="20"/>
              </w:rPr>
              <w:softHyphen/>
              <w:t>vers gaan van start in vol</w:t>
            </w:r>
            <w:r>
              <w:rPr>
                <w:noProof/>
                <w:sz w:val="20"/>
                <w:szCs w:val="20"/>
              </w:rPr>
              <w:softHyphen/>
              <w:t>gend Europees Parlement.</w:t>
            </w:r>
          </w:p>
        </w:tc>
        <w:tc>
          <w:tcPr>
            <w:tcW w:w="1367" w:type="dxa"/>
            <w:shd w:val="clear" w:color="auto" w:fill="00B050"/>
          </w:tcPr>
          <w:p>
            <w:pPr>
              <w:spacing w:before="180" w:after="180"/>
              <w:jc w:val="center"/>
              <w:rPr>
                <w:rFonts w:cs="Times New Roman"/>
                <w:noProof/>
                <w:sz w:val="20"/>
                <w:szCs w:val="20"/>
              </w:rPr>
            </w:pPr>
          </w:p>
        </w:tc>
        <w:tc>
          <w:tcPr>
            <w:tcW w:w="1367" w:type="dxa"/>
            <w:shd w:val="clear" w:color="auto" w:fill="FFFF00"/>
          </w:tcPr>
          <w:p>
            <w:pPr>
              <w:spacing w:before="180" w:after="180"/>
              <w:jc w:val="center"/>
              <w:rPr>
                <w:rFonts w:cs="Times New Roman"/>
                <w:noProof/>
                <w:sz w:val="20"/>
                <w:szCs w:val="20"/>
              </w:rPr>
            </w:pPr>
          </w:p>
        </w:tc>
        <w:tc>
          <w:tcPr>
            <w:tcW w:w="1367" w:type="dxa"/>
            <w:shd w:val="clear" w:color="auto" w:fill="FFFF00"/>
          </w:tcPr>
          <w:p>
            <w:pPr>
              <w:spacing w:before="180" w:after="180"/>
              <w:jc w:val="center"/>
              <w:rPr>
                <w:rFonts w:cs="Times New Roman"/>
                <w:noProof/>
                <w:sz w:val="20"/>
                <w:szCs w:val="20"/>
              </w:rPr>
            </w:pPr>
          </w:p>
        </w:tc>
      </w:tr>
    </w:tbl>
    <w:p>
      <w:pPr>
        <w:tabs>
          <w:tab w:val="left" w:pos="6345"/>
        </w:tabs>
        <w:rPr>
          <w:rFonts w:cs="Times New Roman"/>
          <w:noProof/>
          <w:sz w:val="2"/>
          <w:szCs w:val="2"/>
        </w:rPr>
      </w:pPr>
    </w:p>
    <w:p>
      <w:pPr>
        <w:tabs>
          <w:tab w:val="left" w:pos="6345"/>
        </w:tabs>
        <w:rPr>
          <w:rFonts w:cs="Times New Roman"/>
          <w:noProof/>
          <w:sz w:val="2"/>
          <w:szCs w:val="2"/>
        </w:rPr>
      </w:pPr>
    </w:p>
    <w:sectPr>
      <w:headerReference w:type="even" r:id="rId15"/>
      <w:headerReference w:type="default" r:id="rId16"/>
      <w:footerReference w:type="even" r:id="rId17"/>
      <w:footerReference w:type="default" r:id="rId18"/>
      <w:headerReference w:type="first" r:id="rId19"/>
      <w:footerReference w:type="first" r:id="rId20"/>
      <w:pgSz w:w="11910" w:h="16840"/>
      <w:pgMar w:top="1020" w:right="400" w:bottom="0" w:left="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17396"/>
      <w:docPartObj>
        <w:docPartGallery w:val="Page Numbers (Bottom of Page)"/>
        <w:docPartUnique/>
      </w:docPartObj>
    </w:sdtPr>
    <w:sdtEndPr>
      <w:rPr>
        <w:rFonts w:cs="Times New Roman"/>
        <w:noProof/>
      </w:rPr>
    </w:sdtEndPr>
    <w:sdtContent>
      <w:p>
        <w:pPr>
          <w:pStyle w:val="Footer"/>
          <w:jc w:val="center"/>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Pr>
            <w:rFonts w:cs="Times New Roman"/>
            <w:noProof/>
          </w:rPr>
          <w:t>1</w:t>
        </w:r>
        <w:r>
          <w:rPr>
            <w:rFonts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567" w:hanging="567"/>
        <w:jc w:val="both"/>
        <w:rPr>
          <w:rFonts w:cs="Times New Roman"/>
        </w:rPr>
      </w:pPr>
      <w:r>
        <w:rPr>
          <w:rStyle w:val="FootnoteReference"/>
          <w:rFonts w:cs="Times New Roman"/>
        </w:rPr>
        <w:footnoteRef/>
      </w:r>
      <w:r>
        <w:tab/>
      </w:r>
      <w:hyperlink r:id="rId1" w:history="1">
        <w:r>
          <w:rPr>
            <w:rStyle w:val="Hyperlink"/>
          </w:rPr>
          <w:t>https://ec.europa.eu/commission/sites/beta-political/files/soteu2018-speech_nl_2.pdf</w:t>
        </w:r>
      </w:hyperlink>
      <w:r>
        <w:t xml:space="preserve">. Zie ook de intentieverklaring van voorzitter Juncker: </w:t>
      </w:r>
      <w:hyperlink r:id="rId2" w:history="1">
        <w:r>
          <w:rPr>
            <w:rStyle w:val="Hyperlink"/>
          </w:rPr>
          <w:t>https://ec.europa.eu/commission/sites/beta-political/files/soteu2018-letter-of-intent_nl.pdf</w:t>
        </w:r>
      </w:hyperlink>
    </w:p>
  </w:footnote>
  <w:footnote w:id="2">
    <w:p>
      <w:pPr>
        <w:pStyle w:val="FootnoteText"/>
        <w:ind w:left="567" w:hanging="567"/>
        <w:jc w:val="both"/>
        <w:rPr>
          <w:rFonts w:cs="Times New Roman"/>
          <w:lang w:val="pt-PT"/>
        </w:rPr>
      </w:pPr>
      <w:r>
        <w:rPr>
          <w:rStyle w:val="FootnoteReference"/>
          <w:rFonts w:cs="Times New Roman"/>
        </w:rPr>
        <w:footnoteRef/>
      </w:r>
      <w:r>
        <w:rPr>
          <w:lang w:val="pt-PT"/>
        </w:rPr>
        <w:tab/>
        <w:t>COM(2018) 640 final van 12.9.2018.</w:t>
      </w:r>
    </w:p>
  </w:footnote>
  <w:footnote w:id="3">
    <w:p>
      <w:pPr>
        <w:pStyle w:val="FootnoteText"/>
        <w:ind w:left="567" w:hanging="567"/>
        <w:jc w:val="both"/>
        <w:rPr>
          <w:rFonts w:cs="Times New Roman"/>
          <w:lang w:val="pt-PT"/>
        </w:rPr>
      </w:pPr>
      <w:r>
        <w:rPr>
          <w:rStyle w:val="FootnoteReference"/>
          <w:rFonts w:cs="Times New Roman"/>
        </w:rPr>
        <w:footnoteRef/>
      </w:r>
      <w:r>
        <w:rPr>
          <w:lang w:val="pt-PT"/>
        </w:rPr>
        <w:tab/>
        <w:t>COM(2018) 641 final van 12.9.2018.</w:t>
      </w:r>
    </w:p>
  </w:footnote>
  <w:footnote w:id="4">
    <w:p>
      <w:pPr>
        <w:pStyle w:val="FootnoteText"/>
        <w:ind w:left="567" w:hanging="567"/>
        <w:jc w:val="both"/>
        <w:rPr>
          <w:rFonts w:cs="Times New Roman"/>
          <w:lang w:val="pt-PT"/>
        </w:rPr>
      </w:pPr>
      <w:r>
        <w:rPr>
          <w:rStyle w:val="FootnoteReference"/>
          <w:rFonts w:cs="Times New Roman"/>
        </w:rPr>
        <w:footnoteRef/>
      </w:r>
      <w:r>
        <w:rPr>
          <w:lang w:val="pt-PT"/>
        </w:rPr>
        <w:tab/>
        <w:t>COM(2018) 636 final van 12.9.2018.</w:t>
      </w:r>
    </w:p>
  </w:footnote>
  <w:footnote w:id="5">
    <w:p>
      <w:pPr>
        <w:pStyle w:val="FootnoteText"/>
        <w:ind w:left="567" w:hanging="567"/>
        <w:jc w:val="both"/>
        <w:rPr>
          <w:lang w:val="pt-PT"/>
        </w:rPr>
      </w:pPr>
      <w:r>
        <w:rPr>
          <w:rStyle w:val="FootnoteReference"/>
          <w:rFonts w:cs="Times New Roman"/>
        </w:rPr>
        <w:footnoteRef/>
      </w:r>
      <w:r>
        <w:rPr>
          <w:lang w:val="pt-PT"/>
        </w:rPr>
        <w:tab/>
        <w:t>COM(2018) 631 final van 12.9.2018.</w:t>
      </w:r>
    </w:p>
  </w:footnote>
  <w:footnote w:id="6">
    <w:p>
      <w:pPr>
        <w:pStyle w:val="FootnoteText"/>
        <w:ind w:left="567" w:hanging="567"/>
        <w:jc w:val="both"/>
        <w:rPr>
          <w:rFonts w:cs="Times New Roman"/>
          <w:lang w:val="pt-PT"/>
        </w:rPr>
      </w:pPr>
      <w:r>
        <w:rPr>
          <w:rStyle w:val="FootnoteReference"/>
          <w:rFonts w:cs="Times New Roman"/>
        </w:rPr>
        <w:footnoteRef/>
      </w:r>
      <w:r>
        <w:rPr>
          <w:lang w:val="pt-PT"/>
        </w:rPr>
        <w:tab/>
        <w:t>COM(2018) 630 final van 12.9.2018.</w:t>
      </w:r>
    </w:p>
  </w:footnote>
  <w:footnote w:id="7">
    <w:p>
      <w:pPr>
        <w:pStyle w:val="FootnoteText"/>
        <w:ind w:left="567" w:hanging="567"/>
        <w:jc w:val="both"/>
        <w:rPr>
          <w:rFonts w:cs="Times New Roman"/>
          <w:lang w:val="pt-PT"/>
        </w:rPr>
      </w:pPr>
      <w:hyperlink r:id="rId3" w:history="1">
        <w:r>
          <w:rPr>
            <w:rStyle w:val="Hyperlink"/>
            <w:lang w:val="pt-PT"/>
          </w:rPr>
          <w:t>https://ec.europa.eu/commission/sites/beta-political/files/joint-declaration-eu-legislative-priorities-2018-19_en.pdf</w:t>
        </w:r>
      </w:hyperlink>
      <w:r>
        <w:rPr>
          <w:lang w:val="pt-PT"/>
        </w:rPr>
        <w:t>.</w:t>
      </w:r>
    </w:p>
  </w:footnote>
  <w:footnote w:id="8">
    <w:p>
      <w:pPr>
        <w:pStyle w:val="FootnoteText"/>
        <w:ind w:left="567" w:hanging="567"/>
        <w:jc w:val="both"/>
        <w:rPr>
          <w:rFonts w:cs="Times New Roman"/>
        </w:rPr>
      </w:pPr>
      <w:r>
        <w:rPr>
          <w:rStyle w:val="FootnoteReference"/>
          <w:rFonts w:cs="Times New Roman"/>
        </w:rPr>
        <w:footnoteRef/>
      </w:r>
      <w:r>
        <w:tab/>
        <w:t>Verordening (EU) 2018/1240 en Verordening (EU) 2018/1241 van 12.9.2018.</w:t>
      </w:r>
    </w:p>
  </w:footnote>
  <w:footnote w:id="9">
    <w:p>
      <w:pPr>
        <w:pStyle w:val="FootnoteText"/>
        <w:ind w:left="567" w:hanging="567"/>
        <w:jc w:val="both"/>
        <w:rPr>
          <w:rFonts w:cs="Times New Roman"/>
        </w:rPr>
      </w:pPr>
      <w:r>
        <w:rPr>
          <w:rStyle w:val="FootnoteReference"/>
          <w:rFonts w:cs="Times New Roman"/>
        </w:rPr>
        <w:footnoteRef/>
      </w:r>
      <w:r>
        <w:tab/>
        <w:t>Verordening (EU) 2018/1726 van 14.11.2018.</w:t>
      </w:r>
    </w:p>
  </w:footnote>
  <w:footnote w:id="10">
    <w:p>
      <w:pPr>
        <w:pStyle w:val="FootnoteText"/>
        <w:ind w:left="567" w:hanging="567"/>
        <w:jc w:val="both"/>
        <w:rPr>
          <w:rFonts w:cs="Times New Roman"/>
        </w:rPr>
      </w:pPr>
      <w:r>
        <w:rPr>
          <w:rStyle w:val="FootnoteReference"/>
          <w:rFonts w:cs="Times New Roman"/>
        </w:rPr>
        <w:footnoteRef/>
      </w:r>
      <w:r>
        <w:tab/>
        <w:t>Verordening (EU) 2018/1860, 2018/1861 en 2018/1862 van 28.11.2018.</w:t>
      </w:r>
    </w:p>
  </w:footnote>
  <w:footnote w:id="11">
    <w:p>
      <w:pPr>
        <w:pStyle w:val="FootnoteText"/>
        <w:ind w:left="567" w:hanging="567"/>
        <w:jc w:val="both"/>
        <w:rPr>
          <w:rFonts w:cs="Times New Roman"/>
        </w:rPr>
      </w:pPr>
      <w:r>
        <w:rPr>
          <w:rStyle w:val="FootnoteReference"/>
          <w:rFonts w:cs="Times New Roman"/>
        </w:rPr>
        <w:footnoteRef/>
      </w:r>
      <w:r>
        <w:tab/>
        <w:t>Richtlijn (EU) 2018/843 van 30.5.2018.</w:t>
      </w:r>
    </w:p>
  </w:footnote>
  <w:footnote w:id="12">
    <w:p>
      <w:pPr>
        <w:pStyle w:val="FootnoteText"/>
        <w:ind w:left="567" w:hanging="567"/>
        <w:jc w:val="both"/>
        <w:rPr>
          <w:rFonts w:cs="Times New Roman"/>
        </w:rPr>
      </w:pPr>
      <w:r>
        <w:rPr>
          <w:rStyle w:val="FootnoteReference"/>
          <w:rFonts w:cs="Times New Roman"/>
        </w:rPr>
        <w:footnoteRef/>
      </w:r>
      <w:r>
        <w:tab/>
        <w:t>Verordening (EU) 2017/2226 van 30.11.2017.</w:t>
      </w:r>
    </w:p>
  </w:footnote>
  <w:footnote w:id="13">
    <w:p>
      <w:pPr>
        <w:pStyle w:val="FootnoteText"/>
        <w:ind w:left="567" w:hanging="567"/>
        <w:jc w:val="both"/>
        <w:rPr>
          <w:rFonts w:cs="Times New Roman"/>
        </w:rPr>
      </w:pPr>
      <w:r>
        <w:rPr>
          <w:rStyle w:val="FootnoteReference"/>
          <w:rFonts w:cs="Times New Roman"/>
        </w:rPr>
        <w:footnoteRef/>
      </w:r>
      <w:r>
        <w:tab/>
        <w:t>Richtlijn (EU) 2017/853 van 17.5.2017.</w:t>
      </w:r>
    </w:p>
  </w:footnote>
  <w:footnote w:id="14">
    <w:p>
      <w:pPr>
        <w:pStyle w:val="FootnoteText"/>
        <w:ind w:left="567" w:hanging="567"/>
        <w:jc w:val="both"/>
        <w:rPr>
          <w:rFonts w:cs="Times New Roman"/>
        </w:rPr>
      </w:pPr>
      <w:r>
        <w:rPr>
          <w:rStyle w:val="FootnoteReference"/>
          <w:rFonts w:cs="Times New Roman"/>
        </w:rPr>
        <w:footnoteRef/>
      </w:r>
      <w:r>
        <w:tab/>
        <w:t>Richtlijn (EU) 2017/541 van 15.3.2017.</w:t>
      </w:r>
    </w:p>
  </w:footnote>
  <w:footnote w:id="15">
    <w:p>
      <w:pPr>
        <w:pStyle w:val="FootnoteText"/>
        <w:ind w:left="567" w:hanging="567"/>
        <w:jc w:val="both"/>
        <w:rPr>
          <w:rFonts w:cs="Times New Roman"/>
        </w:rPr>
      </w:pPr>
      <w:r>
        <w:rPr>
          <w:rStyle w:val="FootnoteReference"/>
          <w:rFonts w:cs="Times New Roman"/>
        </w:rPr>
        <w:footnoteRef/>
      </w:r>
      <w:r>
        <w:tab/>
        <w:t>COM(2017) 477 final van 13.9.2017.</w:t>
      </w:r>
    </w:p>
  </w:footnote>
  <w:footnote w:id="16">
    <w:p>
      <w:pPr>
        <w:pStyle w:val="FootnoteText"/>
        <w:ind w:left="567" w:hanging="567"/>
        <w:jc w:val="both"/>
        <w:rPr>
          <w:rFonts w:cs="Times New Roman"/>
          <w:lang w:val="pt-PT"/>
        </w:rPr>
      </w:pPr>
      <w:r>
        <w:rPr>
          <w:rStyle w:val="FootnoteReference"/>
          <w:rFonts w:cs="Times New Roman"/>
        </w:rPr>
        <w:footnoteRef/>
      </w:r>
      <w:r>
        <w:rPr>
          <w:lang w:val="pt-PT"/>
        </w:rPr>
        <w:tab/>
        <w:t>COM(2016) 7 final van 19.1.2016 en COM(2017) 344 final van 29.6.2017.</w:t>
      </w:r>
    </w:p>
  </w:footnote>
  <w:footnote w:id="17">
    <w:p>
      <w:pPr>
        <w:pStyle w:val="FootnoteText"/>
        <w:ind w:left="567" w:hanging="567"/>
        <w:jc w:val="both"/>
        <w:rPr>
          <w:rFonts w:cs="Times New Roman"/>
          <w:lang w:val="pt-PT"/>
        </w:rPr>
      </w:pPr>
      <w:r>
        <w:rPr>
          <w:rStyle w:val="FootnoteReference"/>
          <w:rFonts w:cs="Times New Roman"/>
        </w:rPr>
        <w:footnoteRef/>
      </w:r>
      <w:r>
        <w:rPr>
          <w:lang w:val="pt-PT"/>
        </w:rPr>
        <w:tab/>
        <w:t>COM(2017) 793 final  en COM(2017) 794 final van 12.12.2017, COM(2018) 478 final en COM(2018) 480 final van 13.6.2018.</w:t>
      </w:r>
    </w:p>
  </w:footnote>
  <w:footnote w:id="18">
    <w:p>
      <w:pPr>
        <w:pStyle w:val="FootnoteText"/>
        <w:ind w:left="567" w:hanging="567"/>
        <w:jc w:val="both"/>
        <w:rPr>
          <w:rFonts w:cs="Times New Roman"/>
          <w:lang w:val="pt-PT"/>
        </w:rPr>
      </w:pPr>
      <w:r>
        <w:rPr>
          <w:rStyle w:val="FootnoteReference"/>
          <w:rFonts w:cs="Times New Roman"/>
        </w:rPr>
        <w:footnoteRef/>
      </w:r>
      <w:r>
        <w:rPr>
          <w:lang w:val="pt-PT"/>
        </w:rPr>
        <w:tab/>
        <w:t>COM(2018) 225 final en COM(2018) 226 final van 17.4.2018.</w:t>
      </w:r>
    </w:p>
  </w:footnote>
  <w:footnote w:id="19">
    <w:p>
      <w:pPr>
        <w:pStyle w:val="FootnoteText"/>
        <w:ind w:left="567" w:hanging="567"/>
        <w:jc w:val="both"/>
        <w:rPr>
          <w:rFonts w:cs="Times New Roman"/>
          <w:lang w:val="pt-PT"/>
        </w:rPr>
      </w:pPr>
      <w:r>
        <w:rPr>
          <w:rStyle w:val="FootnoteReference"/>
          <w:rFonts w:cs="Times New Roman"/>
        </w:rPr>
        <w:footnoteRef/>
      </w:r>
      <w:r>
        <w:rPr>
          <w:lang w:val="pt-PT"/>
        </w:rPr>
        <w:tab/>
        <w:t>COM(2018) 213 final van 17.4.2018.</w:t>
      </w:r>
    </w:p>
  </w:footnote>
  <w:footnote w:id="20">
    <w:p>
      <w:pPr>
        <w:pStyle w:val="FootnoteText"/>
        <w:ind w:left="567" w:hanging="567"/>
        <w:jc w:val="both"/>
        <w:rPr>
          <w:rFonts w:cs="Times New Roman"/>
          <w:lang w:val="pt-PT"/>
        </w:rPr>
      </w:pPr>
      <w:r>
        <w:rPr>
          <w:rStyle w:val="FootnoteReference"/>
          <w:rFonts w:cs="Times New Roman"/>
        </w:rPr>
        <w:footnoteRef/>
      </w:r>
      <w:r>
        <w:rPr>
          <w:lang w:val="pt-PT"/>
        </w:rPr>
        <w:tab/>
        <w:t>COM(2016) 272 final van 4.5.2016.</w:t>
      </w:r>
    </w:p>
  </w:footnote>
  <w:footnote w:id="21">
    <w:p>
      <w:pPr>
        <w:pStyle w:val="FootnoteText"/>
        <w:ind w:left="567" w:hanging="567"/>
        <w:jc w:val="both"/>
        <w:rPr>
          <w:rFonts w:cs="Times New Roman"/>
          <w:lang w:val="pt-PT"/>
        </w:rPr>
      </w:pPr>
      <w:r>
        <w:rPr>
          <w:rStyle w:val="FootnoteReference"/>
          <w:rFonts w:cs="Times New Roman"/>
        </w:rPr>
        <w:footnoteRef/>
      </w:r>
      <w:r>
        <w:rPr>
          <w:lang w:val="pt-PT"/>
        </w:rPr>
        <w:tab/>
        <w:t>COM(2017) 489 final van 13.9.2017.</w:t>
      </w:r>
    </w:p>
  </w:footnote>
  <w:footnote w:id="22">
    <w:p>
      <w:pPr>
        <w:pStyle w:val="FootnoteText"/>
        <w:ind w:left="567" w:hanging="567"/>
        <w:jc w:val="both"/>
        <w:rPr>
          <w:rFonts w:cs="Times New Roman"/>
          <w:lang w:val="pt-PT"/>
        </w:rPr>
      </w:pPr>
      <w:r>
        <w:rPr>
          <w:rStyle w:val="FootnoteReference"/>
          <w:rFonts w:cs="Times New Roman"/>
        </w:rPr>
        <w:footnoteRef/>
      </w:r>
      <w:r>
        <w:rPr>
          <w:lang w:val="pt-PT"/>
        </w:rPr>
        <w:tab/>
        <w:t>COM(2018) 209 final van 17.4.2018.</w:t>
      </w:r>
    </w:p>
  </w:footnote>
  <w:footnote w:id="23">
    <w:p>
      <w:pPr>
        <w:pStyle w:val="FootnoteText"/>
        <w:ind w:left="567" w:hanging="567"/>
        <w:jc w:val="both"/>
        <w:rPr>
          <w:rFonts w:cs="Times New Roman"/>
          <w:lang w:val="pt-PT"/>
        </w:rPr>
      </w:pPr>
      <w:r>
        <w:rPr>
          <w:rStyle w:val="FootnoteReference"/>
          <w:rFonts w:cs="Times New Roman"/>
        </w:rPr>
        <w:footnoteRef/>
      </w:r>
      <w:r>
        <w:rPr>
          <w:lang w:val="pt-PT"/>
        </w:rPr>
        <w:tab/>
        <w:t>COM(2018) 212 final van 17.4.2018.</w:t>
      </w:r>
    </w:p>
  </w:footnote>
  <w:footnote w:id="24">
    <w:p>
      <w:pPr>
        <w:pStyle w:val="FootnoteText"/>
        <w:ind w:left="567" w:hanging="567"/>
        <w:jc w:val="both"/>
        <w:rPr>
          <w:lang w:val="pt-PT"/>
        </w:rPr>
      </w:pPr>
      <w:r>
        <w:rPr>
          <w:rStyle w:val="FootnoteReference"/>
          <w:rFonts w:cs="Times New Roman"/>
        </w:rPr>
        <w:footnoteRef/>
      </w:r>
      <w:r>
        <w:rPr>
          <w:lang w:val="pt-PT"/>
        </w:rPr>
        <w:tab/>
        <w:t>COM(2018) 302 final van 16.5.2018.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ij de"/>
    <w:docVar w:name="LW_ANNEX_NBR_FIRST" w:val="1"/>
    <w:docVar w:name="LW_ANNEX_NBR_LAST" w:val="1"/>
    <w:docVar w:name="LW_ANNEX_UNIQUE" w:val="1"/>
    <w:docVar w:name="LW_CORRIGENDUM" w:val="&lt;UNUSED&gt;"/>
    <w:docVar w:name="LW_COVERPAGE_EXISTS" w:val="True"/>
    <w:docVar w:name="LW_COVERPAGE_GUID" w:val="60B5A4AA-A801-463B-9552-144C2FBAAD9B"/>
    <w:docVar w:name="LW_COVERPAGE_TYPE" w:val="1"/>
    <w:docVar w:name="LW_CROSSREFERENCE" w:val="{SWD(2019) 140 final}"/>
    <w:docVar w:name="LW_DocType" w:val="NORMAL"/>
    <w:docVar w:name="LW_EMISSION" w:val="20.3.2019"/>
    <w:docVar w:name="LW_EMISSION_ISODATE" w:val="2019-03-20"/>
    <w:docVar w:name="LW_EMISSION_LOCATION" w:val="BRX"/>
    <w:docVar w:name="LW_EMISSION_PREFIX" w:val="Brussel, "/>
    <w:docVar w:name="LW_EMISSION_SUFFIX" w:val=" "/>
    <w:docVar w:name="LW_ID_DOCTYPE_NONLW" w:val="CP-039"/>
    <w:docVar w:name="LW_LANGUE" w:val="NL"/>
    <w:docVar w:name="LW_LEVEL_OF_SENSITIVITY" w:val="Standard treatment"/>
    <w:docVar w:name="LW_NOM.INST" w:val="EUROPESE COMMISSIE"/>
    <w:docVar w:name="LW_NOM.INST_JOINTDOC" w:val="&lt;EMPTY&gt;"/>
    <w:docVar w:name="LW_OBJETACTEPRINCIPAL.CP" w:val="Achttiende voortgangsverslag over de totstandbrenging van een echte en doeltreffende Veiligheidsunie_x000b__x000b_Lijst van wetgevingsinitiatieven_x000b__x000b__x000b_"/>
    <w:docVar w:name="LW_PART_NBR" w:val="1"/>
    <w:docVar w:name="LW_PART_NBR_TOTAL" w:val="1"/>
    <w:docVar w:name="LW_REF.INST.NEW" w:val="COM"/>
    <w:docVar w:name="LW_REF.INST.NEW_ADOPTED" w:val="final"/>
    <w:docVar w:name="LW_REF.INST.NEW_TEXT" w:val="(2019) 1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JLAGE_x000b_"/>
    <w:docVar w:name="LW_TYPEACTEPRINCIPAL.CP" w:val="MEDEDELING VAN DE COMMISSIE AAN HET EUROPEES PARLEMENT, DE EUROPESE RAAD EN DE RAAD_x000b_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cs="Times New Roman"/>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styleId="BodyText">
    <w:name w:val="Body Text"/>
    <w:basedOn w:val="Normal"/>
    <w:link w:val="BodyTextChar"/>
    <w:uiPriority w:val="1"/>
    <w:qFormat/>
    <w:pPr>
      <w:widowControl w:val="0"/>
      <w:autoSpaceDE w:val="0"/>
      <w:autoSpaceDN w:val="0"/>
      <w:spacing w:before="4"/>
      <w:ind w:left="40"/>
    </w:pPr>
    <w:rPr>
      <w:rFonts w:ascii="EC Square Sans Pro" w:eastAsia="EC Square Sans Pro" w:hAnsi="EC Square Sans Pro" w:cs="EC Square Sans Pro"/>
      <w:sz w:val="18"/>
      <w:szCs w:val="18"/>
      <w:lang w:eastAsia="en-GB" w:bidi="en-GB"/>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en-GB" w:bidi="en-GB"/>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line="195" w:lineRule="atLeast"/>
    </w:pPr>
    <w:rPr>
      <w:rFonts w:ascii="EC Square Sans Pro" w:hAnsi="EC Square Sans Pro"/>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cs="Times New Roman"/>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styleId="BodyText">
    <w:name w:val="Body Text"/>
    <w:basedOn w:val="Normal"/>
    <w:link w:val="BodyTextChar"/>
    <w:uiPriority w:val="1"/>
    <w:qFormat/>
    <w:pPr>
      <w:widowControl w:val="0"/>
      <w:autoSpaceDE w:val="0"/>
      <w:autoSpaceDN w:val="0"/>
      <w:spacing w:before="4"/>
      <w:ind w:left="40"/>
    </w:pPr>
    <w:rPr>
      <w:rFonts w:ascii="EC Square Sans Pro" w:eastAsia="EC Square Sans Pro" w:hAnsi="EC Square Sans Pro" w:cs="EC Square Sans Pro"/>
      <w:sz w:val="18"/>
      <w:szCs w:val="18"/>
      <w:lang w:eastAsia="en-GB" w:bidi="en-GB"/>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en-GB" w:bidi="en-GB"/>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line="195" w:lineRule="atLeast"/>
    </w:pPr>
    <w:rPr>
      <w:rFonts w:ascii="EC Square Sans Pro" w:hAnsi="EC Square Sans Pro"/>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ission/sites/beta-political/files/joint-declaration-eu-legislative-priorities-2018-19_en.pdf" TargetMode="External"/><Relationship Id="rId2" Type="http://schemas.openxmlformats.org/officeDocument/2006/relationships/hyperlink" Target="https://ec.europa.eu/commission/sites/beta-political/files/soteu2018-letter-of-intent_nl.pdf" TargetMode="External"/><Relationship Id="rId1" Type="http://schemas.openxmlformats.org/officeDocument/2006/relationships/hyperlink" Target="https://ec.europa.eu/commission/sites/beta-political/files/soteu2018-speech_nl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A9ADF7F-0B12-40C8-8297-24B1578E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543</Words>
  <Characters>4154</Characters>
  <Application>Microsoft Office Word</Application>
  <DocSecurity>0</DocSecurity>
  <Lines>296</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(HOME)</dc:creator>
  <cp:lastModifiedBy>DIGIT/C6</cp:lastModifiedBy>
  <cp:revision>16</cp:revision>
  <cp:lastPrinted>2019-03-06T14:21:00Z</cp:lastPrinted>
  <dcterms:created xsi:type="dcterms:W3CDTF">2019-03-15T15:44:00Z</dcterms:created>
  <dcterms:modified xsi:type="dcterms:W3CDTF">2019-04-10T14:15:00Z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