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1B3A901A-4F91-40EE-A77F-F7B3E27C773E" style="width:450.45pt;height:488.45pt">
            <v:imagedata r:id="rId8" o:title=""/>
          </v:shape>
        </w:pict>
      </w:r>
    </w:p>
    <w:bookmarkEnd w:id="0"/>
    <w:p>
      <w:pPr>
        <w:rPr>
          <w:noProof/>
          <w:lang w:val="fr-BE"/>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ANEXO</w:t>
      </w:r>
    </w:p>
    <w:p>
      <w:pPr>
        <w:pStyle w:val="Pa35"/>
        <w:rPr>
          <w:rFonts w:ascii="Times New Roman" w:hAnsi="Times New Roman" w:cs="Times New Roman"/>
          <w:noProof/>
          <w:color w:val="000000"/>
          <w:sz w:val="23"/>
          <w:szCs w:val="23"/>
        </w:rPr>
      </w:pPr>
      <w:r>
        <w:rPr>
          <w:rStyle w:val="A13"/>
          <w:rFonts w:ascii="Times New Roman" w:hAnsi="Times New Roman"/>
          <w:noProof/>
          <w:sz w:val="23"/>
          <w:szCs w:val="23"/>
        </w:rPr>
        <w:t>CONCRETIZAR AS PRIORIDADES LEGISLATIVAS</w:t>
      </w:r>
      <w:r>
        <w:rPr>
          <w:rStyle w:val="A13"/>
          <w:rFonts w:ascii="Times New Roman" w:hAnsi="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szCs w:val="20"/>
              </w:rPr>
              <w:t>Apresentadas e aprovadas</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szCs w:val="20"/>
              </w:rPr>
              <w:t>Acordo rápido possível respeitando os procedimentos normais</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szCs w:val="20"/>
              </w:rPr>
              <w:t>Acordo possível se houver um empenhamento político forte de todas as instituições da UE</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szCs w:val="23"/>
        </w:rPr>
        <w:t>I) Iniciativas no âmbito do discurso sobre o estado da União de 2018</w:t>
      </w:r>
      <w:r>
        <w:rPr>
          <w:rStyle w:val="FootnoteReference"/>
          <w:rFonts w:ascii="Times New Roman" w:hAnsi="Times New Roman" w:cs="Times New Roman"/>
          <w:b/>
          <w:bCs/>
          <w:noProof/>
          <w:color w:val="000000"/>
          <w:sz w:val="23"/>
          <w:szCs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31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Domínio de intervenção</w:t>
            </w:r>
          </w:p>
        </w:tc>
        <w:tc>
          <w:tcPr>
            <w:tcW w:w="2521" w:type="dxa"/>
            <w:vAlign w:val="center"/>
          </w:tcPr>
          <w:p>
            <w:pPr>
              <w:jc w:val="center"/>
              <w:rPr>
                <w:rFonts w:ascii="Times New Roman" w:hAnsi="Times New Roman" w:cs="Times New Roman"/>
                <w:b/>
                <w:noProof/>
              </w:rPr>
            </w:pPr>
            <w:r>
              <w:rPr>
                <w:rFonts w:ascii="Times New Roman" w:hAnsi="Times New Roman"/>
                <w:b/>
                <w:noProof/>
              </w:rPr>
              <w:t>Descrição</w:t>
            </w:r>
          </w:p>
        </w:tc>
        <w:tc>
          <w:tcPr>
            <w:tcW w:w="1378" w:type="dxa"/>
            <w:vAlign w:val="center"/>
          </w:tcPr>
          <w:p>
            <w:pPr>
              <w:jc w:val="center"/>
              <w:rPr>
                <w:rFonts w:ascii="Times New Roman" w:hAnsi="Times New Roman" w:cs="Times New Roman"/>
                <w:b/>
                <w:noProof/>
              </w:rPr>
            </w:pPr>
            <w:r>
              <w:rPr>
                <w:rFonts w:ascii="Times New Roman" w:hAnsi="Times New Roman"/>
                <w:b/>
                <w:noProof/>
              </w:rPr>
              <w:t>Comissão Europeia</w:t>
            </w:r>
          </w:p>
        </w:tc>
        <w:tc>
          <w:tcPr>
            <w:tcW w:w="1276" w:type="dxa"/>
            <w:vAlign w:val="center"/>
          </w:tcPr>
          <w:p>
            <w:pPr>
              <w:jc w:val="center"/>
              <w:rPr>
                <w:rFonts w:ascii="Times New Roman" w:hAnsi="Times New Roman" w:cs="Times New Roman"/>
                <w:b/>
                <w:noProof/>
              </w:rPr>
            </w:pPr>
            <w:r>
              <w:rPr>
                <w:rFonts w:ascii="Times New Roman" w:hAnsi="Times New Roman"/>
                <w:b/>
                <w:noProof/>
              </w:rPr>
              <w:t>Parlamento Europeu</w:t>
            </w:r>
          </w:p>
        </w:tc>
        <w:tc>
          <w:tcPr>
            <w:tcW w:w="1146" w:type="dxa"/>
            <w:vAlign w:val="center"/>
          </w:tcPr>
          <w:p>
            <w:pPr>
              <w:jc w:val="center"/>
              <w:rPr>
                <w:rFonts w:ascii="Times New Roman" w:hAnsi="Times New Roman" w:cs="Times New Roman"/>
                <w:b/>
                <w:noProof/>
              </w:rPr>
            </w:pPr>
            <w:r>
              <w:rPr>
                <w:rFonts w:ascii="Times New Roman" w:hAnsi="Times New Roman"/>
                <w:b/>
                <w:noProof/>
              </w:rPr>
              <w:t>Conselho da União Europeia</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Prevenção da difusão de conteúdos terroristas em linha</w:t>
            </w:r>
            <w:r>
              <w:rPr>
                <w:rStyle w:val="FootnoteReference"/>
                <w:rFonts w:ascii="Times New Roman" w:hAnsi="Times New Roman" w:cs="Times New Roman"/>
                <w:noProof/>
                <w:sz w:val="20"/>
                <w:szCs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setembro de 2018; o Conselho adotou o seu mandato em 6 de dezembro de 2018; o Parlamento Europeu deverá adotar o seu mandato de negociação para dar início aos trílogos.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Alargamento das competências da Procuradoria Europeia aos crimes terroristas transnacionais</w:t>
            </w:r>
            <w:r>
              <w:rPr>
                <w:rStyle w:val="FootnoteReference"/>
                <w:rFonts w:ascii="Times New Roman" w:hAnsi="Times New Roman" w:cs="Times New Roman"/>
                <w:noProof/>
                <w:sz w:val="20"/>
                <w:szCs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setembro de 2018.</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Alteração específica do regulamento sobre o financiamento dos partidos políticos no que diz respeito a um procedimento de verificação de violações das normas em matéria de proteção de dados pessoais no âmbito das eleições para o Parlamento Europeu</w:t>
            </w:r>
            <w:r>
              <w:rPr>
                <w:rStyle w:val="FootnoteReference"/>
                <w:rFonts w:ascii="Times New Roman" w:hAnsi="Times New Roman" w:cs="Times New Roman"/>
                <w:noProof/>
                <w:sz w:val="20"/>
                <w:szCs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setembro de 2018; acordo entre os colegisladores; adoção formal em março de 2019.</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00B050"/>
            <w:vAlign w:val="center"/>
          </w:tcPr>
          <w:p>
            <w:pPr>
              <w:spacing w:before="180" w:after="180"/>
              <w:rPr>
                <w:rFonts w:ascii="Times New Roman" w:hAnsi="Times New Roman" w:cs="Times New Roman"/>
                <w:noProof/>
                <w:sz w:val="20"/>
                <w:szCs w:val="20"/>
              </w:rPr>
            </w:pPr>
          </w:p>
        </w:tc>
        <w:tc>
          <w:tcPr>
            <w:tcW w:w="1146" w:type="dxa"/>
            <w:shd w:val="clear" w:color="auto" w:fill="00B05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Reforço das capacidades da Guarda Europeia de Fronteiras e Costeira</w:t>
            </w:r>
            <w:r>
              <w:rPr>
                <w:rStyle w:val="FootnoteReference"/>
                <w:rFonts w:ascii="Times New Roman" w:hAnsi="Times New Roman" w:cs="Times New Roman"/>
                <w:noProof/>
                <w:sz w:val="20"/>
                <w:szCs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setembro de 2018; o Conselho e o Parlamento Europeu adotaram os respetivos mandatos de negociação e deram início a negociações interinstitucionais.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Centro Europeu de Competências Industriais, Tecnológicas e de Investigação em Cibersegurança</w:t>
            </w:r>
            <w:r>
              <w:rPr>
                <w:rStyle w:val="FootnoteReference"/>
                <w:rFonts w:ascii="Times New Roman" w:hAnsi="Times New Roman" w:cs="Times New Roman"/>
                <w:noProof/>
                <w:sz w:val="20"/>
                <w:szCs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setembro de 2018; o Parlamento Europeu e o Conselho adotaram os respetivos mandatos de negociação e deram início a negociações interinstitucionais.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szCs w:val="23"/>
        </w:rPr>
        <w:t>II) Prioridades acordadas na Declaração Conjunta</w:t>
      </w:r>
      <w:r>
        <w:rPr>
          <w:rStyle w:val="FootnoteReference"/>
          <w:rFonts w:ascii="Times New Roman" w:hAnsi="Times New Roman" w:cs="Times New Roman"/>
          <w:b/>
          <w:bCs/>
          <w:noProof/>
          <w:sz w:val="23"/>
          <w:szCs w:val="23"/>
        </w:rPr>
        <w:footnoteReference w:id="7"/>
      </w:r>
      <w:r>
        <w:rPr>
          <w:rStyle w:val="A13"/>
          <w:rFonts w:ascii="Times New Roman" w:hAnsi="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316"/>
        <w:gridCol w:w="1146"/>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Domínio de intervenção</w:t>
            </w:r>
          </w:p>
        </w:tc>
        <w:tc>
          <w:tcPr>
            <w:tcW w:w="2521" w:type="dxa"/>
            <w:vAlign w:val="center"/>
          </w:tcPr>
          <w:p>
            <w:pPr>
              <w:jc w:val="center"/>
              <w:rPr>
                <w:rFonts w:ascii="Times New Roman" w:hAnsi="Times New Roman" w:cs="Times New Roman"/>
                <w:b/>
                <w:noProof/>
              </w:rPr>
            </w:pPr>
            <w:r>
              <w:rPr>
                <w:rFonts w:ascii="Times New Roman" w:hAnsi="Times New Roman"/>
                <w:b/>
                <w:noProof/>
              </w:rPr>
              <w:t>Descrição</w:t>
            </w:r>
          </w:p>
        </w:tc>
        <w:tc>
          <w:tcPr>
            <w:tcW w:w="1378" w:type="dxa"/>
            <w:vAlign w:val="center"/>
          </w:tcPr>
          <w:p>
            <w:pPr>
              <w:jc w:val="center"/>
              <w:rPr>
                <w:rFonts w:ascii="Times New Roman" w:hAnsi="Times New Roman" w:cs="Times New Roman"/>
                <w:b/>
                <w:noProof/>
              </w:rPr>
            </w:pPr>
            <w:r>
              <w:rPr>
                <w:rFonts w:ascii="Times New Roman" w:hAnsi="Times New Roman"/>
                <w:b/>
                <w:noProof/>
              </w:rPr>
              <w:t>Comissão Europeia</w:t>
            </w:r>
          </w:p>
        </w:tc>
        <w:tc>
          <w:tcPr>
            <w:tcW w:w="1276" w:type="dxa"/>
            <w:vAlign w:val="center"/>
          </w:tcPr>
          <w:p>
            <w:pPr>
              <w:jc w:val="center"/>
              <w:rPr>
                <w:rFonts w:ascii="Times New Roman" w:hAnsi="Times New Roman" w:cs="Times New Roman"/>
                <w:b/>
                <w:noProof/>
              </w:rPr>
            </w:pPr>
            <w:r>
              <w:rPr>
                <w:rFonts w:ascii="Times New Roman" w:hAnsi="Times New Roman"/>
                <w:b/>
                <w:noProof/>
              </w:rPr>
              <w:t>Parlamento Europeu</w:t>
            </w:r>
          </w:p>
        </w:tc>
        <w:tc>
          <w:tcPr>
            <w:tcW w:w="1146" w:type="dxa"/>
            <w:vAlign w:val="center"/>
          </w:tcPr>
          <w:p>
            <w:pPr>
              <w:jc w:val="center"/>
              <w:rPr>
                <w:rFonts w:ascii="Times New Roman" w:hAnsi="Times New Roman" w:cs="Times New Roman"/>
                <w:b/>
                <w:noProof/>
              </w:rPr>
            </w:pPr>
            <w:r>
              <w:rPr>
                <w:rFonts w:ascii="Times New Roman" w:hAnsi="Times New Roman"/>
                <w:b/>
                <w:noProof/>
              </w:rPr>
              <w:t>Conselho da União Europeia</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Sistema Europeu de Informação e Autorização de Viagem</w:t>
            </w:r>
            <w:r>
              <w:rPr>
                <w:rStyle w:val="FootnoteReference"/>
                <w:rFonts w:ascii="Times New Roman" w:hAnsi="Times New Roman" w:cs="Times New Roman"/>
                <w:noProof/>
                <w:sz w:val="20"/>
                <w:szCs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novembro de 2016; acordo entre os colegisladores; adoção formal em setembro de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Agência da União Europeia para a Gestão Operacional de Sistemas Informáticos de Grande Escala no Espaço de Liberdade, Segurança e Justiça</w:t>
            </w:r>
            <w:r>
              <w:rPr>
                <w:rStyle w:val="FootnoteReference"/>
                <w:rFonts w:ascii="Times New Roman" w:hAnsi="Times New Roman" w:cs="Times New Roman"/>
                <w:noProof/>
                <w:sz w:val="20"/>
                <w:szCs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junho de 2017; acordo entre os colegisladores; adoção formal em novembro de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Reforço do Sistema de Informação de Schengen</w:t>
            </w:r>
            <w:r>
              <w:rPr>
                <w:rStyle w:val="FootnoteReference"/>
                <w:rFonts w:ascii="Times New Roman" w:hAnsi="Times New Roman" w:cs="Times New Roman"/>
                <w:noProof/>
                <w:sz w:val="20"/>
                <w:szCs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dezembro de 2016; acordo entre os colegisladores; adoção formal no outono de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Branqueamento de capitais e financiamento do terrorismo</w:t>
            </w:r>
            <w:r>
              <w:rPr>
                <w:rStyle w:val="FootnoteReference"/>
                <w:rFonts w:ascii="Times New Roman" w:hAnsi="Times New Roman" w:cs="Times New Roman"/>
                <w:noProof/>
                <w:sz w:val="20"/>
                <w:szCs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julho de 2016; adoção formal em maio de 2018.</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Sistema de Entrada/Saída</w:t>
            </w:r>
            <w:r>
              <w:rPr>
                <w:rStyle w:val="FootnoteReference"/>
                <w:rFonts w:ascii="Times New Roman" w:hAnsi="Times New Roman" w:cs="Times New Roman"/>
                <w:noProof/>
                <w:sz w:val="20"/>
                <w:szCs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abril de 2016; adoção formal em novembro de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Controlo da aquisição e da detenção de armas</w:t>
            </w:r>
            <w:r>
              <w:rPr>
                <w:rStyle w:val="FootnoteReference"/>
                <w:rFonts w:ascii="Times New Roman" w:hAnsi="Times New Roman" w:cs="Times New Roman"/>
                <w:noProof/>
                <w:sz w:val="20"/>
                <w:szCs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novembro de 2015; adoção formal em maio de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Diretiva Luta contra o Terrorismo</w:t>
            </w:r>
            <w:r>
              <w:rPr>
                <w:rStyle w:val="FootnoteReference"/>
                <w:rFonts w:ascii="Times New Roman" w:hAnsi="Times New Roman" w:cs="Times New Roman"/>
                <w:noProof/>
                <w:sz w:val="20"/>
                <w:szCs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dezembro de 2015; adoção formal em março de 2017.</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Regulamento Cibersegurança</w:t>
            </w:r>
            <w:r>
              <w:rPr>
                <w:rStyle w:val="FootnoteReference"/>
                <w:rFonts w:ascii="Times New Roman" w:hAnsi="Times New Roman" w:cs="Times New Roman"/>
                <w:noProof/>
                <w:sz w:val="20"/>
                <w:szCs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setembro de 2017; acordo entre os colegisladores; adoção formal em abril de 2019.</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Sistema Europeu de Informação sobre os Registos Criminais</w:t>
            </w:r>
            <w:r>
              <w:rPr>
                <w:rStyle w:val="FootnoteReference"/>
                <w:rFonts w:ascii="Times New Roman" w:hAnsi="Times New Roman" w:cs="Times New Roman"/>
                <w:noProof/>
                <w:sz w:val="20"/>
                <w:szCs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em janeiro de 2016 e completada em junho de 2017; adoção formal em março de 2019.</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Interoperabilidade entre os sistemas de informação da UE para a gestão da segurança, das fronteiras e da migração</w:t>
            </w:r>
            <w:r>
              <w:rPr>
                <w:rStyle w:val="FootnoteReference"/>
                <w:rFonts w:ascii="Times New Roman" w:hAnsi="Times New Roman" w:cs="Times New Roman"/>
                <w:noProof/>
                <w:sz w:val="20"/>
                <w:szCs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em dezembro de 2017 e alterada em junho de 2018; adoção formal em abril de 2019.</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Acesso transnacional das autoridades com funções coercivas aos elementos de prova eletrónicos</w:t>
            </w:r>
            <w:r>
              <w:rPr>
                <w:rStyle w:val="FootnoteReference"/>
                <w:rFonts w:ascii="Times New Roman" w:hAnsi="Times New Roman" w:cs="Times New Roman"/>
                <w:noProof/>
                <w:sz w:val="20"/>
                <w:szCs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abril de 2018; o Conselho adotou o seu mandato de negociação; o Parlamento Europeu deverá adotar o seu mandato de negociação para dar início aos trílogos.</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Acesso transnacional aos dados financeiros e sua utilização pelas autoridades com funções coercivas</w:t>
            </w:r>
            <w:r>
              <w:rPr>
                <w:rStyle w:val="FootnoteReference"/>
                <w:rFonts w:ascii="Times New Roman" w:hAnsi="Times New Roman" w:cs="Times New Roman"/>
                <w:noProof/>
                <w:sz w:val="20"/>
                <w:szCs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abril de 2018; adoção formal em abril de 2019.</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Reforço do Eurodac</w:t>
            </w:r>
            <w:r>
              <w:rPr>
                <w:rStyle w:val="FootnoteReference"/>
                <w:rFonts w:ascii="Times New Roman" w:hAnsi="Times New Roman" w:cs="Times New Roman"/>
                <w:noProof/>
                <w:sz w:val="20"/>
                <w:szCs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szCs w:val="20"/>
              </w:rPr>
              <w:t>Proposta de maio de 2016; o Parlamento Europeu e o Conselho deverão finalizar as negociações, que se encontram numa fase avançada.</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szCs w:val="23"/>
        </w:rPr>
        <w:t xml:space="preserve">III) </w:t>
      </w:r>
      <w:r>
        <w:rPr>
          <w:rStyle w:val="A13"/>
          <w:rFonts w:ascii="Times New Roman" w:hAnsi="Times New Roman"/>
          <w:noProof/>
          <w:color w:val="auto"/>
          <w:sz w:val="23"/>
          <w:szCs w:val="23"/>
        </w:rPr>
        <w:t>Outras iniciativas legislativas em debate no âmbito da União da Segurança</w:t>
      </w:r>
      <w:r>
        <w:rPr>
          <w:rStyle w:val="A13"/>
          <w:rFonts w:ascii="Times New Roman" w:hAnsi="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316"/>
        <w:gridCol w:w="1146"/>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Domínio de intervenção</w:t>
            </w:r>
          </w:p>
        </w:tc>
        <w:tc>
          <w:tcPr>
            <w:tcW w:w="2521" w:type="dxa"/>
            <w:vAlign w:val="center"/>
          </w:tcPr>
          <w:p>
            <w:pPr>
              <w:jc w:val="center"/>
              <w:rPr>
                <w:rFonts w:ascii="Times New Roman" w:hAnsi="Times New Roman" w:cs="Times New Roman"/>
                <w:b/>
                <w:noProof/>
              </w:rPr>
            </w:pPr>
            <w:r>
              <w:rPr>
                <w:rFonts w:ascii="Times New Roman" w:hAnsi="Times New Roman"/>
                <w:b/>
                <w:noProof/>
              </w:rPr>
              <w:t>Descrição</w:t>
            </w:r>
          </w:p>
        </w:tc>
        <w:tc>
          <w:tcPr>
            <w:tcW w:w="1378" w:type="dxa"/>
            <w:vAlign w:val="center"/>
          </w:tcPr>
          <w:p>
            <w:pPr>
              <w:jc w:val="center"/>
              <w:rPr>
                <w:rFonts w:ascii="Times New Roman" w:hAnsi="Times New Roman" w:cs="Times New Roman"/>
                <w:b/>
                <w:noProof/>
              </w:rPr>
            </w:pPr>
            <w:r>
              <w:rPr>
                <w:rFonts w:ascii="Times New Roman" w:hAnsi="Times New Roman"/>
                <w:b/>
                <w:noProof/>
              </w:rPr>
              <w:t>Comissão Europeia</w:t>
            </w:r>
          </w:p>
        </w:tc>
        <w:tc>
          <w:tcPr>
            <w:tcW w:w="1276" w:type="dxa"/>
            <w:vAlign w:val="center"/>
          </w:tcPr>
          <w:p>
            <w:pPr>
              <w:jc w:val="center"/>
              <w:rPr>
                <w:rFonts w:ascii="Times New Roman" w:hAnsi="Times New Roman" w:cs="Times New Roman"/>
                <w:b/>
                <w:noProof/>
              </w:rPr>
            </w:pPr>
            <w:r>
              <w:rPr>
                <w:rFonts w:ascii="Times New Roman" w:hAnsi="Times New Roman"/>
                <w:b/>
                <w:noProof/>
              </w:rPr>
              <w:t>Parlamento Europeu</w:t>
            </w:r>
          </w:p>
        </w:tc>
        <w:tc>
          <w:tcPr>
            <w:tcW w:w="1146" w:type="dxa"/>
            <w:vAlign w:val="center"/>
          </w:tcPr>
          <w:p>
            <w:pPr>
              <w:jc w:val="center"/>
              <w:rPr>
                <w:rFonts w:ascii="Times New Roman" w:hAnsi="Times New Roman" w:cs="Times New Roman"/>
                <w:b/>
                <w:noProof/>
              </w:rPr>
            </w:pPr>
            <w:r>
              <w:rPr>
                <w:rFonts w:ascii="Times New Roman" w:hAnsi="Times New Roman"/>
                <w:b/>
                <w:noProof/>
              </w:rPr>
              <w:t>Conselho da União Europeia</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szCs w:val="20"/>
              </w:rPr>
              <w:t>Combate à fraude e à contrafação de meios de pagamento que não em numerário</w:t>
            </w:r>
            <w:r>
              <w:rPr>
                <w:rStyle w:val="FootnoteReference"/>
                <w:rFonts w:ascii="Times New Roman" w:hAnsi="Times New Roman" w:cs="Times New Roman"/>
                <w:noProof/>
                <w:sz w:val="20"/>
                <w:szCs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szCs w:val="20"/>
              </w:rPr>
              <w:t>Proposta de setembro de 2017; adoção formal em abril de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szCs w:val="20"/>
              </w:rPr>
              <w:t>Restrição da comercialização e utilização de precursores de explosivos</w:t>
            </w:r>
            <w:r>
              <w:rPr>
                <w:rStyle w:val="FootnoteReference"/>
                <w:rFonts w:ascii="Times New Roman" w:hAnsi="Times New Roman" w:cs="Times New Roman"/>
                <w:noProof/>
                <w:sz w:val="20"/>
                <w:szCs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szCs w:val="20"/>
              </w:rPr>
              <w:t>Proposta de abril de 2018; adoção formal em abril de 2019.</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szCs w:val="20"/>
              </w:rPr>
              <w:t>Reforço dos dispositivos de segurança dos bilhetes de identidade e dos títulos de residência</w:t>
            </w:r>
            <w:r>
              <w:rPr>
                <w:rStyle w:val="FootnoteReference"/>
                <w:rFonts w:ascii="Times New Roman" w:hAnsi="Times New Roman" w:cs="Times New Roman"/>
                <w:noProof/>
                <w:sz w:val="20"/>
                <w:szCs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szCs w:val="20"/>
              </w:rPr>
              <w:t xml:space="preserve">Proposta de abril de 2018; o Parlamento Europeu e o Conselho alcançaram um acordo provisório em fevereiro de 2019, a confirmar pela sessão plenária do Parlamento Europeu de abril de 2019; adoção formal subsequente. </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szCs w:val="20"/>
              </w:rPr>
              <w:t>Reforço do Sistema de Informação sobre Vistos</w:t>
            </w:r>
            <w:r>
              <w:rPr>
                <w:rStyle w:val="FootnoteReference"/>
                <w:rFonts w:ascii="Times New Roman" w:hAnsi="Times New Roman" w:cs="Times New Roman"/>
                <w:noProof/>
                <w:sz w:val="20"/>
                <w:szCs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szCs w:val="20"/>
              </w:rPr>
              <w:t>Proposta de maio de 2018; o Conselho adotou o seu mandato de negociação em 19 de dezembro de 2018; o Parlamento Europeu</w:t>
            </w:r>
            <w:r>
              <w:rPr>
                <w:noProof/>
              </w:rPr>
              <w:t xml:space="preserve"> </w:t>
            </w:r>
            <w:r>
              <w:rPr>
                <w:rFonts w:ascii="Times New Roman" w:hAnsi="Times New Roman"/>
                <w:noProof/>
                <w:sz w:val="20"/>
                <w:szCs w:val="20"/>
              </w:rPr>
              <w:t>votou o seu relatório em 13 de março de 2019, concluindo assim a sua primeira leitura. As negociações do trílogo entre os colegisladores deverão ser lançadas durante a próxima legislatura do Parlamento Europeu.</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p>
      <w:pPr>
        <w:tabs>
          <w:tab w:val="left" w:pos="6345"/>
        </w:tabs>
        <w:rPr>
          <w:rFonts w:ascii="Times New Roman" w:hAnsi="Times New Roman" w:cs="Times New Roman"/>
          <w:noProof/>
          <w:sz w:val="2"/>
          <w:szCs w:val="2"/>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1" w:history="1">
        <w:r>
          <w:rPr>
            <w:rStyle w:val="Hyperlink"/>
            <w:rFonts w:ascii="Times New Roman" w:hAnsi="Times New Roman"/>
          </w:rPr>
          <w:t>https://ec.europa.eu/commission/sites/beta-political/files/soteu2018-speech_pt_0.pdf</w:t>
        </w:r>
      </w:hyperlink>
      <w:r>
        <w:rPr>
          <w:rFonts w:ascii="Times New Roman" w:hAnsi="Times New Roman"/>
        </w:rPr>
        <w:t xml:space="preserve">. Ver igualmente a carta de intenções do Presidente Juncker: </w:t>
      </w:r>
      <w:hyperlink r:id="rId2" w:history="1">
        <w:r>
          <w:rPr>
            <w:rStyle w:val="Hyperlink"/>
            <w:rFonts w:ascii="Times New Roman" w:hAnsi="Times New Roman"/>
          </w:rPr>
          <w:t>https://ec.europa.eu/commission/sites/beta-political/files/soteu2018-letter-of-intent_pt.pdf</w:t>
        </w:r>
      </w:hyperlink>
      <w:r>
        <w:rPr>
          <w:rFonts w:ascii="Times New Roman" w:hAnsi="Times New Roman"/>
        </w:rPr>
        <w:t>.</w:t>
      </w:r>
    </w:p>
  </w:footnote>
  <w:footnote w:id="2">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640 final de 12.9.2018.</w:t>
      </w:r>
    </w:p>
  </w:footnote>
  <w:footnote w:id="3">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641 final de 12.9.2018.</w:t>
      </w:r>
    </w:p>
  </w:footnote>
  <w:footnote w:id="4">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636 final de 12.9.2018.</w:t>
      </w:r>
    </w:p>
  </w:footnote>
  <w:footnote w:id="5">
    <w:p>
      <w:pPr>
        <w:pStyle w:val="FootnoteText"/>
        <w:ind w:left="567" w:hanging="567"/>
        <w:jc w:val="both"/>
      </w:pPr>
      <w:r>
        <w:rPr>
          <w:rStyle w:val="FootnoteReference"/>
          <w:rFonts w:ascii="Times New Roman" w:hAnsi="Times New Roman" w:cs="Times New Roman"/>
        </w:rPr>
        <w:footnoteRef/>
      </w:r>
      <w:r>
        <w:rPr>
          <w:rFonts w:ascii="Times New Roman" w:hAnsi="Times New Roman"/>
        </w:rPr>
        <w:t xml:space="preserve"> </w:t>
      </w:r>
      <w:r>
        <w:tab/>
      </w:r>
      <w:r>
        <w:rPr>
          <w:rFonts w:ascii="Times New Roman" w:hAnsi="Times New Roman"/>
        </w:rPr>
        <w:t>COM(2018) 631 final de 12.9.2018.</w:t>
      </w:r>
    </w:p>
  </w:footnote>
  <w:footnote w:id="6">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630 final de 12.9.2018.</w:t>
      </w:r>
    </w:p>
  </w:footnote>
  <w:footnote w:id="7">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r>
      <w:hyperlink r:id="rId3" w:history="1">
        <w:r>
          <w:rPr>
            <w:rStyle w:val="Hyperlink"/>
            <w:rFonts w:ascii="Times New Roman" w:hAnsi="Times New Roman"/>
          </w:rPr>
          <w:t>https://ec.europa.eu/commission/sites/beta-political/files/joint-declaration-eu-legislative-priorities-2018-19_en.pdf</w:t>
        </w:r>
      </w:hyperlink>
      <w:r>
        <w:rPr>
          <w:rFonts w:ascii="Times New Roman" w:hAnsi="Times New Roman"/>
        </w:rPr>
        <w:t>.</w:t>
      </w:r>
    </w:p>
  </w:footnote>
  <w:footnote w:id="8">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Regulamento (UE) 2018/1240 de 12.9.2018 e Regulamento (UE) 2018/1241 de 12.9.2018.</w:t>
      </w:r>
    </w:p>
  </w:footnote>
  <w:footnote w:id="9">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Regulamento (UE) 2018/1726 de 14.11.2018.</w:t>
      </w:r>
    </w:p>
  </w:footnote>
  <w:footnote w:id="10">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Regulamento (UE) 2018/1860 de 28.11.2018, Regulamento (UE) 2018/1861 de 28.11.2018 e Regulamento (UE) 2018/1862 de 28.11.2018.</w:t>
      </w:r>
    </w:p>
  </w:footnote>
  <w:footnote w:id="11">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Diretiva (UE) 2018/843 de 30.5.2018.</w:t>
      </w:r>
    </w:p>
  </w:footnote>
  <w:footnote w:id="12">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Regulamento (UE) 2017/2226 de 30.11.2017.</w:t>
      </w:r>
    </w:p>
  </w:footnote>
  <w:footnote w:id="13">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Diretiva (UE) 2017/853 de 17.5.2017.</w:t>
      </w:r>
    </w:p>
  </w:footnote>
  <w:footnote w:id="14">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Diretiva (UE) 2017/541 de 15.3.2017.</w:t>
      </w:r>
    </w:p>
  </w:footnote>
  <w:footnote w:id="15">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COM(2017) 477 final de 13.9.2017.</w:t>
      </w:r>
    </w:p>
  </w:footnote>
  <w:footnote w:id="16">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COM(2016) 7 final de 19.1.2016 e COM(2017) 344 final de 29.6.2017.</w:t>
      </w:r>
    </w:p>
  </w:footnote>
  <w:footnote w:id="17">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COM(2017) 793 final de 12.12.2017, COM(2017) 794 final de 12.12.2017, COM(2018) 478 final de 13.6.2018 e COM(2018) 480 final de 13.6.2018.</w:t>
      </w:r>
    </w:p>
  </w:footnote>
  <w:footnote w:id="18">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225 final de 17.4.2018 e COM(2018) 226 final de 17.4.2018.</w:t>
      </w:r>
    </w:p>
  </w:footnote>
  <w:footnote w:id="19">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213 final de 17.4.2018.</w:t>
      </w:r>
    </w:p>
  </w:footnote>
  <w:footnote w:id="20">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COM(2016) 272 final de 4.5.2016.</w:t>
      </w:r>
    </w:p>
  </w:footnote>
  <w:footnote w:id="21">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COM(2017) 489 final de 13.9.2017.</w:t>
      </w:r>
    </w:p>
  </w:footnote>
  <w:footnote w:id="22">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209 final de 17.4.2018.</w:t>
      </w:r>
    </w:p>
  </w:footnote>
  <w:footnote w:id="23">
    <w:p>
      <w:pPr>
        <w:pStyle w:val="FootnoteText"/>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212 final de 17.4.2018.</w:t>
      </w:r>
    </w:p>
  </w:footnote>
  <w:footnote w:id="24">
    <w:p>
      <w:pPr>
        <w:pStyle w:val="FootnoteText"/>
        <w:ind w:left="567" w:hanging="567"/>
        <w:jc w:val="both"/>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COM(2018) 302 final de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ROSSIDES Giorgos (CAB-AVRAMOPOULOS)">
    <w15:presenceInfo w15:providerId="None" w15:userId="ROSSIDES Giorgos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a"/>
    <w:docVar w:name="LW_ANNEX_NBR_FIRST" w:val="1"/>
    <w:docVar w:name="LW_ANNEX_NBR_LAST" w:val="1"/>
    <w:docVar w:name="LW_ANNEX_UNIQUE" w:val="1"/>
    <w:docVar w:name="LW_CORRIGENDUM" w:val="&lt;UNUSED&gt;"/>
    <w:docVar w:name="LW_COVERPAGE_EXISTS" w:val="True"/>
    <w:docVar w:name="LW_COVERPAGE_GUID" w:val="1B3A901A-4F91-40EE-A77F-F7B3E27C773E"/>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uxelas, "/>
    <w:docVar w:name="LW_EMISSION_SUFFIX" w:val=" "/>
    <w:docVar w:name="LW_ID_DOCTYPE_NONLW" w:val="CP-039"/>
    <w:docVar w:name="LW_LANGUE" w:val="PT"/>
    <w:docVar w:name="LW_LEVEL_OF_SENSITIVITY" w:val="Standard treatment"/>
    <w:docVar w:name="LW_NOM.INST" w:val="COMISSÃO EUROPEIA"/>
    <w:docVar w:name="LW_NOM.INST_JOINTDOC" w:val="&lt;EMPTY&gt;"/>
    <w:docVar w:name="LW_OBJETACTEPRINCIPAL.CP" w:val="Décimo oitavo relatório sobre os progressos alcançados rumo à criação de uma União da Segurança genuína e eficaz_x000b__x000b_Lista de iniciativas legislativas_x000b_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EXO_x000b_"/>
    <w:docVar w:name="LW_TYPEACTEPRINCIPAL.CP" w:val="COMUNICAÇÃO DA COMISSÃO AO PARLAMENTO EUROPEU, AO CONSELHO EUROPEU E AO CONSELHO _x000b__x000b_"/>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lang w:eastAsia="en-GB" w:bidi="en-GB"/>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en-GB" w:bidi="en-GB"/>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declaration-eu-legislative-priorities-2018-19_en.pdf" TargetMode="External"/><Relationship Id="rId2" Type="http://schemas.openxmlformats.org/officeDocument/2006/relationships/hyperlink" Target="https://ec.europa.eu/commission/sites/beta-political/files/soteu2018-letter-of-intent_pt.pdf" TargetMode="External"/><Relationship Id="rId1" Type="http://schemas.openxmlformats.org/officeDocument/2006/relationships/hyperlink" Target="https://ec.europa.eu/commission/sites/beta-political/files/soteu2018-speech_p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CFC659-491A-4E27-ABBF-AFB46F84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756</Words>
  <Characters>4192</Characters>
  <Application>Microsoft Office Word</Application>
  <DocSecurity>0</DocSecurity>
  <Lines>299</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13</cp:revision>
  <cp:lastPrinted>2019-03-06T14:21:00Z</cp:lastPrinted>
  <dcterms:created xsi:type="dcterms:W3CDTF">2019-03-15T15:44:00Z</dcterms:created>
  <dcterms:modified xsi:type="dcterms:W3CDTF">2019-04-10T14:15:00Z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