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0E4870FB-DB9B-4D9F-AF09-129602350F25" style="width:450.8pt;height:502.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ALLEGATO</w:t>
      </w:r>
    </w:p>
    <w:p>
      <w:pPr>
        <w:pStyle w:val="Pa35"/>
        <w:rPr>
          <w:rFonts w:ascii="Times New Roman" w:hAnsi="Times New Roman" w:cs="Times New Roman"/>
          <w:noProof/>
          <w:color w:val="000000"/>
          <w:sz w:val="23"/>
          <w:szCs w:val="23"/>
        </w:rPr>
      </w:pPr>
      <w:r>
        <w:rPr>
          <w:rStyle w:val="A13"/>
          <w:rFonts w:ascii="Times New Roman" w:hAnsi="Times New Roman"/>
          <w:noProof/>
          <w:sz w:val="23"/>
        </w:rPr>
        <w:t>ATTUAZIONE DELLE PRIORITÀ LEGISLATIVE</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Misura presentata e concordata</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Rapido accordo possibile con le procedure normali</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Accordo possibile se sussiste un impegno politico forte di tutte le istituzioni UE</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Iniziative previste nel discorso sullo Stato dell'Unione del 2018</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475"/>
        <w:gridCol w:w="1316"/>
        <w:gridCol w:w="1304"/>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Politica</w:t>
            </w:r>
          </w:p>
        </w:tc>
        <w:tc>
          <w:tcPr>
            <w:tcW w:w="2521" w:type="dxa"/>
            <w:vAlign w:val="center"/>
          </w:tcPr>
          <w:p>
            <w:pPr>
              <w:jc w:val="center"/>
              <w:rPr>
                <w:rFonts w:ascii="Times New Roman" w:hAnsi="Times New Roman" w:cs="Times New Roman"/>
                <w:b/>
                <w:noProof/>
              </w:rPr>
            </w:pPr>
            <w:r>
              <w:rPr>
                <w:rFonts w:ascii="Times New Roman" w:hAnsi="Times New Roman"/>
                <w:b/>
                <w:noProof/>
              </w:rPr>
              <w:t>Descrizione</w:t>
            </w:r>
          </w:p>
        </w:tc>
        <w:tc>
          <w:tcPr>
            <w:tcW w:w="1378" w:type="dxa"/>
            <w:vAlign w:val="center"/>
          </w:tcPr>
          <w:p>
            <w:pPr>
              <w:jc w:val="center"/>
              <w:rPr>
                <w:rFonts w:ascii="Times New Roman" w:hAnsi="Times New Roman" w:cs="Times New Roman"/>
                <w:b/>
                <w:noProof/>
              </w:rPr>
            </w:pPr>
            <w:r>
              <w:rPr>
                <w:rFonts w:ascii="Times New Roman" w:hAnsi="Times New Roman"/>
                <w:b/>
                <w:noProof/>
              </w:rPr>
              <w:t>Commissione europea</w:t>
            </w:r>
          </w:p>
        </w:tc>
        <w:tc>
          <w:tcPr>
            <w:tcW w:w="1276" w:type="dxa"/>
            <w:vAlign w:val="center"/>
          </w:tcPr>
          <w:p>
            <w:pPr>
              <w:jc w:val="center"/>
              <w:rPr>
                <w:rFonts w:ascii="Times New Roman" w:hAnsi="Times New Roman" w:cs="Times New Roman"/>
                <w:b/>
                <w:noProof/>
              </w:rPr>
            </w:pPr>
            <w:r>
              <w:rPr>
                <w:rFonts w:ascii="Times New Roman" w:hAnsi="Times New Roman"/>
                <w:b/>
                <w:noProof/>
              </w:rPr>
              <w:t>Parlamento europeo</w:t>
            </w:r>
          </w:p>
        </w:tc>
        <w:tc>
          <w:tcPr>
            <w:tcW w:w="1146" w:type="dxa"/>
            <w:vAlign w:val="center"/>
          </w:tcPr>
          <w:p>
            <w:pPr>
              <w:jc w:val="center"/>
              <w:rPr>
                <w:rFonts w:ascii="Times New Roman" w:hAnsi="Times New Roman" w:cs="Times New Roman"/>
                <w:b/>
                <w:noProof/>
              </w:rPr>
            </w:pPr>
            <w:r>
              <w:rPr>
                <w:rFonts w:ascii="Times New Roman" w:hAnsi="Times New Roman"/>
                <w:b/>
                <w:noProof/>
              </w:rPr>
              <w:t>Consiglio dell’Unione europea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Prevenzione della diffusione di contenuti terroristici online</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settembre 2018; il Consiglio ha adottato il suo mandato il 6 dicembre 2018; il Parlamento europeo deve adottare il suo mandato negoziale e avviare le discussioni trilaterali.</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Estensione del mandato della Procura europea ai reati di terrorismo transfrontaliero</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settembre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Modifica mirata del regolamento sul finanziamento dei partiti per quanto riguarda la procedura di verifica relativa alle violazioni delle norme in materia di protezione dei dati personali nel contesto delle elezioni del Parlamento europeo</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settembre 2018; accordo raggiunto tra i colegislatori; adozione formale a marzo 2019.</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Rafforzamento delle capacità dell'Agenzia europea della guardia di frontiera e costiera</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settembre 2018; il Parlamento europeo e il Consiglio hanno adottato i loro mandati negoziali e hanno avviato i negoziati interistituzionali.</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Centro europeo di competenza industriale, tecnologica e di ricerca sulla cibersicurezza</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settembre 2018; il Parlamento europeo e il Consiglio hanno adottato i loro mandati negoziali e hanno avviato i negoziati interistituzionali.</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Priorità stabilite nella dichiarazione comune</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475"/>
        <w:gridCol w:w="1316"/>
        <w:gridCol w:w="1304"/>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Politica</w:t>
            </w:r>
          </w:p>
        </w:tc>
        <w:tc>
          <w:tcPr>
            <w:tcW w:w="2521" w:type="dxa"/>
            <w:vAlign w:val="center"/>
          </w:tcPr>
          <w:p>
            <w:pPr>
              <w:jc w:val="center"/>
              <w:rPr>
                <w:rFonts w:ascii="Times New Roman" w:hAnsi="Times New Roman" w:cs="Times New Roman"/>
                <w:b/>
                <w:noProof/>
              </w:rPr>
            </w:pPr>
            <w:r>
              <w:rPr>
                <w:rFonts w:ascii="Times New Roman" w:hAnsi="Times New Roman"/>
                <w:b/>
                <w:noProof/>
              </w:rPr>
              <w:t>Descrizione</w:t>
            </w:r>
          </w:p>
        </w:tc>
        <w:tc>
          <w:tcPr>
            <w:tcW w:w="1378" w:type="dxa"/>
            <w:vAlign w:val="center"/>
          </w:tcPr>
          <w:p>
            <w:pPr>
              <w:jc w:val="center"/>
              <w:rPr>
                <w:rFonts w:ascii="Times New Roman" w:hAnsi="Times New Roman" w:cs="Times New Roman"/>
                <w:b/>
                <w:noProof/>
              </w:rPr>
            </w:pPr>
            <w:r>
              <w:rPr>
                <w:rFonts w:ascii="Times New Roman" w:hAnsi="Times New Roman"/>
                <w:b/>
                <w:noProof/>
              </w:rPr>
              <w:t>Commissione europea</w:t>
            </w:r>
          </w:p>
        </w:tc>
        <w:tc>
          <w:tcPr>
            <w:tcW w:w="1276" w:type="dxa"/>
            <w:vAlign w:val="center"/>
          </w:tcPr>
          <w:p>
            <w:pPr>
              <w:jc w:val="center"/>
              <w:rPr>
                <w:rFonts w:ascii="Times New Roman" w:hAnsi="Times New Roman" w:cs="Times New Roman"/>
                <w:b/>
                <w:noProof/>
              </w:rPr>
            </w:pPr>
            <w:r>
              <w:rPr>
                <w:rFonts w:ascii="Times New Roman" w:hAnsi="Times New Roman"/>
                <w:b/>
                <w:noProof/>
              </w:rPr>
              <w:t>Parlamento europeo</w:t>
            </w:r>
          </w:p>
        </w:tc>
        <w:tc>
          <w:tcPr>
            <w:tcW w:w="1146" w:type="dxa"/>
            <w:vAlign w:val="center"/>
          </w:tcPr>
          <w:p>
            <w:pPr>
              <w:jc w:val="center"/>
              <w:rPr>
                <w:rFonts w:ascii="Times New Roman" w:hAnsi="Times New Roman" w:cs="Times New Roman"/>
                <w:b/>
                <w:noProof/>
              </w:rPr>
            </w:pPr>
            <w:r>
              <w:rPr>
                <w:rFonts w:ascii="Times New Roman" w:hAnsi="Times New Roman"/>
                <w:b/>
                <w:noProof/>
              </w:rPr>
              <w:t>Consiglio dell’Unione europea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Sistema europeo di informazione e autorizzazione ai viaggi</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novembre 2016; accordo raggiunto tra i colegislatori; adozione formale a settembre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Agenzia europea per la gestione operativa dei sistemi IT su larga scala nello spazio di libertà, sicurezza e giustizia</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giugno 2017; accordo raggiunto tra i colegislatori; adozione formale a novembre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Rafforzamento del sistema d'informazione Schengen</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dicembre 2016; accordo raggiunto tra i colegislatori; adozione formale in autunno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Riciclaggio di denaro o finanziamento del terrorismo</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luglio 2016; adozione formale a maggio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Sistema di ingressi/uscite</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ad aprile 2016; adozione formale a novembre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Controllo dell’acquisizione e della detenzione di armi</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novembre 2015; adozione formale a maggio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Direttiva sulla lotta contro il terrorismo</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dicembre 2015; adozione formale a marzo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Regolamento sulla cibersicurezza</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settembre 2017; accordo raggiunto tra i colegislatori; adozione formale ad aprile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Sistema europeo di informazione sui casellari giudiziali</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gennaio 2016 e completata a giugno 2017 adozione formale a marzo 2019.</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Interoperabilità tra i sistemi di informazione dell’UE relativi alla sicurezza, alle frontiere e alla gestione della migrazione</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dicembre 2017 e modificata a giugno 2018; adozione formale ad aprile 2019.</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Accesso transfrontaliero delle autorità di contrasto alle prove elettroniche</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ad aprile 2018; il Consiglio ha adottato il suo mandato negoziale; il Parlamento europeo deve adottare il suo mandato negoziale e avviare le discussioni trilaterali.</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Accesso transfrontaliero e uso dei dati finanziari da parte delle autorità di contrasto</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ad aprile 2018; adozione formale ad aprile 2019.</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Rafforzamento di 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Proposta a maggio 2016; il Parlamento europeo e il Consiglio devono portare a termine le discussioni trilaterali.</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 xml:space="preserve">III) </w:t>
      </w:r>
      <w:r>
        <w:rPr>
          <w:rStyle w:val="A13"/>
          <w:rFonts w:ascii="Times New Roman" w:hAnsi="Times New Roman"/>
          <w:noProof/>
          <w:color w:val="auto"/>
          <w:sz w:val="23"/>
        </w:rPr>
        <w:t>Altre iniziative legislative in discussione nel settore dell'Unione della sicurezza</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475"/>
        <w:gridCol w:w="1316"/>
        <w:gridCol w:w="1304"/>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Politica</w:t>
            </w:r>
          </w:p>
        </w:tc>
        <w:tc>
          <w:tcPr>
            <w:tcW w:w="2521" w:type="dxa"/>
            <w:vAlign w:val="center"/>
          </w:tcPr>
          <w:p>
            <w:pPr>
              <w:jc w:val="center"/>
              <w:rPr>
                <w:rFonts w:ascii="Times New Roman" w:hAnsi="Times New Roman" w:cs="Times New Roman"/>
                <w:b/>
                <w:noProof/>
              </w:rPr>
            </w:pPr>
            <w:r>
              <w:rPr>
                <w:rFonts w:ascii="Times New Roman" w:hAnsi="Times New Roman"/>
                <w:b/>
                <w:noProof/>
              </w:rPr>
              <w:t>Descrizione</w:t>
            </w:r>
          </w:p>
        </w:tc>
        <w:tc>
          <w:tcPr>
            <w:tcW w:w="1378" w:type="dxa"/>
            <w:vAlign w:val="center"/>
          </w:tcPr>
          <w:p>
            <w:pPr>
              <w:jc w:val="center"/>
              <w:rPr>
                <w:rFonts w:ascii="Times New Roman" w:hAnsi="Times New Roman" w:cs="Times New Roman"/>
                <w:b/>
                <w:noProof/>
              </w:rPr>
            </w:pPr>
            <w:r>
              <w:rPr>
                <w:rFonts w:ascii="Times New Roman" w:hAnsi="Times New Roman"/>
                <w:b/>
                <w:noProof/>
              </w:rPr>
              <w:t>Commissione europea</w:t>
            </w:r>
          </w:p>
        </w:tc>
        <w:tc>
          <w:tcPr>
            <w:tcW w:w="1276" w:type="dxa"/>
            <w:vAlign w:val="center"/>
          </w:tcPr>
          <w:p>
            <w:pPr>
              <w:jc w:val="center"/>
              <w:rPr>
                <w:rFonts w:ascii="Times New Roman" w:hAnsi="Times New Roman" w:cs="Times New Roman"/>
                <w:b/>
                <w:noProof/>
              </w:rPr>
            </w:pPr>
            <w:r>
              <w:rPr>
                <w:rFonts w:ascii="Times New Roman" w:hAnsi="Times New Roman"/>
                <w:b/>
                <w:noProof/>
              </w:rPr>
              <w:t>Parlamento europeo</w:t>
            </w:r>
          </w:p>
        </w:tc>
        <w:tc>
          <w:tcPr>
            <w:tcW w:w="1146" w:type="dxa"/>
            <w:vAlign w:val="center"/>
          </w:tcPr>
          <w:p>
            <w:pPr>
              <w:jc w:val="center"/>
              <w:rPr>
                <w:rFonts w:ascii="Times New Roman" w:hAnsi="Times New Roman" w:cs="Times New Roman"/>
                <w:b/>
                <w:noProof/>
              </w:rPr>
            </w:pPr>
            <w:r>
              <w:rPr>
                <w:rFonts w:ascii="Times New Roman" w:hAnsi="Times New Roman"/>
                <w:b/>
                <w:noProof/>
              </w:rPr>
              <w:t>Consiglio dell’Unione europea</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Lotta contro le frodi e le falsificazioni di mezzi di pagamento diversi dai contanti</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Proposta a settembre 2017; adozione formale ad aprile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Restrizioni all’immissione sul mercato e all’uso di precursori di esplosivi</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Proposta ad aprile 2018; adozione formale ad aprile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Rafforzamento delle caratteristiche di sicurezza delle carte d'identità nazionali e dei titoli di soggiorno</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Proposta ad aprile 2018; il Parlamento europeo e il Consiglio hanno raggiunto un accordo provvisorio nel febbraio 2019, da confermarsi in seduta plenaria del PE ad aprile 2019; a seguire adozione formale.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Rafforzamento del sistema d'informazione visti</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Proposta a maggio 2018; il Consiglio ha adottato il suo mandato negoziale il 19 dicembre 2018; </w:t>
            </w:r>
            <w:r>
              <w:rPr>
                <w:noProof/>
              </w:rPr>
              <w:t xml:space="preserve">Il </w:t>
            </w:r>
            <w:r>
              <w:rPr>
                <w:rFonts w:ascii="Times New Roman" w:hAnsi="Times New Roman"/>
                <w:noProof/>
                <w:sz w:val="20"/>
              </w:rPr>
              <w:t>Parlamento europeo</w:t>
            </w:r>
            <w:r>
              <w:rPr>
                <w:noProof/>
              </w:rPr>
              <w:t xml:space="preserve"> </w:t>
            </w:r>
            <w:r>
              <w:rPr>
                <w:rFonts w:ascii="Times New Roman" w:hAnsi="Times New Roman"/>
                <w:noProof/>
                <w:sz w:val="20"/>
              </w:rPr>
              <w:t>ha votato la sua relazione il 13 marzo 2019 concludendo così la sua prima lettura. Negoziati trilaterali fra i colegislatori da avviare nell'ambito del prossimo Parlamento europeo.</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https://ec.europa.eu/commission/sites/beta-political/files/soteu2018-speech_it_0.pdf</w:t>
        </w:r>
      </w:hyperlink>
      <w:r>
        <w:rPr>
          <w:rFonts w:ascii="Times New Roman" w:hAnsi="Times New Roman"/>
        </w:rPr>
        <w:t xml:space="preserve">. Si veda anche la lettera di intenti del presidente Juncker: </w:t>
      </w:r>
      <w:hyperlink r:id="rId2">
        <w:r>
          <w:rPr>
            <w:rStyle w:val="Hyperlink"/>
            <w:rFonts w:ascii="Times New Roman" w:hAnsi="Times New Roman"/>
          </w:rPr>
          <w:t>https://ec.europa.eu/commission/sites/beta-political/files/soteu2018-letter-of-intent_it.pdf</w:t>
        </w:r>
      </w:hyperlink>
      <w:r>
        <w:rPr>
          <w:rFonts w:ascii="Times New Roman" w:hAnsi="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640 final del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641 final del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636 final del 12.9.2018.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631 final del 12.9.2018.</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630 final del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https://ec.europa.eu/commission/sites/beta-political/files/joint-declaration-eu-legislative-priorities-2018-19_en.pdf</w:t>
        </w:r>
      </w:hyperlink>
      <w:r>
        <w:rPr>
          <w:rFonts w:ascii="Times New Roman" w:hAnsi="Times New Roman"/>
          <w:lang w:val="pt-PT"/>
        </w:rPr>
        <w:t>.</w:t>
      </w:r>
    </w:p>
  </w:footnote>
  <w:footnote w:id="8">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Regolamento (UE) 2018/1240 del 12.9.2018 e regolamento (UE) 2018/1241 del 12.9.2018.</w:t>
      </w:r>
    </w:p>
  </w:footnote>
  <w:footnote w:id="9">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Regolamento (UE) 2018/1726 del 14.11.2018.</w:t>
      </w:r>
    </w:p>
  </w:footnote>
  <w:footnote w:id="10">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Regolamento (UE) 2018/1860 del 28.11.2018, regolamento (UE) 2018/1861 del 28.11.2018 e regolamento (UE) 2018/1862 del 28.11.2018.</w:t>
      </w:r>
    </w:p>
  </w:footnote>
  <w:footnote w:id="1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(UE) 2018/843 del 30.5.2018.</w:t>
      </w:r>
    </w:p>
  </w:footnote>
  <w:footnote w:id="12">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Regolamento (UE) 2017/2226 del 30.11.2017.</w:t>
      </w:r>
    </w:p>
  </w:footnote>
  <w:footnote w:id="13">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(UE) 2017/853 del 17.5.2017.</w:t>
      </w:r>
    </w:p>
  </w:footnote>
  <w:footnote w:id="14">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(UE) 2017/541 del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477 final del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 final del 19.1.2016 e COM(2017) 344 final del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793 final del 12.12.2017, COM(2017) 794 final del 12.12.2017, COM(2018) 478 final del 13.6.2018 e COM(2018) 480 final del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225 final del 17.4.2018 e COM(2018) 226 final del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213 final del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272 final del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489 final del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209 final del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212 final del 17.4.2018.</w:t>
      </w:r>
    </w:p>
  </w:footnote>
  <w:footnote w:id="24">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302 final del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1"/>
    <w:docVar w:name="LW_ANNEX_NBR_LAST" w:val="1"/>
    <w:docVar w:name="LW_ANNEX_UNIQUE" w:val="1"/>
    <w:docVar w:name="LW_CORRIGENDUM" w:val="&lt;UNUSED&gt;"/>
    <w:docVar w:name="LW_COVERPAGE_EXISTS" w:val="True"/>
    <w:docVar w:name="LW_COVERPAGE_GUID" w:val="0E4870FB-DB9B-4D9F-AF09-129602350F25"/>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uxelles, "/>
    <w:docVar w:name="LW_EMISSION_SUFFIX" w:val=" "/>
    <w:docVar w:name="LW_ID_DOCTYPE_NONLW" w:val="CP-039"/>
    <w:docVar w:name="LW_LANGUE" w:val="IT"/>
    <w:docVar w:name="LW_LEVEL_OF_SENSITIVITY" w:val="Standard treatment"/>
    <w:docVar w:name="LW_NOM.INST" w:val="COMMISSIONE EUROPEA"/>
    <w:docVar w:name="LW_NOM.INST_JOINTDOC" w:val="&lt;EMPTY&gt;"/>
    <w:docVar w:name="LW_OBJETACTEPRINCIPAL.CP" w:val="Diciottesima relazione sui progressi compiuti verso un'autentica ed efficace Unione della sicurezza_x000b__x000b_Elenco delle iniziative legislative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LLEGATO_x000b_"/>
    <w:docVar w:name="LW_TYPEACTEPRINCIPAL.CP" w:val="COMUNICAZIONE DELLA COMMISSIONE AL PARLAMENTO EUROPEO, AL CONSIGLIO EUROPEO E AL CONSIGLIO_x000b_ 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it-IT" w:bidi="it-IT"/>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it-IT" w:bidi="it-IT"/>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it.pdf" TargetMode="External"/><Relationship Id="rId1" Type="http://schemas.openxmlformats.org/officeDocument/2006/relationships/hyperlink" Target="https://ec.europa.eu/commission/sites/beta-political/files/soteu2018-speech_i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2A11A0-937B-4D59-9C09-45D0CE7C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682</Words>
  <Characters>4211</Characters>
  <Application>Microsoft Office Word</Application>
  <DocSecurity>0</DocSecurity>
  <Lines>300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13</cp:revision>
  <cp:lastPrinted>2019-03-06T14:21:00Z</cp:lastPrinted>
  <dcterms:created xsi:type="dcterms:W3CDTF">2019-03-21T13:26:00Z</dcterms:created>
  <dcterms:modified xsi:type="dcterms:W3CDTF">2019-04-10T14:15:00Z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