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933048E-9459-44A4-BACF-018DB828B246" style="width:450.75pt;height:348pt">
            <v:imagedata r:id="rId13" o:title=""/>
          </v:shape>
        </w:pict>
      </w:r>
    </w:p>
    <w:bookmarkEnd w:id="0"/>
    <w:p>
      <w:pPr>
        <w:rPr>
          <w:noProof/>
        </w:rPr>
        <w:sectPr>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KOMUNIKAT KOMISJI DO PARLAMENTU EUROPEJSKIEGO, RADY EUROPEJSKIEJ, RADY, EUROPEJSKIEGO BANKU CENTRALNEGO, EUROPEJSKIEGO KOMITETU EKONOMICZNO-SPOŁECZNEGO, KOMITETU REGIONÓW I EUROPEJSKIEGO BANKU INWESTYCYJNEGO</w:t>
      </w:r>
    </w:p>
    <w:p>
      <w:pPr>
        <w:pStyle w:val="Titreobjet"/>
        <w:rPr>
          <w:noProof/>
        </w:rPr>
      </w:pPr>
      <w:r>
        <w:rPr>
          <w:noProof/>
        </w:rPr>
        <w:t>Przeciwdziałanie skutkom wystąpienia Zjednoczonego Królestwa z Unii bez umowy: skoordynowane podejście Unii</w:t>
      </w:r>
    </w:p>
    <w:p>
      <w:pPr>
        <w:pStyle w:val="Heading"/>
        <w:numPr>
          <w:ilvl w:val="0"/>
          <w:numId w:val="2"/>
        </w:numPr>
        <w:rPr>
          <w:noProof/>
        </w:rPr>
      </w:pPr>
      <w:r>
        <w:rPr>
          <w:noProof/>
        </w:rPr>
        <w:t>Wprowadzenie</w:t>
      </w:r>
    </w:p>
    <w:p>
      <w:pPr>
        <w:pStyle w:val="Text1"/>
        <w:ind w:left="0"/>
        <w:rPr>
          <w:noProof/>
        </w:rPr>
      </w:pPr>
      <w:r>
        <w:rPr>
          <w:noProof/>
        </w:rPr>
        <w:t>W dniu 29 marca 2017 r. Zjednoczone Królestwo złożyło notyfikację o zamiarze wystąpienia z Unii. Komisja niezmiennie uważa, że optymalnym rozwiązaniem byłoby uporządkowane wystąpienie Zjednoczonego Królestwa z Unii na podstawie umowy o wystąpieniu, która została wynegocjowana przez rząd Zjednoczonego Królestwa i którą Rada Europejska (art. 50) zatwierdziła w dniu 25 listopada 2018 r. Komisja nadal koncentruje swoje wysiłki na osiągnięciu tego celu. Na dwa dni przed terminem przesuniętym przez Radę Europejską na dzień 12 kwietnia 2019 r.</w:t>
      </w:r>
      <w:r>
        <w:rPr>
          <w:noProof/>
          <w:vertAlign w:val="superscript"/>
        </w:rPr>
        <w:footnoteReference w:id="2"/>
      </w:r>
      <w:r>
        <w:rPr>
          <w:noProof/>
        </w:rPr>
        <w:t xml:space="preserve"> prawdopodobieństwo nieuporządkowanego wystąpienia znacznie się jednak zwiększyło. Celem niniejszego komunikatu jest podsumowanie intensywnych przygotowań do tego scenariusza, które trwają od 2017 r.</w:t>
      </w:r>
    </w:p>
    <w:p>
      <w:pPr>
        <w:pStyle w:val="Text1"/>
        <w:ind w:left="0"/>
        <w:rPr>
          <w:noProof/>
        </w:rPr>
      </w:pPr>
      <w:r>
        <w:rPr>
          <w:noProof/>
        </w:rPr>
        <w:t>Komisja wielokrotnie – między innymi w trzech komunikatach z dnia 19 lipca 2018 r.</w:t>
      </w:r>
      <w:r>
        <w:rPr>
          <w:noProof/>
          <w:vertAlign w:val="superscript"/>
        </w:rPr>
        <w:footnoteReference w:id="3"/>
      </w:r>
      <w:r>
        <w:rPr>
          <w:noProof/>
        </w:rPr>
        <w:t>, z dnia 13 listopada 2018 r.</w:t>
      </w:r>
      <w:r>
        <w:rPr>
          <w:noProof/>
          <w:vertAlign w:val="superscript"/>
        </w:rPr>
        <w:footnoteReference w:id="4"/>
      </w:r>
      <w:r>
        <w:rPr>
          <w:noProof/>
        </w:rPr>
        <w:t xml:space="preserve"> i z dnia 19 grudnia 2018 r.</w:t>
      </w:r>
      <w:r>
        <w:rPr>
          <w:noProof/>
          <w:vertAlign w:val="superscript"/>
        </w:rPr>
        <w:footnoteReference w:id="5"/>
      </w:r>
      <w:r>
        <w:rPr>
          <w:noProof/>
        </w:rPr>
        <w:t xml:space="preserve"> w sprawie gotowości na brexit – zwracała uwagę wszystkich zainteresowanych stron na fakt, że scenariusz zakładający brak porozumienia spowodowałby istotne zakłócenia. Ocena ta nie uległa zmianie. W przypadku braku porozumienia uporządkowane przejście do nowych stosunków przewidziane w umowie o wystąpieniu nie będzie możliwe. </w:t>
      </w:r>
    </w:p>
    <w:p>
      <w:pPr>
        <w:pStyle w:val="Text1"/>
        <w:ind w:left="0"/>
        <w:rPr>
          <w:noProof/>
        </w:rPr>
      </w:pPr>
      <w:r>
        <w:rPr>
          <w:noProof/>
        </w:rPr>
        <w:t xml:space="preserve">W związku z tym instytucje UE, organy państw członkowskich na wszystkich szczeblach oraz wszystkie zainteresowane strony podjęły współpracę, aby złagodzić wpływ potencjalnego wystąpienia Zjednoczonego Królestwa z Unii bez porozumienia. Dzięki tym wspólnym wysiłkom UE jest dziś przygotowana na nieuporządkowane wystąpienie Zjednoczonego Królestwa z Unii. </w:t>
      </w:r>
    </w:p>
    <w:p>
      <w:pPr>
        <w:pStyle w:val="Text1"/>
        <w:ind w:left="0"/>
        <w:rPr>
          <w:noProof/>
        </w:rPr>
      </w:pPr>
      <w:r>
        <w:rPr>
          <w:noProof/>
        </w:rPr>
        <w:t xml:space="preserve">Środki awaryjne, które zostały wprowadzone na szczeblu europejskim i krajowym, opierają się na ogólnych zasadach określonych w komunikacie z dnia 13 listopada 2018 r. Środki awaryjne nie powielają korzyści wynikających z członkostwa w Unii ani warunków okresu przejściowego, jak przewidziano w umowie o wystąpieniu. Mają one charakter tymczasowy, a Unia Europejska wprowadziła je jednostronnie w celu ochrony swoich interesów. Dokonała tego przy pełnym poszanowaniu podziału kompetencji przewidzianego w Traktatach oraz zasady pomocniczości. </w:t>
      </w:r>
    </w:p>
    <w:p>
      <w:pPr>
        <w:pStyle w:val="Text1"/>
        <w:ind w:left="0"/>
        <w:rPr>
          <w:noProof/>
        </w:rPr>
      </w:pPr>
      <w:r>
        <w:rPr>
          <w:noProof/>
        </w:rPr>
        <w:t>W przypadku braku porozumienia te tymczasowe środki awaryjne zapewnią Zjednoczonemu Królestwu możliwość zajęcia się trzema głównymi kwestiami dotyczącymi wystąpienia, co stanowi warunek wstępny dalszej dyskusji na temat przyszłych stosunków ze Zjednoczonym Królestwem. Jak stwierdził przewodniczący Juncker w Parlamencie Europejskim w dniu 3 kwietnia 2019 r.</w:t>
      </w:r>
      <w:r>
        <w:rPr>
          <w:rStyle w:val="FootnoteReference"/>
          <w:noProof/>
        </w:rPr>
        <w:footnoteReference w:id="6"/>
      </w:r>
      <w:r>
        <w:rPr>
          <w:noProof/>
        </w:rPr>
        <w:t>, te trzy główne kwestie to: (i) zapewnienie, by przestrzegane i chronione były prawa obywateli EU-27 i Zjednoczonego Królestwa, którzy przed wystąpieniem Zjednoczonego Królestwa z Unii skorzystali z prawa do swobodnego przemieszczania się; (ii) wywiązanie się przez Zjednoczone Królestwo z zobowiązań finansowych podjętych jako państwo członkowskie; (iii) znalezienie rozwiązania pozwalającego utrzymać pokój na wyspie Irlandii i zapewnić integralność rynku wewnętrznego. Zjednoczone Królestwo musi w pełni przestrzegać litery i ducha porozumienia wielkopiątkowego.</w:t>
      </w:r>
    </w:p>
    <w:p>
      <w:pPr>
        <w:pStyle w:val="Heading"/>
        <w:numPr>
          <w:ilvl w:val="0"/>
          <w:numId w:val="2"/>
        </w:numPr>
        <w:rPr>
          <w:noProof/>
        </w:rPr>
      </w:pPr>
      <w:r>
        <w:rPr>
          <w:noProof/>
        </w:rPr>
        <w:t>Koniec przygotowań na wypadek brexitu bez porozumienia</w:t>
      </w:r>
    </w:p>
    <w:p>
      <w:pPr>
        <w:pStyle w:val="Body"/>
        <w:rPr>
          <w:noProof/>
        </w:rPr>
      </w:pPr>
      <w:r>
        <w:rPr>
          <w:noProof/>
        </w:rPr>
        <w:t xml:space="preserve">Przygotowania do wystąpienia Zjednoczonego Królestwa z UE były wspólnym wysiłkiem instytucji i organów UE, organów krajowych, regionalnych i lokalnych, a także podmiotów gospodarczych. Wszystkie te zainteresowane strony zostały wezwane do wzięcia na siebie odpowiedzialności za swoje przygotowanie do wystąpienia Zjednoczonego Królestwa z UE bez porozumienia i za złagodzenie najgorszych skutków takiego wystąpienia. </w:t>
      </w:r>
    </w:p>
    <w:p>
      <w:pPr>
        <w:pStyle w:val="Body"/>
        <w:rPr>
          <w:noProof/>
        </w:rPr>
      </w:pPr>
      <w:r>
        <w:rPr>
          <w:noProof/>
        </w:rPr>
        <w:t>Od grudnia 2017 r. instytucje i organy UE oraz państwa członkowskie UE-27 aktywnie przygotowują się na scenariusz zakładający wystąpienie Zjednoczonego Królestwa z UE bez porozumienia. Oprócz trzech komunikatów, w których nakreślono wytyczne polityczne w sprawie podejścia, jakie należy przyjąć, Komisja opublikowała 92 zawiadomienia</w:t>
      </w:r>
      <w:r>
        <w:rPr>
          <w:noProof/>
          <w:vertAlign w:val="superscript"/>
        </w:rPr>
        <w:footnoteReference w:id="7"/>
      </w:r>
      <w:r>
        <w:rPr>
          <w:noProof/>
        </w:rPr>
        <w:t>, które mają pomóc zainteresowanym stronom i odpowiednim organom w przygotowaniu się do brexitu. Komisja przedstawiła ponadto 19 wniosków ustawodawczych, z których 18 zostało przyjętych i będzie stosowanych od dnia wystąpienia; wniosek dotyczący budżetu UE na 2019 r. po przyjęciu będzie natomiast stosowany z mocą wsteczną od dnia wystąpienia</w:t>
      </w:r>
      <w:r>
        <w:rPr>
          <w:rStyle w:val="FootnoteReference"/>
          <w:noProof/>
        </w:rPr>
        <w:footnoteReference w:id="8"/>
      </w:r>
      <w:r>
        <w:rPr>
          <w:noProof/>
        </w:rPr>
        <w:t>. Komisja przyjęła też 45 aktów nieustawodawczych w wielu obszarach polityki</w:t>
      </w:r>
      <w:r>
        <w:rPr>
          <w:rStyle w:val="FootnoteReference"/>
          <w:noProof/>
        </w:rPr>
        <w:footnoteReference w:id="9"/>
      </w:r>
      <w:r>
        <w:rPr>
          <w:noProof/>
        </w:rPr>
        <w:t xml:space="preserve">. </w:t>
      </w:r>
    </w:p>
    <w:p>
      <w:pPr>
        <w:pStyle w:val="Body"/>
        <w:rPr>
          <w:noProof/>
        </w:rPr>
      </w:pPr>
      <w:r>
        <w:rPr>
          <w:noProof/>
        </w:rPr>
        <w:t>Komisja przeprowadziła szerokie dyskusje techniczne z państwami członkowskimi UE-27 zarówno na temat ogólnych kwestii dotyczących gotowości i planu awaryjnego, jak i na temat konkretnych działań sektorowych, prawnych i administracyjnych. Przedstawiciele Komisji odwiedzili stolice wszystkich państw członkowskich UE-27, aby udzielić wyjaśnień w kwestii gotowości Komisji i podejmowanych przez nią działań awaryjnych oraz aby omówić krajowe przygotowania i plany awaryjne. Wizyty wykazały wysoki stopień przygotowania państw członkowskich na wszystkie ewentualności.</w:t>
      </w:r>
    </w:p>
    <w:p>
      <w:pPr>
        <w:pStyle w:val="Body"/>
        <w:rPr>
          <w:noProof/>
        </w:rPr>
      </w:pPr>
      <w:r>
        <w:rPr>
          <w:noProof/>
        </w:rPr>
        <w:t xml:space="preserve">Kluczowe obszary, w których konieczne było podjęcie działań awaryjnych, obejmują: prawa obywateli (zabezpieczenie społeczne, prawo pobytu i podróże), transport (podstawowe sieci połączeń i bezpieczeństwo), współpracę policyjną i sądową, zarządzanie nową granicą zewnętrzną Unii ze Zjednoczonym Królestwem, rybołówstwo i budżet Unii. Unia i państwa członkowskie wprowadziły też środki w innych wybranych obszarach. </w:t>
      </w:r>
    </w:p>
    <w:p>
      <w:pPr>
        <w:pStyle w:val="Body"/>
        <w:rPr>
          <w:noProof/>
        </w:rPr>
      </w:pPr>
      <w:r>
        <w:rPr>
          <w:noProof/>
        </w:rPr>
        <w:t>Jeżeli chodzi o obywateli, państwa członkowskie – wzorując się na przychylnym podejściu zaleconym przez Komisję</w:t>
      </w:r>
      <w:r>
        <w:rPr>
          <w:noProof/>
          <w:vertAlign w:val="superscript"/>
        </w:rPr>
        <w:footnoteReference w:id="10"/>
      </w:r>
      <w:r>
        <w:rPr>
          <w:noProof/>
        </w:rPr>
        <w:t xml:space="preserve"> – zapewnią </w:t>
      </w:r>
      <w:r>
        <w:rPr>
          <w:noProof/>
          <w:u w:val="single"/>
        </w:rPr>
        <w:t>obywatelom Zjednoczonego Królestwa</w:t>
      </w:r>
      <w:r>
        <w:rPr>
          <w:noProof/>
        </w:rPr>
        <w:t xml:space="preserve">, którzy w momencie wystąpienia będą legalnie mieszkać w UE, nieprzerwane (czasowe lub stałe) </w:t>
      </w:r>
      <w:r>
        <w:rPr>
          <w:noProof/>
          <w:u w:val="single"/>
        </w:rPr>
        <w:t>prawo pobytu</w:t>
      </w:r>
      <w:r>
        <w:rPr>
          <w:noProof/>
        </w:rPr>
        <w:t xml:space="preserve">. </w:t>
      </w:r>
    </w:p>
    <w:p>
      <w:pPr>
        <w:pStyle w:val="Body"/>
        <w:rPr>
          <w:noProof/>
        </w:rPr>
      </w:pPr>
      <w:r>
        <w:rPr>
          <w:noProof/>
        </w:rPr>
        <w:t xml:space="preserve">Ochroną objęte zostaną </w:t>
      </w:r>
      <w:r>
        <w:rPr>
          <w:noProof/>
          <w:u w:val="single"/>
        </w:rPr>
        <w:t>prawa obywateli do zabezpieczenia społecznego</w:t>
      </w:r>
      <w:r>
        <w:rPr>
          <w:noProof/>
        </w:rPr>
        <w:t xml:space="preserve"> związane ze Zjednoczonym Królestwem sprzed wystąpienia z UE. Rozporządzenie awaryjne zapewni osobom objętym zabezpieczeniem, bez względu na ich obywatelstwo, że przestrzegane będą zasady równego traktowania, równego traktowania świadczeń, dochodów, okoliczności lub zdarzeń oraz sumowania faktów lub zdarzeń, które miały miejsce, oraz okresów zamieszkania, ubezpieczenia lub pracy, które zaistniały przed wystąpieniem Zjednoczonego Królestwa z UE</w:t>
      </w:r>
      <w:r>
        <w:rPr>
          <w:noProof/>
          <w:vertAlign w:val="superscript"/>
        </w:rPr>
        <w:footnoteReference w:id="11"/>
      </w:r>
      <w:r>
        <w:rPr>
          <w:noProof/>
        </w:rPr>
        <w:t>. Państwa członkowskie wprowadzają również środki na szczeblu krajowym, aby zapewnić ochronę praw tych obywateli do zabezpieczenia społecznego po wystąpieniu Zjednoczonego Królestwa z UE.</w:t>
      </w:r>
    </w:p>
    <w:p>
      <w:pPr>
        <w:pStyle w:val="Body"/>
        <w:rPr>
          <w:noProof/>
        </w:rPr>
      </w:pPr>
      <w:r>
        <w:rPr>
          <w:noProof/>
        </w:rPr>
        <w:t xml:space="preserve">Unia zgodziła się również, by obywatele Zjednoczonego Królestwa </w:t>
      </w:r>
      <w:r>
        <w:rPr>
          <w:noProof/>
          <w:u w:val="single"/>
        </w:rPr>
        <w:t>nie potrzebowali wizy</w:t>
      </w:r>
      <w:r>
        <w:rPr>
          <w:noProof/>
        </w:rPr>
        <w:t xml:space="preserve"> podczas podróży do UE w przypadku krótkich służbowych lub turystycznych pobytów trwających do 90 dni w dowolnym 180-dniowym okresie, pod warunkiem że Zjednoczone Królestwo zapewni takie samo traktowanie wszystkim obywatelom UE-27</w:t>
      </w:r>
      <w:r>
        <w:rPr>
          <w:noProof/>
          <w:vertAlign w:val="superscript"/>
        </w:rPr>
        <w:footnoteReference w:id="12"/>
      </w:r>
      <w:r>
        <w:rPr>
          <w:noProof/>
        </w:rPr>
        <w:t>.</w:t>
      </w:r>
    </w:p>
    <w:p>
      <w:pPr>
        <w:pStyle w:val="Body"/>
        <w:rPr>
          <w:noProof/>
        </w:rPr>
      </w:pPr>
      <w:r>
        <w:rPr>
          <w:noProof/>
        </w:rPr>
        <w:t xml:space="preserve">Wprowadzono również przepisy awaryjne w celu </w:t>
      </w:r>
      <w:r>
        <w:rPr>
          <w:noProof/>
          <w:u w:val="single"/>
        </w:rPr>
        <w:t>utrzymania niezbędnych połączeń transportowych</w:t>
      </w:r>
      <w:r>
        <w:rPr>
          <w:noProof/>
        </w:rPr>
        <w:t>, dotyczące najważniejszych rodzajów transportu: lotnictwa</w:t>
      </w:r>
      <w:r>
        <w:rPr>
          <w:noProof/>
          <w:vertAlign w:val="superscript"/>
        </w:rPr>
        <w:footnoteReference w:id="13"/>
      </w:r>
      <w:r>
        <w:rPr>
          <w:noProof/>
        </w:rPr>
        <w:t>, transportu kolejowego</w:t>
      </w:r>
      <w:r>
        <w:rPr>
          <w:noProof/>
          <w:vertAlign w:val="superscript"/>
        </w:rPr>
        <w:footnoteReference w:id="14"/>
      </w:r>
      <w:r>
        <w:rPr>
          <w:noProof/>
        </w:rPr>
        <w:t xml:space="preserve"> i transportu drogowego, zarówno w odniesieniu do przewozów pasażerskich, jak i towarowych</w:t>
      </w:r>
      <w:r>
        <w:rPr>
          <w:noProof/>
          <w:vertAlign w:val="superscript"/>
        </w:rPr>
        <w:footnoteReference w:id="15"/>
      </w:r>
      <w:r>
        <w:rPr>
          <w:noProof/>
        </w:rPr>
        <w:t xml:space="preserve">. </w:t>
      </w:r>
    </w:p>
    <w:p>
      <w:pPr>
        <w:pStyle w:val="Body"/>
        <w:rPr>
          <w:noProof/>
        </w:rPr>
      </w:pPr>
      <w:r>
        <w:rPr>
          <w:noProof/>
        </w:rPr>
        <w:t xml:space="preserve">Po wystąpieniu Zjednoczonego Królestwa z Unii </w:t>
      </w:r>
      <w:r>
        <w:rPr>
          <w:noProof/>
          <w:u w:val="single"/>
        </w:rPr>
        <w:t>współpraca policyjna i sądowa</w:t>
      </w:r>
      <w:r>
        <w:rPr>
          <w:noProof/>
        </w:rPr>
        <w:t xml:space="preserve"> będzie prowadzona na podstawie wielostronnych konwencji międzynarodowych, a nie na podstawie prawa UE. Instytucje UE i państwa członkowskie wspólnie określiły odpowiednie instrumenty, które będzie można wykorzystać w tym zakresie. Państwa członkowskie włożyły wiele wysiłku w zapewnienie, by instrumenty te były operacyjne w dniu wystąpienia. </w:t>
      </w:r>
    </w:p>
    <w:p>
      <w:pPr>
        <w:pStyle w:val="Body"/>
        <w:rPr>
          <w:noProof/>
        </w:rPr>
      </w:pPr>
      <w:r>
        <w:rPr>
          <w:noProof/>
        </w:rPr>
        <w:t xml:space="preserve">Państwa członkowskie ściśle współpracowały z instytucjami UE, aby zapewnić integralność rynku wewnętrznego poprzez wprowadzenie odpowiedniej infrastruktury i udostępnienie zasobów w celu stosowania </w:t>
      </w:r>
      <w:r>
        <w:rPr>
          <w:noProof/>
          <w:u w:val="single"/>
        </w:rPr>
        <w:t>formalności i kontroli celnych</w:t>
      </w:r>
      <w:r>
        <w:rPr>
          <w:noProof/>
        </w:rPr>
        <w:t xml:space="preserve"> oraz </w:t>
      </w:r>
      <w:r>
        <w:rPr>
          <w:noProof/>
          <w:u w:val="single"/>
        </w:rPr>
        <w:t>kontroli sanitarnych i fitosanitarnych</w:t>
      </w:r>
      <w:r>
        <w:rPr>
          <w:noProof/>
        </w:rPr>
        <w:t xml:space="preserve"> towarów na granicy. </w:t>
      </w:r>
    </w:p>
    <w:p>
      <w:pPr>
        <w:pStyle w:val="Body"/>
        <w:rPr>
          <w:noProof/>
        </w:rPr>
      </w:pPr>
      <w:r>
        <w:rPr>
          <w:noProof/>
        </w:rPr>
        <w:t xml:space="preserve">W </w:t>
      </w:r>
      <w:r>
        <w:rPr>
          <w:noProof/>
          <w:u w:val="single"/>
        </w:rPr>
        <w:t>sektorze finansowym</w:t>
      </w:r>
      <w:r>
        <w:rPr>
          <w:noProof/>
        </w:rPr>
        <w:t xml:space="preserve"> uznano, że do zminimalizowania zagrożenia dla stabilności finansowej w Unii Europejskiej niezbędna jest jedynie ograniczona liczba środków. Decyzja ta opierała się na wspólnej analizie ryzyka związanego z twardym brexitem, przeprowadzonej przez Komisję, Europejski Bank Centralny, Jednolitą Radę ds. Restrukturyzacji i Uporządkowanej Likwidacji oraz europejskie urzędy nadzoru, a także na analizie wspólnej grupy technicznej Europejskiego Banku Centralnego i Banku Anglii.</w:t>
      </w:r>
    </w:p>
    <w:p>
      <w:pPr>
        <w:pStyle w:val="Body"/>
        <w:rPr>
          <w:noProof/>
        </w:rPr>
      </w:pPr>
      <w:r>
        <w:rPr>
          <w:noProof/>
        </w:rPr>
        <w:t>Jeżeli chodzi o </w:t>
      </w:r>
      <w:r>
        <w:rPr>
          <w:noProof/>
          <w:u w:val="single"/>
        </w:rPr>
        <w:t>działalność połowową</w:t>
      </w:r>
      <w:r>
        <w:rPr>
          <w:noProof/>
        </w:rPr>
        <w:t>, wprowadzone środki umożliwią utrzymanie wzajemnego dostępu dla statków Unii i Zjednoczonego Królestwa do wód drugiej strony przez cały 2019 r.</w:t>
      </w:r>
      <w:r>
        <w:rPr>
          <w:noProof/>
          <w:vertAlign w:val="superscript"/>
        </w:rPr>
        <w:footnoteReference w:id="16"/>
      </w:r>
      <w:r>
        <w:rPr>
          <w:noProof/>
        </w:rPr>
        <w:t>, jeżeli Zjednoczone Królestwo przyzna dostęp statkom unijnym i będzie przestrzegać rozporządzenia w sprawie uprawnień do połowów na 2019 r.</w:t>
      </w:r>
      <w:r>
        <w:rPr>
          <w:rStyle w:val="FootnoteReference"/>
          <w:noProof/>
        </w:rPr>
        <w:footnoteReference w:id="17"/>
      </w:r>
      <w:r>
        <w:rPr>
          <w:noProof/>
        </w:rPr>
        <w:t xml:space="preserve"> W przeciwnym razie rybacy z UE będą mogli skorzystać z wsparcia finansowego, jeżeli tymczasowo zaprzestaną swojej działalności</w:t>
      </w:r>
      <w:r>
        <w:rPr>
          <w:noProof/>
          <w:vertAlign w:val="superscript"/>
        </w:rPr>
        <w:footnoteReference w:id="18"/>
      </w:r>
      <w:r>
        <w:rPr>
          <w:noProof/>
        </w:rPr>
        <w:t>.</w:t>
      </w:r>
    </w:p>
    <w:p>
      <w:pPr>
        <w:pStyle w:val="Body"/>
        <w:rPr>
          <w:rFonts w:eastAsia="Arial Unicode MS" w:cs="Arial Unicode MS"/>
          <w:noProof/>
        </w:rPr>
      </w:pPr>
      <w:r>
        <w:rPr>
          <w:noProof/>
        </w:rPr>
        <w:t>Wszystkie te środki na pewien czas złagodzą największe zakłócenia, jakie mogą wynikać z nieuporządkowanego wystąpienia Zjednoczonego Królestwa z UE. Ich kalendarium przedstawiono na wykresie zamieszczonym w załączniku 1 do niniejszego komunikatu.</w:t>
      </w:r>
    </w:p>
    <w:p>
      <w:pPr>
        <w:pStyle w:val="Heading"/>
        <w:numPr>
          <w:ilvl w:val="0"/>
          <w:numId w:val="2"/>
        </w:numPr>
        <w:rPr>
          <w:noProof/>
        </w:rPr>
      </w:pPr>
      <w:r>
        <w:rPr>
          <w:noProof/>
        </w:rPr>
        <w:t>Budżet na 2019 r. i dodatkowe wsparcie finansowe</w:t>
      </w:r>
    </w:p>
    <w:p>
      <w:pPr>
        <w:pStyle w:val="Body"/>
        <w:rPr>
          <w:rFonts w:eastAsia="Arial Unicode MS" w:cs="Arial Unicode MS"/>
          <w:noProof/>
        </w:rPr>
      </w:pPr>
      <w:r>
        <w:rPr>
          <w:noProof/>
        </w:rPr>
        <w:t>Komisja przyjęła wniosek dotyczący rozporządzenia awaryjnego, zgodnie z którym wypłaty środków pieniężnych z budżetu ogólnego UE na rzecz odbiorców w Zjednoczonym Królestwie mogą być kontynuowane w 2019 r., jeżeli Zjednoczone Królestwo będzie w dalszym ciągu wpłacać swoje wkłady budżetowe na 2019 r. oraz umożliwi przeprowadzenie wymaganych audytów i kontroli</w:t>
      </w:r>
      <w:r>
        <w:rPr>
          <w:noProof/>
          <w:vertAlign w:val="superscript"/>
        </w:rPr>
        <w:footnoteReference w:id="19"/>
      </w:r>
      <w:r>
        <w:rPr>
          <w:noProof/>
        </w:rPr>
        <w:t>. Jeżeli Zjednoczone Królestwo nie zgodzi się na przekazywanie wkładów na finansowanie budżetu na 2019 r., jak określono w proponowanym rozporządzeniu awaryjnym, Komisja przedstawi w odpowiednim czasie projekt budżetu korygującego z rozwiązaniem kwestii luki w finansowaniu, która w efekcie powstanie. W związku z tym Komisja wzywa Parlament i Radę do formalnego przyjęcia przedstawionego wniosku.</w:t>
      </w:r>
    </w:p>
    <w:p>
      <w:pPr>
        <w:pStyle w:val="Body"/>
        <w:rPr>
          <w:rFonts w:eastAsia="Arial Unicode MS" w:cs="Arial Unicode MS"/>
          <w:noProof/>
        </w:rPr>
      </w:pPr>
      <w:r>
        <w:rPr>
          <w:noProof/>
        </w:rPr>
        <w:t>Unia zdecydowała, że nawet przy braku tych wkładów niektóre działania należy mimo wszystko kontynuować. Program PEACE IV i program współpracy Zjednoczonego Królestwa i Irlandii będą kontynuowane, ponieważ zapewniają one niezbędne wsparcie na rzecz pokoju w Irlandii Północnej i Irlandii</w:t>
      </w:r>
      <w:r>
        <w:rPr>
          <w:noProof/>
          <w:vertAlign w:val="superscript"/>
        </w:rPr>
        <w:footnoteReference w:id="20"/>
      </w:r>
      <w:r>
        <w:rPr>
          <w:noProof/>
        </w:rPr>
        <w:t>. Można będzie także ukończyć wszystkie trwające działania w zakresie mobilności edukacyjnej w ramach programu Erasmus+ z udziałem Zjednoczonego Królestwa, które to działania rozpoczęto przed datą wystąpienia, dzięki czemu studenci, jak również instytucje, które ich wysyłają i przyjmują, unikną ewentualnych niedogodności</w:t>
      </w:r>
      <w:r>
        <w:rPr>
          <w:noProof/>
          <w:vertAlign w:val="superscript"/>
        </w:rPr>
        <w:footnoteReference w:id="21"/>
      </w:r>
      <w:r>
        <w:rPr>
          <w:noProof/>
        </w:rPr>
        <w:t xml:space="preserve">. </w:t>
      </w:r>
    </w:p>
    <w:p>
      <w:pPr>
        <w:pStyle w:val="Body"/>
        <w:rPr>
          <w:rFonts w:eastAsia="Arial Unicode MS" w:cs="Arial Unicode MS"/>
          <w:noProof/>
        </w:rPr>
      </w:pPr>
      <w:r>
        <w:rPr>
          <w:noProof/>
        </w:rPr>
        <w:t xml:space="preserve">Organizacje przedsiębiorców i zainteresowane strony argumentowały ponadto, że wsparcie finansowe ze strony Unii może być niezbędne, aby złagodzić skutki gospodarcze nieuporządkowanego wystąpienia Zjednoczonego Królestwa z Unii. Skutki wystąpienia bez porozumienia będą odczuwalne w całej Unii Europejskiej, ale jest oczywiste, że w niektórych regionach i sektorach gospodarki wypływ ten będzie bardziej znaczący. </w:t>
      </w:r>
    </w:p>
    <w:p>
      <w:pPr>
        <w:pStyle w:val="Body"/>
        <w:rPr>
          <w:rFonts w:eastAsia="Arial Unicode MS" w:cs="Arial Unicode MS"/>
          <w:noProof/>
        </w:rPr>
      </w:pPr>
      <w:r>
        <w:rPr>
          <w:noProof/>
        </w:rPr>
        <w:t>Po pierwsze, znaczne koszty poniosą państwa członkowskie sąsiadujące ze Zjednoczonym Królestwem. Wprawdzie wszystkie państwa członkowskie będą musiały przeprowadzać różnego rodzaju kontrole związane z przepisami celnymi, przepisami sanitarnymi i fitosanitarnymi oraz innymi normami bezpieczeństwa i ochrony, w przypadku niektórych państw członkowskich należy jednak spodziewać się szczególnie dużych ilości tych kontroli. Dlatego państwa te muszą zbudować nowe punkty kontroli granicznej lub zmodernizować istniejące. Po drugie, koszty gospodarcze będą szczególnie wysokie w sektorach o największej ekspozycji na Zjednoczone Królestwo. Dotyczy to na przykład eksporterów produktów rolno-spożywczych nastawionych na dostawy na rynek Zjednoczonego Królestwa, przedsiębiorstw rybackich uzależnionych od dostępu do wód Zjednoczonego Królestwa oraz przedsiębiorstw turystycznych w regionach, które cieszą się popularnością wśród turystów ze Zjednoczonego Królestwa. Po trzecie, w toku prac Komisji na rzecz zapewnienia gotowości stało się jasne, że małe i średnie przedsiębiorstwa (MŚP) prowadzące wymianę handlową ze Zjednoczonym Królestwem mają mniejsze możliwości przygotowania się na zmianę sytuacji niż duże przedsiębiorstwa. MŚP czasem nie mają zdolności administracyjnych i prawnych, by wdrożyć pełny plan awaryjny.</w:t>
      </w:r>
    </w:p>
    <w:p>
      <w:pPr>
        <w:pStyle w:val="Body"/>
        <w:rPr>
          <w:rFonts w:eastAsia="Arial Unicode MS" w:cs="Arial Unicode MS"/>
          <w:noProof/>
        </w:rPr>
      </w:pPr>
      <w:r>
        <w:rPr>
          <w:noProof/>
        </w:rPr>
        <w:t>Wprawdzie zapotrzebowanie na wsparcie finansowe jest oczywiste, ale pod uwagę trzeba wziąć ograniczenia finansowe wynikające z wystąpienia bez umowy. Komisja niezmiennie utrzymuje, że Zjednoczone Królestwo pozostaje związane swoimi zobowiązaniami finansowymi wobec Unii Europejskiej we wszystkich scenariuszach, a Unia Europejska na takiej samej zasadzie dotrzyma swoich zobowiązań finansowych wobec Zjednoczonego Królestwa, w tym także w przypadku wystąpienia tego państwa z Unii bez porozumienia.</w:t>
      </w:r>
    </w:p>
    <w:p>
      <w:pPr>
        <w:pStyle w:val="Body"/>
        <w:rPr>
          <w:rFonts w:eastAsia="Arial Unicode MS" w:cs="Arial Unicode MS"/>
          <w:noProof/>
        </w:rPr>
      </w:pPr>
      <w:r>
        <w:rPr>
          <w:noProof/>
        </w:rPr>
        <w:t>W związku z tym Komisja przeanalizowała, w jaki sposób można by, w razie braku porozumienia, po niezbędnych dostosowaniach wykorzystać środki pieniężne w ramach obecnych programów i instrumentów przewidzianych w budżecie Unii. Miałoby to złagodzić skutki w tych dziedzinach, w których byłyby one najbardziej odczuwalne, w ramach dostępnych środków finansowych. Działania te zostaną zaproponowane z należytym uwzględnieniem dostosowań po stronie dochodowej i wydatkowej budżetu UE, które mogą wynikać z nieuporządkowanego wystąpienia, z pełnym wykorzystaniem istniejących instrumentów budżetowych i dostępnych zasobów. Poprzez przeprogramowanie niektórych funduszy strukturalnych, zastosowanie środków zapobiegających zakłóceniom na rynkach produktów rolnych na podstawie rozporządzenia o wspólnej organizacji rynków</w:t>
      </w:r>
      <w:r>
        <w:rPr>
          <w:rStyle w:val="FootnoteReference"/>
          <w:noProof/>
        </w:rPr>
        <w:footnoteReference w:id="22"/>
      </w:r>
      <w:r>
        <w:rPr>
          <w:noProof/>
        </w:rPr>
        <w:t>, w tym wykorzystanie wszelkich możliwych źródeł finansowych, oraz wykorzystanie konkretnych instrumentów, takich jak program na rzecz konkurencyjności przedsiębiorstw oraz małych i średnich przedsiębiorstw (COSME), Europejski Fundusz Dostosowania do Globalizacji, Fundusz Solidarności i Europejski Fundusz na rzecz Inwestycji Strategicznych (EFIS), w ramach budżetu UE można by udostępnić dodatkowe środki finansowe na określone cele w przypadku wystąpienia Zjednoczonego Królestwa z UE bez porozumienia.</w:t>
      </w:r>
    </w:p>
    <w:p>
      <w:pPr>
        <w:pStyle w:val="Text1"/>
        <w:ind w:left="0"/>
        <w:rPr>
          <w:noProof/>
        </w:rPr>
      </w:pPr>
      <w:r>
        <w:rPr>
          <w:noProof/>
        </w:rPr>
        <w:t>Jeżeli chodzi o bezpośrednie wsparcie na rzecz odpowiednich zainteresowanych podmiotów, na przykład małych i średnich przedsiębiorstw o znaczącej ekspozycji na Zjednoczone Królestwo, należy przypomnieć, że w unijnych zasadach pomocy państwa przewidziano elastyczne rozwiązania, które można zastosować przy wprowadzaniu krajowych środków wsparcia.</w:t>
      </w:r>
    </w:p>
    <w:p>
      <w:pPr>
        <w:pStyle w:val="Heading"/>
        <w:numPr>
          <w:ilvl w:val="0"/>
          <w:numId w:val="2"/>
        </w:numPr>
        <w:rPr>
          <w:noProof/>
        </w:rPr>
      </w:pPr>
      <w:r>
        <w:rPr>
          <w:noProof/>
        </w:rPr>
        <w:t>Wskazówki dotyczące skoordynowanego podejścia w następstwie nieuporządkowanego wystąpienia Zjednoczonego Królestwa</w:t>
      </w:r>
    </w:p>
    <w:p>
      <w:pPr>
        <w:pStyle w:val="Text1"/>
        <w:ind w:left="0"/>
        <w:rPr>
          <w:noProof/>
        </w:rPr>
      </w:pPr>
      <w:r>
        <w:rPr>
          <w:noProof/>
        </w:rPr>
        <w:t>Jedność i solidarność, jaką państwa członkowskie UE-27 wykazały podczas negocjacji ze Zjednoczonym Królestwem i przygotowań do wystąpienia tego państwa, pomogły w dążeniu do wspólnego celu, mimo że w całej Unii widoczne są różnice w poziomach ekspozycji gospodarczej wobec Zjednoczonego Królestwa. Istotne jest, aby działania podejmowane w następstwie nieuporządkowanego wystąpienia były w dalszym ciągu skoordynowane i spójne. Jedność ta zwiększa efektywność wszelkich działań zaradczych, pomaga chronić nasze wspólne zasady i równe warunki działania, zwiększa przewidywalność dla tych, którzy najbardziej odczują skutki wystąpienia Zjednoczonego Królestwa z Unii, i pozwala zachować cele negocjacyjne Unii na użytek dyskusji na temat jej przyszłych stosunków ze Zjednoczonym Królestwem. Z tych względów należy unikać dwustronnych porozumień między państwami członkowskimi a Zjednoczonym Królestwem.</w:t>
      </w:r>
    </w:p>
    <w:p>
      <w:pPr>
        <w:pStyle w:val="Text1"/>
        <w:spacing w:after="0"/>
        <w:ind w:left="0"/>
        <w:rPr>
          <w:noProof/>
        </w:rPr>
      </w:pPr>
      <w:r>
        <w:rPr>
          <w:noProof/>
        </w:rPr>
        <w:t xml:space="preserve">Aby zapewnić dodatkowe wsparcie państwom członkowskim wprowadzającym środki awaryjne, Komisja przedstawia dziś dodatkowe wskazówki w pięciu istotnych dziedzinach. Wskazówki te pomogą w sprawnym wdrażaniu środków awaryjnych, a także przyczynią się do wypracowania i utrzymania skoordynowanego podejścia w następujących obszarach: </w:t>
      </w:r>
    </w:p>
    <w:p>
      <w:pPr>
        <w:pStyle w:val="Text1"/>
        <w:numPr>
          <w:ilvl w:val="0"/>
          <w:numId w:val="4"/>
        </w:numPr>
        <w:spacing w:after="0"/>
        <w:ind w:left="714" w:hanging="357"/>
        <w:rPr>
          <w:noProof/>
        </w:rPr>
      </w:pPr>
      <w:r>
        <w:rPr>
          <w:noProof/>
        </w:rPr>
        <w:t xml:space="preserve">prawa pobytu obywateli oraz prawa do zabezpieczenia społecznego; </w:t>
      </w:r>
    </w:p>
    <w:p>
      <w:pPr>
        <w:pStyle w:val="Text1"/>
        <w:numPr>
          <w:ilvl w:val="0"/>
          <w:numId w:val="4"/>
        </w:numPr>
        <w:spacing w:after="0"/>
        <w:ind w:left="714" w:hanging="357"/>
        <w:rPr>
          <w:noProof/>
        </w:rPr>
      </w:pPr>
      <w:r>
        <w:rPr>
          <w:noProof/>
        </w:rPr>
        <w:t xml:space="preserve">współpraca policyjna i sądowa w sprawach karnych; </w:t>
      </w:r>
    </w:p>
    <w:p>
      <w:pPr>
        <w:pStyle w:val="Text1"/>
        <w:numPr>
          <w:ilvl w:val="0"/>
          <w:numId w:val="4"/>
        </w:numPr>
        <w:spacing w:after="0"/>
        <w:ind w:left="714" w:hanging="357"/>
        <w:rPr>
          <w:noProof/>
        </w:rPr>
      </w:pPr>
      <w:r>
        <w:rPr>
          <w:noProof/>
        </w:rPr>
        <w:t xml:space="preserve">produkty lecznicze i wyroby medyczne; </w:t>
      </w:r>
    </w:p>
    <w:p>
      <w:pPr>
        <w:pStyle w:val="Text1"/>
        <w:numPr>
          <w:ilvl w:val="0"/>
          <w:numId w:val="4"/>
        </w:numPr>
        <w:spacing w:after="0"/>
        <w:ind w:left="714" w:hanging="357"/>
        <w:rPr>
          <w:noProof/>
        </w:rPr>
      </w:pPr>
      <w:r>
        <w:rPr>
          <w:noProof/>
        </w:rPr>
        <w:t>działalność połowowa oraz</w:t>
      </w:r>
    </w:p>
    <w:p>
      <w:pPr>
        <w:pStyle w:val="Text1"/>
        <w:numPr>
          <w:ilvl w:val="0"/>
          <w:numId w:val="4"/>
        </w:numPr>
        <w:rPr>
          <w:noProof/>
        </w:rPr>
      </w:pPr>
      <w:r>
        <w:rPr>
          <w:noProof/>
        </w:rPr>
        <w:t xml:space="preserve">ochrona danych. </w:t>
      </w:r>
    </w:p>
    <w:p>
      <w:pPr>
        <w:pStyle w:val="Text1"/>
        <w:ind w:left="0"/>
        <w:rPr>
          <w:noProof/>
        </w:rPr>
      </w:pPr>
      <w:r>
        <w:rPr>
          <w:noProof/>
        </w:rPr>
        <w:t xml:space="preserve">Jeżeli zajdzie taka potrzeba, Komisja wyda dodatkowe wskazówki. Komisja pozostaje do dyspozycji państw członkowskich UE-27, które zechciałyby omówić kwestie dotyczące wpływu wystąpienia Zjednoczonego Królestwa z UE bez porozumienia, przy kontynuacji przejrzystej i intensywnej współpracy, która charakteryzowała okres negocjacji. Państwa członkowskie zachęca się, aby w okresie po wystąpieniu zgłaszały Komisji oraz pozostałym państwom członkowskim wszelkie pojawiające się problemy, zarówno przewidziane, jak i nieprzewidziane, a także najlepsze sposoby ich rozwiązywania – przyniesie to korzyści wszystkim państwom członkowskim. Na okres bezpośrednio po wystąpieniu Komisja uruchomiła </w:t>
      </w:r>
      <w:r>
        <w:rPr>
          <w:noProof/>
          <w:u w:val="single"/>
        </w:rPr>
        <w:t>centrum obsługi telefonicznej</w:t>
      </w:r>
      <w:r>
        <w:rPr>
          <w:noProof/>
        </w:rPr>
        <w:t xml:space="preserve"> dla </w:t>
      </w:r>
      <w:r>
        <w:rPr>
          <w:noProof/>
          <w:u w:val="single"/>
        </w:rPr>
        <w:t>organów administracji państw członkowskich</w:t>
      </w:r>
      <w:r>
        <w:rPr>
          <w:noProof/>
        </w:rPr>
        <w:t xml:space="preserve">, aby udostępnić im swoją wiedzę fachową. </w:t>
      </w:r>
      <w:r>
        <w:rPr>
          <w:noProof/>
          <w:u w:val="single"/>
        </w:rPr>
        <w:t>Obywatele, przedsiębiorstwa i inne zainteresowane z UE</w:t>
      </w:r>
      <w:r>
        <w:rPr>
          <w:noProof/>
        </w:rPr>
        <w:t xml:space="preserve"> strony mogą zwracać się z wszelkimi pytaniami do serwisu </w:t>
      </w:r>
      <w:r>
        <w:rPr>
          <w:noProof/>
          <w:u w:val="single"/>
        </w:rPr>
        <w:t>Europe Direct</w:t>
      </w:r>
      <w:r>
        <w:rPr>
          <w:noProof/>
        </w:rPr>
        <w:t xml:space="preserve"> (bezpłatny numer 00 800 6 7 8 9 10 11 z dowolnego miejsca w UE).</w:t>
      </w:r>
    </w:p>
    <w:p>
      <w:pPr>
        <w:pStyle w:val="Heading"/>
        <w:numPr>
          <w:ilvl w:val="0"/>
          <w:numId w:val="2"/>
        </w:numPr>
        <w:rPr>
          <w:b w:val="0"/>
          <w:noProof/>
        </w:rPr>
      </w:pPr>
      <w:r>
        <w:rPr>
          <w:noProof/>
        </w:rPr>
        <w:t>Podsumowanie</w:t>
      </w:r>
    </w:p>
    <w:p>
      <w:pPr>
        <w:pStyle w:val="Text1"/>
        <w:ind w:left="0"/>
        <w:rPr>
          <w:noProof/>
        </w:rPr>
      </w:pPr>
      <w:r>
        <w:rPr>
          <w:noProof/>
        </w:rPr>
        <w:t xml:space="preserve">Od czasu referendum w Zjednoczonym Królestwie w dniu 23 czerwca 2016 r. Unia niezmiennie wyraża ubolewanie z powodu decyzji Zjednoczonego Królestwa o wystąpieniu z Unii, a jednocześnie zapewnia o swoim poszanowaniu dla tej decyzji. Komisja w dalszym ciągu uważa, że najlepszym rozwiązaniem byłoby uporządkowane wystąpienie zgodnie z umową o wystąpieniu. Nieuporządkowanego wystąpienia można jednak uniknąć tylko wówczas, gdy Zjednoczone Królestwo ratyfikuje umowę o wystąpieniu. </w:t>
      </w:r>
    </w:p>
    <w:p>
      <w:pPr>
        <w:pStyle w:val="Text1"/>
        <w:ind w:left="0"/>
        <w:rPr>
          <w:noProof/>
        </w:rPr>
      </w:pPr>
      <w:r>
        <w:rPr>
          <w:noProof/>
        </w:rPr>
        <w:t>UE podjęła w związku z tym niezbędne działania, aby przygotować się na wystąpienie Zjednoczonego Królestwa z UE bez umowy, chociaż nie ustaje w wysiłkach, aby uniknąć takiej sytuacji. Konieczna będzie dalsza jedność i solidarność między państwami członkowskimi, aby można było reagować na pojawiające się wyzwania i w dalszym ciągu chronić podstawowe wartości Unii.</w:t>
      </w:r>
    </w:p>
    <w:sectPr>
      <w:headerReference w:type="even" r:id="rId20"/>
      <w:headerReference w:type="default" r:id="rId21"/>
      <w:footerReference w:type="even" r:id="rId22"/>
      <w:footerReference w:type="default" r:id="rId23"/>
      <w:headerReference w:type="first" r:id="rId24"/>
      <w:footerReference w:type="first" r:id="rId25"/>
      <w:pgSz w:w="11900" w:h="16840"/>
      <w:pgMar w:top="1020" w:right="1701" w:bottom="1020" w:left="1587" w:header="601"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Helvetica Neue">
    <w:altName w:val="Corbel"/>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rPr>
        <w:sz w:val="22"/>
        <w:szCs w:val="22"/>
      </w:rPr>
    </w:pPr>
    <w:r>
      <w:rPr>
        <w:sz w:val="22"/>
        <w:szCs w:val="22"/>
      </w:rPr>
      <w:fldChar w:fldCharType="begin"/>
    </w:r>
    <w:r>
      <w:rPr>
        <w:sz w:val="22"/>
        <w:szCs w:val="22"/>
      </w:rPr>
      <w:instrText xml:space="preserve"> PAGE </w:instrText>
    </w:r>
    <w:r>
      <w:rPr>
        <w:sz w:val="22"/>
        <w:szCs w:val="22"/>
      </w:rPr>
      <w:fldChar w:fldCharType="separate"/>
    </w:r>
    <w:r>
      <w:rPr>
        <w:noProof/>
        <w:sz w:val="22"/>
        <w:szCs w:val="22"/>
      </w:rPr>
      <w:t>1</w:t>
    </w:r>
    <w:r>
      <w:rPr>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rPr>
          <w:vertAlign w:val="superscript"/>
        </w:rPr>
        <w:footnoteRef/>
      </w:r>
      <w:r>
        <w:t xml:space="preserve"> </w:t>
      </w:r>
      <w:r>
        <w:tab/>
        <w:t>Decyzja Rady Europejskiej (UE) 2019/476 przyjęta w porozumieniu ze Zjednoczonym Królestwem z dnia 22 marca 2019 r. przedłużająca okres, o którym mowa w art. 50 ust. 3 TUE (Dz.U. L 80I z 22.3.2019, s. 1).</w:t>
      </w:r>
    </w:p>
  </w:footnote>
  <w:footnote w:id="3">
    <w:p>
      <w:pPr>
        <w:pStyle w:val="FootnoteText"/>
      </w:pPr>
      <w:r>
        <w:rPr>
          <w:vertAlign w:val="superscript"/>
        </w:rPr>
        <w:footnoteRef/>
      </w:r>
      <w:r>
        <w:t xml:space="preserve"> </w:t>
      </w:r>
      <w:r>
        <w:tab/>
        <w:t>COM(2018) 556.</w:t>
      </w:r>
    </w:p>
  </w:footnote>
  <w:footnote w:id="4">
    <w:p>
      <w:pPr>
        <w:pStyle w:val="FootnoteText"/>
        <w:rPr>
          <w:color w:val="auto"/>
        </w:rPr>
      </w:pPr>
      <w:r>
        <w:rPr>
          <w:vertAlign w:val="superscript"/>
        </w:rPr>
        <w:footnoteRef/>
      </w:r>
      <w:r>
        <w:t xml:space="preserve"> </w:t>
      </w:r>
      <w:r>
        <w:tab/>
      </w:r>
      <w:r>
        <w:rPr>
          <w:color w:val="auto"/>
          <w:u w:color="444444"/>
        </w:rPr>
        <w:t>COM(2018) 880.</w:t>
      </w:r>
    </w:p>
  </w:footnote>
  <w:footnote w:id="5">
    <w:p>
      <w:pPr>
        <w:pStyle w:val="FootnoteText"/>
      </w:pPr>
      <w:r>
        <w:rPr>
          <w:vertAlign w:val="superscript"/>
        </w:rPr>
        <w:footnoteRef/>
      </w:r>
      <w:r>
        <w:t xml:space="preserve"> </w:t>
      </w:r>
      <w:r>
        <w:tab/>
        <w:t>COM(2018) 890.</w:t>
      </w:r>
    </w:p>
  </w:footnote>
  <w:footnote w:id="6">
    <w:p>
      <w:pPr>
        <w:pStyle w:val="FootnoteText"/>
      </w:pPr>
      <w:r>
        <w:rPr>
          <w:rStyle w:val="FootnoteReference"/>
        </w:rPr>
        <w:footnoteRef/>
      </w:r>
      <w:r>
        <w:t xml:space="preserve"> </w:t>
      </w:r>
      <w:r>
        <w:tab/>
        <w:t xml:space="preserve">Oświadczenie przewodniczącego Junckera na temat wystąpienia Zjednoczonego Królestwa z Unii Europejskiej na posiedzeniu plenarnym Parlamentu Europejskiego, Bruksela, 3 kwietnia 2019 r., </w:t>
      </w:r>
      <w:hyperlink r:id="rId1">
        <w:r>
          <w:rPr>
            <w:rStyle w:val="Hyperlink"/>
          </w:rPr>
          <w:t>http://europa.eu/rapid/press-release_SPEECH-19-1970_en.htm</w:t>
        </w:r>
      </w:hyperlink>
      <w:r>
        <w:t xml:space="preserve"> </w:t>
      </w:r>
    </w:p>
  </w:footnote>
  <w:footnote w:id="7">
    <w:p>
      <w:pPr>
        <w:pStyle w:val="FootnoteText"/>
      </w:pPr>
      <w:r>
        <w:rPr>
          <w:vertAlign w:val="superscript"/>
        </w:rPr>
        <w:footnoteRef/>
      </w:r>
      <w:r>
        <w:t xml:space="preserve"> </w:t>
      </w:r>
      <w:r>
        <w:tab/>
      </w:r>
      <w:hyperlink r:id="rId2">
        <w:r>
          <w:rPr>
            <w:rStyle w:val="Hyperlink0"/>
          </w:rPr>
          <w:t>https://ec.europa.eu/info/brexit/brexit-preparedness/preparedness-notices_pl</w:t>
        </w:r>
      </w:hyperlink>
      <w:r>
        <w:t xml:space="preserve"> </w:t>
      </w:r>
    </w:p>
  </w:footnote>
  <w:footnote w:id="8">
    <w:p>
      <w:pPr>
        <w:pStyle w:val="FootnoteText"/>
      </w:pPr>
      <w:r>
        <w:rPr>
          <w:rStyle w:val="FootnoteReference"/>
        </w:rPr>
        <w:footnoteRef/>
      </w:r>
      <w:r>
        <w:t xml:space="preserve"> </w:t>
      </w:r>
      <w:r>
        <w:tab/>
        <w:t>Oczekuje się, że Parlament Europejski wyrazi zgodę na ten wniosek na posiedzeniu plenarnym, które rozpocznie się w dniu 15 kwietnia 2019 r.</w:t>
      </w:r>
    </w:p>
  </w:footnote>
  <w:footnote w:id="9">
    <w:p>
      <w:pPr>
        <w:pStyle w:val="FootnoteText"/>
      </w:pPr>
      <w:r>
        <w:rPr>
          <w:rStyle w:val="FootnoteReference"/>
        </w:rPr>
        <w:footnoteRef/>
      </w:r>
      <w:r>
        <w:t xml:space="preserve"> </w:t>
      </w:r>
      <w:r>
        <w:tab/>
        <w:t>Toczą się procedury przyjęcia dodatkowych 19 aktów nieustawodawczych, jednak ich przebieg jest uzależniony od otrzymania oświadczeń od Zjednoczonego Królestwa i innych podmiotów zewnętrznych.</w:t>
      </w:r>
    </w:p>
  </w:footnote>
  <w:footnote w:id="10">
    <w:p>
      <w:pPr>
        <w:pStyle w:val="FootnoteText"/>
      </w:pPr>
      <w:r>
        <w:rPr>
          <w:vertAlign w:val="superscript"/>
        </w:rPr>
        <w:footnoteRef/>
      </w:r>
      <w:r>
        <w:t xml:space="preserve"> </w:t>
      </w:r>
      <w:r>
        <w:tab/>
        <w:t xml:space="preserve">Wykaz praw pobytu przyznanych obywatelom Zjednoczonego Królestwa w państwach członkowskich UE jest dostępny na stronie internetowej Komisji: </w:t>
      </w:r>
      <w:hyperlink r:id="rId3">
        <w:r>
          <w:rPr>
            <w:rStyle w:val="Hyperlink0"/>
          </w:rPr>
          <w:t>https://ec.europa.eu/info/brexit/brexit-preparedness/residence-rights-uk-nationals-eu-member-states_en</w:t>
        </w:r>
      </w:hyperlink>
    </w:p>
  </w:footnote>
  <w:footnote w:id="11">
    <w:p>
      <w:pPr>
        <w:pStyle w:val="FootnoteText"/>
      </w:pPr>
      <w:r>
        <w:rPr>
          <w:vertAlign w:val="superscript"/>
        </w:rPr>
        <w:footnoteRef/>
      </w:r>
      <w:r>
        <w:t xml:space="preserve"> </w:t>
      </w:r>
      <w:r>
        <w:tab/>
        <w:t>Rozporządzenie Parlamentu Europejskiego i Rady (UE) 2019/500 z dnia 25 marca 2019 r. w sprawie ustanowienia środków awaryjnych w dziedzinie koordynacji systemów zabezpieczenia społecznego w następstwie wystąpienia Zjednoczonego Królestwa z Unii, Dz.U. L 85I z 27.3.2019, s. 35.</w:t>
      </w:r>
    </w:p>
  </w:footnote>
  <w:footnote w:id="12">
    <w:p>
      <w:pPr>
        <w:pStyle w:val="FootnoteText"/>
      </w:pPr>
      <w:r>
        <w:rPr>
          <w:vertAlign w:val="superscript"/>
        </w:rPr>
        <w:footnoteRef/>
      </w:r>
      <w:r>
        <w:t xml:space="preserve"> </w:t>
      </w:r>
      <w:r>
        <w:tab/>
        <w:t>Zmiana rozporządzenia Parlamentu Europejskiego i Rady (UE) 2018/1806 z dnia 14 listopada 2018 r. wymieniającego państwa trzecie, których obywatele muszą posiadać wizy podczas przekraczania granic zewnętrznych, oraz te, których obywatele są zwolnieni z tego wymogu. Zmiana ta zostanie formalnie przyjęta w nadchodzących dniach.</w:t>
      </w:r>
    </w:p>
  </w:footnote>
  <w:footnote w:id="13">
    <w:p>
      <w:pPr>
        <w:pStyle w:val="FootnoteText"/>
      </w:pPr>
      <w:r>
        <w:rPr>
          <w:vertAlign w:val="superscript"/>
        </w:rPr>
        <w:footnoteRef/>
      </w:r>
      <w:r>
        <w:t xml:space="preserve"> </w:t>
      </w:r>
      <w:r>
        <w:tab/>
        <w:t>Rozporządzenie Parlamentu Europejskiego i Rady (UE) 2019/494 z dnia 25 marca 2019 r. w sprawie niektórych aspektów bezpieczeństwa lotniczego w odniesieniu do wystąpienia Zjednoczonego Królestwa Wielkiej Brytanii i Irlandii Północnej z Unii, Dz.U. L 85I z 27.3.2019, s. 11; oraz rozporządzenie Parlamentu Europejskiego i Rady (UE) 2019/502 z dnia 25 marca 2019 r. w sprawie wspólnych zasad zapewniających podstawowe połączenia lotnicze w związku z wystąpieniem Zjednoczonego Królestwa Wielkiej Brytanii i Irlandii Północnej z Unii, Dz.U. L 85I z 27.3.2019, s. 49.</w:t>
      </w:r>
    </w:p>
  </w:footnote>
  <w:footnote w:id="14">
    <w:p>
      <w:pPr>
        <w:pStyle w:val="FootnoteText"/>
      </w:pPr>
      <w:r>
        <w:rPr>
          <w:vertAlign w:val="superscript"/>
        </w:rPr>
        <w:footnoteRef/>
      </w:r>
      <w:r>
        <w:t xml:space="preserve"> </w:t>
      </w:r>
      <w:r>
        <w:tab/>
        <w:t>Rozporządzenie Parlamentu Europejskiego i Rady (UE) 2019/503 z dnia 25 marca 2019 r. w sprawie niektórych aspektów bezpieczeństwa kolei i jakości sieci połączeń w związku z wystąpieniem Zjednoczonego Królestwa z Unii, Dz.U. L 85I z 27.3.2019, s. 60.</w:t>
      </w:r>
    </w:p>
  </w:footnote>
  <w:footnote w:id="15">
    <w:p>
      <w:pPr>
        <w:pStyle w:val="FootnoteText"/>
      </w:pPr>
      <w:r>
        <w:rPr>
          <w:vertAlign w:val="superscript"/>
        </w:rPr>
        <w:footnoteRef/>
      </w:r>
      <w:r>
        <w:t xml:space="preserve"> </w:t>
      </w:r>
      <w:r>
        <w:tab/>
        <w:t>Rozporządzenie Parlamentu Europejskiego i Rady (UE) 2019/501 z dnia 25 marca 2019 r. w sprawie wspólnych zasad zapewniających podstawowe połączenia w zakresie transportu drogowego towarów i przewozu osób w związku z wystąpieniem Zjednoczonego Królestwa Wielkiej Brytanii i Irlandii Północnej z Unii, Dz.U. L 85I z 27.3.2019, s. 39.</w:t>
      </w:r>
    </w:p>
  </w:footnote>
  <w:footnote w:id="16">
    <w:p>
      <w:pPr>
        <w:pStyle w:val="FootnoteText"/>
      </w:pPr>
      <w:r>
        <w:rPr>
          <w:vertAlign w:val="superscript"/>
        </w:rPr>
        <w:footnoteRef/>
      </w:r>
      <w:r>
        <w:t xml:space="preserve"> </w:t>
      </w:r>
      <w:r>
        <w:tab/>
        <w:t>Rozporządzenie Parlamentu Europejskiego i Rady (UE) 2019/498 z dnia 25 marca 2019 r. zmieniające rozporządzenie (UE) 2017/2403 w odniesieniu do upoważnień dla unijnych statków rybackich do połowów na wodach Zjednoczonego Królestwa oraz w odniesieniu do operacji połowowych prowadzonych przez statki rybackie Zjednoczonego Królestwa na wodach Unii, Dz.U. L 85I z 27.3.2019, s. 25.</w:t>
      </w:r>
    </w:p>
  </w:footnote>
  <w:footnote w:id="17">
    <w:p>
      <w:pPr>
        <w:pStyle w:val="FootnoteText"/>
        <w:tabs>
          <w:tab w:val="left" w:pos="360"/>
        </w:tabs>
        <w:ind w:left="360" w:hanging="360"/>
      </w:pPr>
      <w:r>
        <w:rPr>
          <w:rStyle w:val="FootnoteReference"/>
        </w:rPr>
        <w:footnoteRef/>
      </w:r>
      <w:r>
        <w:t xml:space="preserve"> </w:t>
      </w:r>
      <w:r>
        <w:tab/>
        <w:t>Rozporządzenie Rady (UE) 2019/124 z dnia 30 stycznia 2019 r. ustalające uprawnienia do połowów na rok 2019 w odniesieniu do niektórych stad ryb i grup stad ryb, Dz.U. L 29 z 31.1.2019, s. 1; oraz rozporządzenie Rady (UE) 2018/2025 z dnia 17 grudnia 2018 r. ustanawiające na lata 2019 i 2020 uprawnienia do połowów dla unijnych statków rybackich dotyczące niektórych stad ryb głębokowodnych, Dz.U. L 325 z 20.12.2018, s. 7.</w:t>
      </w:r>
    </w:p>
  </w:footnote>
  <w:footnote w:id="18">
    <w:p>
      <w:pPr>
        <w:pStyle w:val="FootnoteText"/>
      </w:pPr>
      <w:r>
        <w:rPr>
          <w:vertAlign w:val="superscript"/>
        </w:rPr>
        <w:footnoteRef/>
      </w:r>
      <w:r>
        <w:t xml:space="preserve"> </w:t>
      </w:r>
      <w:r>
        <w:tab/>
        <w:t>Rozporządzenie Parlamentu Europejskiego i Rady (UE) 2019/497 z dnia 25 marca 2019 r. zmieniające rozporządzenie (UE) nr 508/2014 w odniesieniu do niektórych przepisów dotyczących Europejskiego Funduszu Morskiego i Rybackiego w związku z wystąpieniem Zjednoczonego Królestwa z Unii, Dz.U. L 85I z 27.3.2019, s. 22.</w:t>
      </w:r>
    </w:p>
  </w:footnote>
  <w:footnote w:id="19">
    <w:p>
      <w:pPr>
        <w:pStyle w:val="FootnoteText"/>
      </w:pPr>
      <w:r>
        <w:rPr>
          <w:vertAlign w:val="superscript"/>
        </w:rPr>
        <w:footnoteRef/>
      </w:r>
      <w:r>
        <w:t xml:space="preserve"> </w:t>
      </w:r>
      <w:r>
        <w:tab/>
        <w:t>Wniosek dotyczący rozporządzenia Rady w sprawie środków dotyczących wykonania i finansowania budżetu ogólnego Unii w 2019 r. w związku z wystąpieniem Zjednoczonego Królestwa z Unii, COM(2019) 64 final. Wniosek został zatwierdzony przez Radę.</w:t>
      </w:r>
    </w:p>
  </w:footnote>
  <w:footnote w:id="20">
    <w:p>
      <w:pPr>
        <w:pStyle w:val="FootnoteText"/>
      </w:pPr>
      <w:r>
        <w:rPr>
          <w:vertAlign w:val="superscript"/>
        </w:rPr>
        <w:footnoteRef/>
      </w:r>
      <w:r>
        <w:t xml:space="preserve"> </w:t>
      </w:r>
      <w:r>
        <w:tab/>
        <w:t>Rozporządzenie Parlamentu Europejskiego i Rady (UE) 2019/491 z dnia 25 marca 2019 r. mające na celu umożliwienie kontynuacji programów współpracy terytorialnej PEACE IV (Irlandia–Zjednoczone Królestwo) oraz Zjednoczone Królestwo–Irlandia (Irlandia–Irlandia Północna–Szkocja) w związku z wystąpieniem Zjednoczonego Królestwa z Unii, Dz.U. L 85I z 27.3.2019, s. 1.</w:t>
      </w:r>
    </w:p>
  </w:footnote>
  <w:footnote w:id="21">
    <w:p>
      <w:pPr>
        <w:pStyle w:val="FootnoteText"/>
      </w:pPr>
      <w:r>
        <w:rPr>
          <w:vertAlign w:val="superscript"/>
        </w:rPr>
        <w:footnoteRef/>
      </w:r>
      <w:r>
        <w:t xml:space="preserve"> </w:t>
      </w:r>
      <w:r>
        <w:tab/>
        <w:t>Rozporządzenia Parlamentu Europejskiego i Rady (UE) 2019/499 z dnia 25 marca 2019 r. ustanawiające przepisy dotyczące kontynuacji trwających działań w zakresie mobilności edukacyjnej w ramach programu Erasmus+ ustanowionego rozporządzeniem (UE) nr 1288/2013 w związku z wystąpieniem Zjednoczonego Królestwa z Unii, Dz.U. L 85I z 27.3.2019, s. 32.</w:t>
      </w:r>
    </w:p>
  </w:footnote>
  <w:footnote w:id="22">
    <w:p>
      <w:pPr>
        <w:pStyle w:val="FootnoteText"/>
      </w:pPr>
      <w:r>
        <w:rPr>
          <w:rStyle w:val="FootnoteReference"/>
        </w:rPr>
        <w:footnoteRef/>
      </w:r>
      <w:r>
        <w:t xml:space="preserve"> </w:t>
      </w:r>
      <w:r>
        <w:tab/>
        <w:t>Rozporządzenie Parlamentu Europejskiego i Rady (UE) nr 1308/2013 z dnia 17 grudnia 2013 r. ustanawiające wspólną organizację rynków produktów rolnych oraz uchylające rozporządzenia Rady (EWG) nr 922/72, (EWG) nr 234/79, (WE) nr 1037/2001 i (WE) nr 1234/2007, Dz.U. L 347 z 20.12.2013, s. 671.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Foo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C7DFB"/>
    <w:multiLevelType w:val="hybridMultilevel"/>
    <w:tmpl w:val="A05A3A2E"/>
    <w:styleLink w:val="ImportedStyle2"/>
    <w:lvl w:ilvl="0" w:tplc="581C9D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F687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064C9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AE0AD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16ED1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E7440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22C2D3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FE95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990FE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38DE5B38"/>
    <w:multiLevelType w:val="hybridMultilevel"/>
    <w:tmpl w:val="A05A3A2E"/>
    <w:numStyleLink w:val="ImportedStyle2"/>
  </w:abstractNum>
  <w:abstractNum w:abstractNumId="2">
    <w:nsid w:val="43B708D7"/>
    <w:multiLevelType w:val="multilevel"/>
    <w:tmpl w:val="14D69CFA"/>
    <w:styleLink w:val="ImportedStyle1"/>
    <w:lvl w:ilvl="0">
      <w:start w:val="1"/>
      <w:numFmt w:val="decimal"/>
      <w:lvlText w:val="%1."/>
      <w:lvlJc w:val="left"/>
      <w:pPr>
        <w:ind w:left="482" w:hanging="48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77" w:hanging="60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2" w:hanging="839"/>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880"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4C477C97"/>
    <w:multiLevelType w:val="multilevel"/>
    <w:tmpl w:val="14D69CFA"/>
    <w:numStyleLink w:val="ImportedStyle1"/>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F933048E-9459-44A4-BACF-018DB828B246"/>
    <w:docVar w:name="LW_COVERPAGE_TYPE" w:val="1"/>
    <w:docVar w:name="LW_CROSSREFERENCE" w:val="&lt;UNUSED&gt;"/>
    <w:docVar w:name="LW_DocType" w:val="NORMAL"/>
    <w:docVar w:name="LW_EMISSION" w:val="10.4.2019"/>
    <w:docVar w:name="LW_EMISSION_ISODATE" w:val="2019-04-10"/>
    <w:docVar w:name="LW_EMISSION_LOCATION" w:val="BRX"/>
    <w:docVar w:name="LW_EMISSION_PREFIX" w:val="Bruksela, dnia "/>
    <w:docVar w:name="LW_EMISSION_SUFFIX" w:val=" r."/>
    <w:docVar w:name="LW_ID_DOCTYPE_NONLW" w:val="CP-009"/>
    <w:docVar w:name="LW_LANGUE" w:val="PL"/>
    <w:docVar w:name="LW_LEVEL_OF_SENSITIVITY" w:val="Standard treatment"/>
    <w:docVar w:name="LW_NOM.INST" w:val="KOMISJA EUROPEJSKA"/>
    <w:docVar w:name="LW_NOM.INST_JOINTDOC" w:val="&lt;EMPTY&gt;"/>
    <w:docVar w:name="LW_PART_NBR" w:val="1"/>
    <w:docVar w:name="LW_PART_NBR_TOTAL" w:val="1"/>
    <w:docVar w:name="LW_REF.INST.NEW" w:val="COM"/>
    <w:docVar w:name="LW_REF.INST.NEW_ADOPTED" w:val="final"/>
    <w:docVar w:name="LW_REF.INST.NEW_TEXT" w:val="(2019) 19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Przeciwdzia\u322?anie skutkom wyst\u261?pienia Zjednoczonego Królestwa z Unii bez umowy: skoordynowane podej\u347?cie Unii"/>
    <w:docVar w:name="LW_TYPE.DOC.CP" w:val="KOMUNIKAT KOMISJI"/>
    <w:docVar w:name="LW_TYPE.DOC.CP.USERTEXT" w:val="DO PARLAMENTU EUROPEJSKIEGO, RADY EUROPEJSKIEJ, RADY, EUROPEJSKIEGO BANKU CENTRALNEGO, EUROPEJSKIEGO KOMITETU EKONOMICZNO-SPO\u321?ECZNEGO, KOMITETU REGIONÓW I EUROPEJSKIEGO BANKU INWESTYCYJNEGO"/>
  </w:docVar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szCs w:val="2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Footer">
    <w:name w:val="Header &amp; Footer"/>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customStyle="1" w:styleId="Body">
    <w:name w:val="Body"/>
    <w:pPr>
      <w:pBdr>
        <w:top w:val="nil"/>
        <w:left w:val="nil"/>
        <w:bottom w:val="nil"/>
        <w:right w:val="nil"/>
        <w:between w:val="nil"/>
        <w:bar w:val="nil"/>
      </w:pBdr>
      <w:spacing w:after="240" w:line="240" w:lineRule="auto"/>
      <w:jc w:val="both"/>
    </w:pPr>
    <w:rPr>
      <w:rFonts w:ascii="Times New Roman" w:eastAsia="Times New Roman" w:hAnsi="Times New Roman" w:cs="Times New Roman"/>
      <w:color w:val="000000"/>
      <w:sz w:val="24"/>
      <w:szCs w:val="24"/>
      <w:u w:color="000000"/>
      <w:bdr w:val="nil"/>
    </w:rPr>
  </w:style>
  <w:style w:type="paragraph" w:customStyle="1" w:styleId="FooterLine">
    <w:name w:val="Footer Line"/>
    <w:next w:val="Footer"/>
    <w:pPr>
      <w:pBdr>
        <w:top w:val="nil"/>
        <w:left w:val="nil"/>
        <w:bottom w:val="nil"/>
        <w:right w:val="nil"/>
        <w:between w:val="nil"/>
        <w:bar w:val="nil"/>
      </w:pBdr>
      <w:tabs>
        <w:tab w:val="right" w:pos="8646"/>
      </w:tabs>
      <w:spacing w:before="120" w:after="0" w:line="240" w:lineRule="auto"/>
    </w:pPr>
    <w:rPr>
      <w:rFonts w:ascii="Times New Roman" w:eastAsia="Times New Roman" w:hAnsi="Times New Roman" w:cs="Times New Roman"/>
      <w:color w:val="000000"/>
      <w:sz w:val="16"/>
      <w:szCs w:val="16"/>
      <w:u w:color="000000"/>
      <w:bdr w:val="nil"/>
    </w:rPr>
  </w:style>
  <w:style w:type="paragraph" w:customStyle="1" w:styleId="Titreobjet">
    <w:name w:val="Titre objet"/>
    <w:next w:val="Body"/>
    <w:pPr>
      <w:pBdr>
        <w:top w:val="nil"/>
        <w:left w:val="nil"/>
        <w:bottom w:val="nil"/>
        <w:right w:val="nil"/>
        <w:between w:val="nil"/>
        <w:bar w:val="nil"/>
      </w:pBdr>
      <w:spacing w:before="360" w:after="360" w:line="240" w:lineRule="auto"/>
      <w:jc w:val="center"/>
    </w:pPr>
    <w:rPr>
      <w:rFonts w:ascii="Times New Roman" w:eastAsia="Arial Unicode MS" w:hAnsi="Times New Roman" w:cs="Arial Unicode MS"/>
      <w:b/>
      <w:bCs/>
      <w:color w:val="000000"/>
      <w:sz w:val="24"/>
      <w:szCs w:val="24"/>
      <w:u w:color="000000"/>
      <w:bdr w:val="nil"/>
    </w:rPr>
  </w:style>
  <w:style w:type="paragraph" w:customStyle="1" w:styleId="Heading">
    <w:name w:val="Heading"/>
    <w:next w:val="Text1"/>
    <w:pPr>
      <w:keepNext/>
      <w:pBdr>
        <w:top w:val="nil"/>
        <w:left w:val="nil"/>
        <w:bottom w:val="nil"/>
        <w:right w:val="nil"/>
        <w:between w:val="nil"/>
        <w:bar w:val="nil"/>
      </w:pBdr>
      <w:tabs>
        <w:tab w:val="left" w:pos="482"/>
      </w:tabs>
      <w:spacing w:before="240" w:after="240" w:line="240" w:lineRule="auto"/>
      <w:jc w:val="both"/>
      <w:outlineLvl w:val="0"/>
    </w:pPr>
    <w:rPr>
      <w:rFonts w:ascii="Times New Roman" w:eastAsia="Arial Unicode MS" w:hAnsi="Times New Roman" w:cs="Arial Unicode MS"/>
      <w:b/>
      <w:bCs/>
      <w:smallCaps/>
      <w:color w:val="000000"/>
      <w:sz w:val="24"/>
      <w:szCs w:val="24"/>
      <w:u w:color="000000"/>
      <w:bdr w:val="nil"/>
    </w:rPr>
  </w:style>
  <w:style w:type="paragraph" w:customStyle="1" w:styleId="Text1">
    <w:name w:val="Text 1"/>
    <w:pPr>
      <w:pBdr>
        <w:top w:val="nil"/>
        <w:left w:val="nil"/>
        <w:bottom w:val="nil"/>
        <w:right w:val="nil"/>
        <w:between w:val="nil"/>
        <w:bar w:val="nil"/>
      </w:pBdr>
      <w:spacing w:after="240" w:line="240" w:lineRule="auto"/>
      <w:ind w:left="482"/>
      <w:jc w:val="both"/>
    </w:pPr>
    <w:rPr>
      <w:rFonts w:ascii="Times New Roman" w:eastAsia="Arial Unicode MS" w:hAnsi="Times New Roman" w:cs="Arial Unicode MS"/>
      <w:color w:val="000000"/>
      <w:sz w:val="24"/>
      <w:szCs w:val="24"/>
      <w:u w:color="000000"/>
      <w:bdr w:val="nil"/>
    </w:rPr>
  </w:style>
  <w:style w:type="numbering" w:customStyle="1" w:styleId="ImportedStyle1">
    <w:name w:val="Imported Style 1"/>
    <w:pPr>
      <w:numPr>
        <w:numId w:val="1"/>
      </w:numPr>
    </w:pPr>
  </w:style>
  <w:style w:type="paragraph" w:styleId="FootnoteText">
    <w:name w:val="footnote text"/>
    <w:link w:val="FootnoteTextChar"/>
    <w:pPr>
      <w:pBdr>
        <w:top w:val="nil"/>
        <w:left w:val="nil"/>
        <w:bottom w:val="nil"/>
        <w:right w:val="nil"/>
        <w:between w:val="nil"/>
        <w:bar w:val="nil"/>
      </w:pBdr>
      <w:spacing w:after="120" w:line="240" w:lineRule="auto"/>
      <w:ind w:left="357" w:hanging="357"/>
      <w:jc w:val="both"/>
    </w:pPr>
    <w:rPr>
      <w:rFonts w:ascii="Times New Roman" w:eastAsia="Times New Roman" w:hAnsi="Times New Roman" w:cs="Times New Roman"/>
      <w:color w:val="000000"/>
      <w:sz w:val="20"/>
      <w:u w:color="000000"/>
      <w:bdr w:val="nil"/>
    </w:rPr>
  </w:style>
  <w:style w:type="character" w:customStyle="1" w:styleId="FootnoteTextChar">
    <w:name w:val="Footnote Text Char"/>
    <w:basedOn w:val="DefaultParagraphFont"/>
    <w:link w:val="FootnoteText"/>
    <w:rPr>
      <w:rFonts w:ascii="Times New Roman" w:eastAsia="Times New Roman" w:hAnsi="Times New Roman" w:cs="Times New Roman"/>
      <w:color w:val="000000"/>
      <w:sz w:val="20"/>
      <w:u w:color="000000"/>
      <w:bdr w:val="nil"/>
      <w:lang w:val="pl-PL" w:eastAsia="pl-PL" w:bidi="pl-PL"/>
    </w:rPr>
  </w:style>
  <w:style w:type="character" w:customStyle="1" w:styleId="Hyperlink0">
    <w:name w:val="Hyperlink.0"/>
    <w:basedOn w:val="Hyperlink"/>
    <w:rPr>
      <w:color w:val="0563C1"/>
      <w:u w:val="single" w:color="0563C1"/>
    </w:rPr>
  </w:style>
  <w:style w:type="numbering" w:customStyle="1" w:styleId="ImportedStyle2">
    <w:name w:val="Imported Style 2"/>
    <w:pPr>
      <w:numPr>
        <w:numId w:val="3"/>
      </w:numPr>
    </w:p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CommentTextChar">
    <w:name w:val="Comment Text Char"/>
    <w:basedOn w:val="DefaultParagraphFont"/>
    <w:link w:val="CommentText"/>
    <w:uiPriority w:val="99"/>
    <w:semiHidden/>
    <w:rPr>
      <w:rFonts w:ascii="Times New Roman" w:eastAsia="Arial Unicode MS" w:hAnsi="Times New Roman" w:cs="Times New Roman"/>
      <w:sz w:val="24"/>
      <w:szCs w:val="24"/>
      <w:bdr w:val="nil"/>
      <w:lang w:val="pl-PL" w:bidi="pl-PL"/>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Pr>
      <w:rFonts w:ascii="Segoe UI" w:hAnsi="Segoe UI" w:cs="Segoe UI"/>
      <w:sz w:val="18"/>
      <w:szCs w:val="16"/>
    </w:rPr>
  </w:style>
  <w:style w:type="paragraph" w:customStyle="1" w:styleId="Typedudocument">
    <w:name w:val="Type du document"/>
    <w:basedOn w:val="Normal"/>
    <w:next w:val="Titreobjet"/>
    <w:pPr>
      <w:spacing w:before="360" w:after="0" w:line="240" w:lineRule="auto"/>
      <w:jc w:val="center"/>
    </w:pPr>
    <w:rPr>
      <w:rFonts w:ascii="Times New Roman" w:hAnsi="Times New Roman" w:cs="Times New Roman"/>
      <w:b/>
      <w:sz w:val="24"/>
      <w:szCs w:val="22"/>
    </w:rPr>
  </w:style>
  <w:style w:type="character" w:styleId="FootnoteReference">
    <w:name w:val="footnote reference"/>
    <w:basedOn w:val="DefaultParagraphFont"/>
    <w:semiHidden/>
    <w:unhideWhenUsed/>
    <w:rPr>
      <w:vertAlign w:val="superscript"/>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szCs w:val="2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Footer">
    <w:name w:val="Header &amp; Footer"/>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customStyle="1" w:styleId="Body">
    <w:name w:val="Body"/>
    <w:pPr>
      <w:pBdr>
        <w:top w:val="nil"/>
        <w:left w:val="nil"/>
        <w:bottom w:val="nil"/>
        <w:right w:val="nil"/>
        <w:between w:val="nil"/>
        <w:bar w:val="nil"/>
      </w:pBdr>
      <w:spacing w:after="240" w:line="240" w:lineRule="auto"/>
      <w:jc w:val="both"/>
    </w:pPr>
    <w:rPr>
      <w:rFonts w:ascii="Times New Roman" w:eastAsia="Times New Roman" w:hAnsi="Times New Roman" w:cs="Times New Roman"/>
      <w:color w:val="000000"/>
      <w:sz w:val="24"/>
      <w:szCs w:val="24"/>
      <w:u w:color="000000"/>
      <w:bdr w:val="nil"/>
    </w:rPr>
  </w:style>
  <w:style w:type="paragraph" w:customStyle="1" w:styleId="FooterLine">
    <w:name w:val="Footer Line"/>
    <w:next w:val="Footer"/>
    <w:pPr>
      <w:pBdr>
        <w:top w:val="nil"/>
        <w:left w:val="nil"/>
        <w:bottom w:val="nil"/>
        <w:right w:val="nil"/>
        <w:between w:val="nil"/>
        <w:bar w:val="nil"/>
      </w:pBdr>
      <w:tabs>
        <w:tab w:val="right" w:pos="8646"/>
      </w:tabs>
      <w:spacing w:before="120" w:after="0" w:line="240" w:lineRule="auto"/>
    </w:pPr>
    <w:rPr>
      <w:rFonts w:ascii="Times New Roman" w:eastAsia="Times New Roman" w:hAnsi="Times New Roman" w:cs="Times New Roman"/>
      <w:color w:val="000000"/>
      <w:sz w:val="16"/>
      <w:szCs w:val="16"/>
      <w:u w:color="000000"/>
      <w:bdr w:val="nil"/>
    </w:rPr>
  </w:style>
  <w:style w:type="paragraph" w:customStyle="1" w:styleId="Titreobjet">
    <w:name w:val="Titre objet"/>
    <w:next w:val="Body"/>
    <w:pPr>
      <w:pBdr>
        <w:top w:val="nil"/>
        <w:left w:val="nil"/>
        <w:bottom w:val="nil"/>
        <w:right w:val="nil"/>
        <w:between w:val="nil"/>
        <w:bar w:val="nil"/>
      </w:pBdr>
      <w:spacing w:before="360" w:after="360" w:line="240" w:lineRule="auto"/>
      <w:jc w:val="center"/>
    </w:pPr>
    <w:rPr>
      <w:rFonts w:ascii="Times New Roman" w:eastAsia="Arial Unicode MS" w:hAnsi="Times New Roman" w:cs="Arial Unicode MS"/>
      <w:b/>
      <w:bCs/>
      <w:color w:val="000000"/>
      <w:sz w:val="24"/>
      <w:szCs w:val="24"/>
      <w:u w:color="000000"/>
      <w:bdr w:val="nil"/>
    </w:rPr>
  </w:style>
  <w:style w:type="paragraph" w:customStyle="1" w:styleId="Heading">
    <w:name w:val="Heading"/>
    <w:next w:val="Text1"/>
    <w:pPr>
      <w:keepNext/>
      <w:pBdr>
        <w:top w:val="nil"/>
        <w:left w:val="nil"/>
        <w:bottom w:val="nil"/>
        <w:right w:val="nil"/>
        <w:between w:val="nil"/>
        <w:bar w:val="nil"/>
      </w:pBdr>
      <w:tabs>
        <w:tab w:val="left" w:pos="482"/>
      </w:tabs>
      <w:spacing w:before="240" w:after="240" w:line="240" w:lineRule="auto"/>
      <w:jc w:val="both"/>
      <w:outlineLvl w:val="0"/>
    </w:pPr>
    <w:rPr>
      <w:rFonts w:ascii="Times New Roman" w:eastAsia="Arial Unicode MS" w:hAnsi="Times New Roman" w:cs="Arial Unicode MS"/>
      <w:b/>
      <w:bCs/>
      <w:smallCaps/>
      <w:color w:val="000000"/>
      <w:sz w:val="24"/>
      <w:szCs w:val="24"/>
      <w:u w:color="000000"/>
      <w:bdr w:val="nil"/>
    </w:rPr>
  </w:style>
  <w:style w:type="paragraph" w:customStyle="1" w:styleId="Text1">
    <w:name w:val="Text 1"/>
    <w:pPr>
      <w:pBdr>
        <w:top w:val="nil"/>
        <w:left w:val="nil"/>
        <w:bottom w:val="nil"/>
        <w:right w:val="nil"/>
        <w:between w:val="nil"/>
        <w:bar w:val="nil"/>
      </w:pBdr>
      <w:spacing w:after="240" w:line="240" w:lineRule="auto"/>
      <w:ind w:left="482"/>
      <w:jc w:val="both"/>
    </w:pPr>
    <w:rPr>
      <w:rFonts w:ascii="Times New Roman" w:eastAsia="Arial Unicode MS" w:hAnsi="Times New Roman" w:cs="Arial Unicode MS"/>
      <w:color w:val="000000"/>
      <w:sz w:val="24"/>
      <w:szCs w:val="24"/>
      <w:u w:color="000000"/>
      <w:bdr w:val="nil"/>
    </w:rPr>
  </w:style>
  <w:style w:type="numbering" w:customStyle="1" w:styleId="ImportedStyle1">
    <w:name w:val="Imported Style 1"/>
    <w:pPr>
      <w:numPr>
        <w:numId w:val="1"/>
      </w:numPr>
    </w:pPr>
  </w:style>
  <w:style w:type="paragraph" w:styleId="FootnoteText">
    <w:name w:val="footnote text"/>
    <w:link w:val="FootnoteTextChar"/>
    <w:pPr>
      <w:pBdr>
        <w:top w:val="nil"/>
        <w:left w:val="nil"/>
        <w:bottom w:val="nil"/>
        <w:right w:val="nil"/>
        <w:between w:val="nil"/>
        <w:bar w:val="nil"/>
      </w:pBdr>
      <w:spacing w:after="120" w:line="240" w:lineRule="auto"/>
      <w:ind w:left="357" w:hanging="357"/>
      <w:jc w:val="both"/>
    </w:pPr>
    <w:rPr>
      <w:rFonts w:ascii="Times New Roman" w:eastAsia="Times New Roman" w:hAnsi="Times New Roman" w:cs="Times New Roman"/>
      <w:color w:val="000000"/>
      <w:sz w:val="20"/>
      <w:u w:color="000000"/>
      <w:bdr w:val="nil"/>
    </w:rPr>
  </w:style>
  <w:style w:type="character" w:customStyle="1" w:styleId="FootnoteTextChar">
    <w:name w:val="Footnote Text Char"/>
    <w:basedOn w:val="DefaultParagraphFont"/>
    <w:link w:val="FootnoteText"/>
    <w:rPr>
      <w:rFonts w:ascii="Times New Roman" w:eastAsia="Times New Roman" w:hAnsi="Times New Roman" w:cs="Times New Roman"/>
      <w:color w:val="000000"/>
      <w:sz w:val="20"/>
      <w:u w:color="000000"/>
      <w:bdr w:val="nil"/>
      <w:lang w:val="pl-PL" w:eastAsia="pl-PL" w:bidi="pl-PL"/>
    </w:rPr>
  </w:style>
  <w:style w:type="character" w:customStyle="1" w:styleId="Hyperlink0">
    <w:name w:val="Hyperlink.0"/>
    <w:basedOn w:val="Hyperlink"/>
    <w:rPr>
      <w:color w:val="0563C1"/>
      <w:u w:val="single" w:color="0563C1"/>
    </w:rPr>
  </w:style>
  <w:style w:type="numbering" w:customStyle="1" w:styleId="ImportedStyle2">
    <w:name w:val="Imported Style 2"/>
    <w:pPr>
      <w:numPr>
        <w:numId w:val="3"/>
      </w:numPr>
    </w:p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CommentTextChar">
    <w:name w:val="Comment Text Char"/>
    <w:basedOn w:val="DefaultParagraphFont"/>
    <w:link w:val="CommentText"/>
    <w:uiPriority w:val="99"/>
    <w:semiHidden/>
    <w:rPr>
      <w:rFonts w:ascii="Times New Roman" w:eastAsia="Arial Unicode MS" w:hAnsi="Times New Roman" w:cs="Times New Roman"/>
      <w:sz w:val="24"/>
      <w:szCs w:val="24"/>
      <w:bdr w:val="nil"/>
      <w:lang w:val="pl-PL" w:bidi="pl-PL"/>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Pr>
      <w:rFonts w:ascii="Segoe UI" w:hAnsi="Segoe UI" w:cs="Segoe UI"/>
      <w:sz w:val="18"/>
      <w:szCs w:val="16"/>
    </w:rPr>
  </w:style>
  <w:style w:type="paragraph" w:customStyle="1" w:styleId="Typedudocument">
    <w:name w:val="Type du document"/>
    <w:basedOn w:val="Normal"/>
    <w:next w:val="Titreobjet"/>
    <w:pPr>
      <w:spacing w:before="360" w:after="0" w:line="240" w:lineRule="auto"/>
      <w:jc w:val="center"/>
    </w:pPr>
    <w:rPr>
      <w:rFonts w:ascii="Times New Roman" w:hAnsi="Times New Roman" w:cs="Times New Roman"/>
      <w:b/>
      <w:sz w:val="24"/>
      <w:szCs w:val="22"/>
    </w:rPr>
  </w:style>
  <w:style w:type="character" w:styleId="FootnoteReference">
    <w:name w:val="footnote reference"/>
    <w:basedOn w:val="DefaultParagraphFont"/>
    <w:semiHidden/>
    <w:unhideWhenUsed/>
    <w:rPr>
      <w:vertAlign w:val="superscript"/>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brexit/brexit-preparedness/residence-rights-uk-nationals-eu-member-states_en" TargetMode="External"/><Relationship Id="rId2" Type="http://schemas.openxmlformats.org/officeDocument/2006/relationships/hyperlink" Target="https://ec.europa.eu/info/brexit/brexit-preparedness/preparedness-notices_pl" TargetMode="External"/><Relationship Id="rId1" Type="http://schemas.openxmlformats.org/officeDocument/2006/relationships/hyperlink" Target="http://europa.eu/rapid/press-release_SPEECH-19-1970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EC Document</p:Name>
  <p:Description/>
  <p:Statement/>
  <p:PolicyItems>
    <p:PolicyItem featureId="Microsoft.Office.RecordsManagement.PolicyFeatures.PolicyAudit" staticId="0x010100258AA79CEB83498886A3A0868112325000D33D44CF0C8FEB45875F235DEEF2E1B9|8138272" UniqueId="82ebddaa-263f-44a4-b383-ae40ea096670">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D33D44CF0C8FEB45875F235DEEF2E1B9" ma:contentTypeVersion="7" ma:contentTypeDescription="Create a new document in this library." ma:contentTypeScope="" ma:versionID="0cb51d011d44aaa2f2f2559eb8aaf023">
  <xsd:schema xmlns:xsd="http://www.w3.org/2001/XMLSchema" xmlns:xs="http://www.w3.org/2001/XMLSchema" xmlns:p="http://schemas.microsoft.com/office/2006/metadata/properties" xmlns:ns1="http://schemas.microsoft.com/sharepoint/v3" xmlns:ns2="http://schemas.microsoft.com/sharepoint/v3/fields" xmlns:ns3="25173920-bf43-43cc-9123-1897e847dfc2" targetNamespace="http://schemas.microsoft.com/office/2006/metadata/properties" ma:root="true" ma:fieldsID="a931e117a4c2a292401c17c6d61581df" ns1:_="" ns2:_="" ns3:_="">
    <xsd:import namespace="http://schemas.microsoft.com/sharepoint/v3"/>
    <xsd:import namespace="http://schemas.microsoft.com/sharepoint/v3/fields"/>
    <xsd:import namespace="25173920-bf43-43cc-9123-1897e847dfc2"/>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1:RelatedItems" minOccurs="0"/>
                <xsd:element ref="ns3:DG"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16" nillable="true" ma:displayName="Related Items" ma:internalName="RelatedItems" ma:readOnly="false">
      <xsd:simpleType>
        <xsd:restriction base="dms:Not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5173920-bf43-43cc-9123-1897e847dfc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G" ma:index="17" nillable="true" ma:displayName="DG" ma:description="Associated DG(s)" ma:list="{a436e1b9-89ab-4a0f-bf89-77e0c01004af}" ma:internalName="DG"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Reference xmlns="25173920-bf43-43cc-9123-1897e847dfc2" xsi:nil="true"/>
    <_Status xmlns="http://schemas.microsoft.com/sharepoint/v3/fields">Not Started</_Status>
    <EC_Collab_Status xmlns="25173920-bf43-43cc-9123-1897e847dfc2">Not Started</EC_Collab_Status>
    <DG xmlns="25173920-bf43-43cc-9123-1897e847dfc2"/>
    <EC_Collab_DocumentLanguage xmlns="25173920-bf43-43cc-9123-1897e847dfc2">EN</EC_Collab_DocumentLanguage>
    <RelatedItem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EAD7208-BB14-4304-86F9-58DCAADB0330}">
  <ds:schemaRefs>
    <ds:schemaRef ds:uri="office.server.policy"/>
  </ds:schemaRefs>
</ds:datastoreItem>
</file>

<file path=customXml/itemProps2.xml><?xml version="1.0" encoding="utf-8"?>
<ds:datastoreItem xmlns:ds="http://schemas.openxmlformats.org/officeDocument/2006/customXml" ds:itemID="{C85208C7-784F-4E73-A6D8-FC8095A80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5173920-bf43-43cc-9123-1897e847d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47CB4C-1C59-4DD1-9329-707A8299A822}">
  <ds:schemaRefs>
    <ds:schemaRef ds:uri="http://schemas.microsoft.com/office/2006/metadata/properties"/>
    <ds:schemaRef ds:uri="http://schemas.microsoft.com/office/infopath/2007/PartnerControls"/>
    <ds:schemaRef ds:uri="25173920-bf43-43cc-9123-1897e847dfc2"/>
    <ds:schemaRef ds:uri="http://schemas.microsoft.com/sharepoint/v3/fields"/>
    <ds:schemaRef ds:uri="http://schemas.microsoft.com/sharepoint/v3"/>
  </ds:schemaRefs>
</ds:datastoreItem>
</file>

<file path=customXml/itemProps4.xml><?xml version="1.0" encoding="utf-8"?>
<ds:datastoreItem xmlns:ds="http://schemas.openxmlformats.org/officeDocument/2006/customXml" ds:itemID="{6E6E6A45-DCEF-4DBB-9426-C420B1787240}">
  <ds:schemaRefs>
    <ds:schemaRef ds:uri="http://schemas.microsoft.com/sharepoint/v3/contenttype/forms"/>
  </ds:schemaRefs>
</ds:datastoreItem>
</file>

<file path=customXml/itemProps5.xml><?xml version="1.0" encoding="utf-8"?>
<ds:datastoreItem xmlns:ds="http://schemas.openxmlformats.org/officeDocument/2006/customXml" ds:itemID="{72493AE3-399A-44B9-9848-BD01F1986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2266</Words>
  <Characters>15503</Characters>
  <Application>Microsoft Office Word</Application>
  <DocSecurity>0</DocSecurity>
  <Lines>250</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20</cp:revision>
  <cp:lastPrinted>2019-04-08T12:51:00Z</cp:lastPrinted>
  <dcterms:created xsi:type="dcterms:W3CDTF">2019-04-09T18:53:00Z</dcterms:created>
  <dcterms:modified xsi:type="dcterms:W3CDTF">2019-04-10T09:58:00Z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6.0.1, Build 20180503</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ContentTypeId">
    <vt:lpwstr>0x010100258AA79CEB83498886A3A0868112325000D33D44CF0C8FEB45875F235DEEF2E1B9</vt:lpwstr>
  </property>
  <property fmtid="{D5CDD505-2E9C-101B-9397-08002B2CF9AE}" pid="8" name="DocStatus">
    <vt:lpwstr>Green</vt:lpwstr>
  </property>
</Properties>
</file>