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36A8556-F70B-4B9C-9467-96CDBD34CF0D" style="width:451.6pt;height:361.9pt">
            <v:imagedata r:id="rId13" o:title=""/>
          </v:shape>
        </w:pict>
      </w:r>
    </w:p>
    <w:bookmarkEnd w:id="0"/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KOMUNIKAZZJONI TAL-KUMMISSJONI KOMUNIKAZZJONI TAL-KUMMISSJONI LILL-PARLAMENT EWROPEW, LILL-KUNSILL EWROPEW, LILL-KUNSILL, LILL-BANK ĊENTRALI EWROPEW, LILL-KUMITAT EKONOMIKU U SOĊJALI EWROPEW, LILL-KUMITAT TAR-REĠJUNI U LILL-BANK EWROPEW TAL-INVESTIMENT</w:t>
      </w:r>
    </w:p>
    <w:p>
      <w:pPr>
        <w:pStyle w:val="Titreobjet"/>
        <w:rPr>
          <w:noProof/>
        </w:rPr>
      </w:pPr>
      <w:r>
        <w:rPr>
          <w:noProof/>
        </w:rPr>
        <w:t>Li tindirizza l-impatt tal-ħruġ tar-Renju Unit mill-Unjoni mingħajr ftehim: l-approċċ ikkoordinat tal-Unjoni</w:t>
      </w:r>
    </w:p>
    <w:p>
      <w:pPr>
        <w:pStyle w:val="Heading"/>
        <w:numPr>
          <w:ilvl w:val="0"/>
          <w:numId w:val="2"/>
        </w:numPr>
        <w:rPr>
          <w:noProof/>
        </w:rPr>
      </w:pPr>
      <w:r>
        <w:rPr>
          <w:noProof/>
        </w:rPr>
        <w:t>Introduzzjoni</w:t>
      </w:r>
    </w:p>
    <w:p>
      <w:pPr>
        <w:pStyle w:val="Text1"/>
        <w:ind w:left="0"/>
        <w:rPr>
          <w:noProof/>
        </w:rPr>
      </w:pPr>
      <w:r>
        <w:rPr>
          <w:noProof/>
        </w:rPr>
        <w:t>Fid-29 ta’ Marzu 2017, ir-Renju Unit innotifika l-intenzjoni tiegħu li joħroġ mill-Unjoni. Il-Kummissjoni tkompli tqis li ħruġ ordnat tar-Renju Unit mill-Unjoni fuq il-bażi tal-Ftehim dwar il-Ħruġ, li qabel miegħu l-Gvern tar-Renju Unit u li l-Kunsill Ewropew (Artikolu 50) approvah fl-25 ta’ Novembru 2018, huwa l-aqwa eżitu. Il-Kummissjoni tkompli tiffoka l-isforzi tagħha fuq dak l-għan. Madankollu huwa l-każ li, jumejn qabel l-iskadenza tat-12 ta’ April, kif estiża mill-Kunsill Ewropew</w:t>
      </w:r>
      <w:r>
        <w:rPr>
          <w:noProof/>
          <w:vertAlign w:val="superscript"/>
        </w:rPr>
        <w:footnoteReference w:id="2"/>
      </w:r>
      <w:r>
        <w:rPr>
          <w:noProof/>
        </w:rPr>
        <w:t>, il-probabbiltà ta’ ħruġ diżordinat żdiedet b’mod sinifikanti. L-għan ta’ din il-komunikazzjoni huwa li jittieħed kont tal-preparativi intensi għal dak ix-xenarju li ilhom għaddejjin mill-2017.</w:t>
      </w:r>
    </w:p>
    <w:p>
      <w:pPr>
        <w:pStyle w:val="Text1"/>
        <w:ind w:left="0"/>
        <w:rPr>
          <w:noProof/>
        </w:rPr>
      </w:pPr>
      <w:r>
        <w:rPr>
          <w:noProof/>
        </w:rPr>
        <w:t>Il-Kummissjoni ripetutament ġibdet l-attenzjoni tal-partijiet interessati kollha, inkluż fit-tliet Komunikazzjonijiet dwar it-Tħejjija għall-Brexit tad-19 ta’ Lulju 2018</w:t>
      </w:r>
      <w:r>
        <w:rPr>
          <w:noProof/>
          <w:vertAlign w:val="superscript"/>
        </w:rPr>
        <w:footnoteReference w:id="3"/>
      </w:r>
      <w:r>
        <w:rPr>
          <w:noProof/>
        </w:rPr>
        <w:t>, it-13 ta’ Novembru 2018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 u d-19 ta’ Diċembru 2018</w:t>
      </w:r>
      <w:r>
        <w:rPr>
          <w:noProof/>
          <w:vertAlign w:val="superscript"/>
        </w:rPr>
        <w:footnoteReference w:id="5"/>
      </w:r>
      <w:r>
        <w:rPr>
          <w:noProof/>
        </w:rPr>
        <w:t xml:space="preserve">, għall-fatt li xenarju fejn ma jsir l-ebda ftehim joħloq tfixkil sinifikanti. Din il-valutazzjoni ma nbidlitx. F’xenarju fejn ma jsir l-ebda ftehim, ma jkunx possibbli li tiġi replikata t-tranżizzjoni ordinata prevista fil-Ftehim dwar il-Ħruġ.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Konsegwentement, l-istituzzjonijiet tal-UE, l-amministrazzjoni tal-Istati Membri fil-livelli kollha u l-partijiet interessati kollha ħadmu flimkien biex itaffu l-impatt ta’ xenarju mingħajr ftehim. Illum, bħala riżultat ta’ dan l-isforz kollettiv, l-UE tinsab preparata għal ħruġ diżordinat.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Il-miżuri ta’ kontinġenza li ġew adottati fil-livelli Ewropej u nazzjonali huma bbażati fuq il-prinċipji ġenerali stabbiliti fil-Komunikazzjoni tat-13 ta’ Novembru 2018. Miżuri ta’ kontinġenza ma jirreplikawx il-benefiċċji tas-sħubija fl-Unjoni, u lanqas it-termini ta’ kwalunkwe perjodu ta’ tranżizzjoni, kif previst fil-Ftehim dwar il-Ħruġ. Dawn huma ta’ natura temporanja, u ġew adottati unilateralment mill-Unjoni Ewropea biex tħares l-interessi tagħha. Jirrispettaw bis-sħiħ id-diviżjoni tal-kompetenzi li jistabbilixxu t-Trattati. kif ukoll il-prinċipju tas-sussidjarjetà. </w:t>
      </w:r>
    </w:p>
    <w:p>
      <w:pPr>
        <w:pStyle w:val="Text1"/>
        <w:ind w:left="0"/>
        <w:rPr>
          <w:noProof/>
        </w:rPr>
      </w:pPr>
      <w:r>
        <w:rPr>
          <w:noProof/>
        </w:rPr>
        <w:t>F’każ ta’ xenarju fejn ma jsir l-ebda ftehim, dawn il-miżuri ta’ kontinġenza temporanji jipprovdu lir-Renju Unit l-ispazju li fih jiġu indirizzati tliet kwistjonijiet ewlenin ta’ separazzjoni, li huma prekundizzjoni għal diskussjonijiet dwar it-triq’ il quddiem mar-</w:t>
      </w:r>
      <w:r>
        <w:rPr>
          <w:noProof/>
        </w:rPr>
        <w:lastRenderedPageBreak/>
        <w:t>Renju Unit. Kif stqarr il-President Juncker lill-Parlament Ewropew fit-3 ta’ April 2019</w:t>
      </w:r>
      <w:r>
        <w:rPr>
          <w:rStyle w:val="FootnoteReference"/>
          <w:noProof/>
        </w:rPr>
        <w:footnoteReference w:id="6"/>
      </w:r>
      <w:r>
        <w:rPr>
          <w:noProof/>
        </w:rPr>
        <w:t>, dawn il-kwistjonijiet huma (i) li d-drittijiet taċ-ċittadini tal-UE27 u r-Renju Unit li eżerċitaw id-dritt tagħhom għal moviment liberu qabel il-ħruġ xorta waħda jeħtieġu li jkunu onorati u protetti, (ii) li r-Renju Unit xorta jkollu jonora l-impenji finanzjarji tiegħu li saru bħala Stat Membru, u (iii) li xorta tkun trid tinstab soluzzjoni biex tinżamm il-paċi fil-gżira tal-Irlanda u l-integrità tas-suq intern. Ir-Renju Unit għandu jirrispetta bis-sħiħ l-ittra u l-ispirtu tal-Ftehim tal-Ftehim tal-Ġimgħa l-Kbira.</w:t>
      </w:r>
    </w:p>
    <w:p>
      <w:pPr>
        <w:pStyle w:val="Heading"/>
        <w:numPr>
          <w:ilvl w:val="0"/>
          <w:numId w:val="2"/>
        </w:numPr>
        <w:rPr>
          <w:noProof/>
        </w:rPr>
      </w:pPr>
      <w:r>
        <w:rPr>
          <w:noProof/>
        </w:rPr>
        <w:t>Il-preparativi ta’ kontinġenza huma ffinalizzati</w:t>
      </w:r>
    </w:p>
    <w:p>
      <w:pPr>
        <w:pStyle w:val="Body"/>
        <w:rPr>
          <w:noProof/>
        </w:rPr>
      </w:pPr>
      <w:r>
        <w:rPr>
          <w:noProof/>
        </w:rPr>
        <w:t xml:space="preserve">It-tħejjija għall-ħruġ tar-Renju Unit huwa sforz konġunt tal-istituzzjonijiet u l-korpi tal-UE, l-awtoritajiet nazzjonali, reġjonali u lokali, kif ukoll tal-operaturi ekonomiċi. Dawn l-atturi kollha ntalbu jieħdu r-responsabbiltajiet tagħhom biex jippreparaw għall-ħruġ mingħajr ftehim u biex itaffu l-agħar impatti tiegħu. </w:t>
      </w:r>
    </w:p>
    <w:p>
      <w:pPr>
        <w:pStyle w:val="Body"/>
        <w:rPr>
          <w:noProof/>
        </w:rPr>
      </w:pPr>
      <w:r>
        <w:rPr>
          <w:noProof/>
        </w:rPr>
        <w:t>L-istituzzjonijiet u l-korpi tal-UE u l-Istati kif ukoll l-Istati Membri tal-UE27 ilhom iħejju ruħhom b’mod attiv għal xenarju mingħajr ftehim minn Diċembru 2017. Minbarra t-tliet Komunikazzjonijiet li pprovdew gwida politika dwar l-approċċ li għandu jiġi segwit, il-Kummissjoni ppubblikat 92</w:t>
      </w:r>
      <w:r>
        <w:rPr>
          <w:noProof/>
          <w:vertAlign w:val="superscript"/>
        </w:rPr>
        <w:footnoteReference w:id="7"/>
      </w:r>
      <w:r>
        <w:rPr>
          <w:noProof/>
        </w:rPr>
        <w:t xml:space="preserve"> avviż biex tgħin lill-partijiet interessati u lill-awtoritajiet biex iħejju ruħhom. Għamlet ukoll 19-il proposta leġiżlattiva, 18 minnhom ġew adottati u se japplikaw mid-data tal-ħruġ, u waħda, dwar il-baġit tal-UE għall-2019, li se tapplika b’mod retroattiv mid-data tal-ħruġ, ladarba tiġi finalizzata</w:t>
      </w:r>
      <w:r>
        <w:rPr>
          <w:rStyle w:val="FootnoteReference"/>
          <w:noProof/>
        </w:rPr>
        <w:footnoteReference w:id="8"/>
      </w:r>
      <w:r>
        <w:rPr>
          <w:noProof/>
        </w:rPr>
        <w:t>. Il-Kummissjoni adottat ukoll 45 att mhux leġiżlattiv f’għadd ta’ oqsma ta’ politika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>
      <w:pPr>
        <w:pStyle w:val="Body"/>
        <w:rPr>
          <w:noProof/>
        </w:rPr>
      </w:pPr>
      <w:r>
        <w:rPr>
          <w:noProof/>
        </w:rPr>
        <w:t>Il-Kummissjoni kellha diskussjonijiet tekniċi estensivi mal-Istati Membri tal-UE27 kemm dwar kwistjonijiet ġenerali ta’ tħejjija u xogħol ta’ kontinġenza kif ukoll dwar kwistjonijiet settorjali, legali u amministrattivi speċifiċi. Rappreżentanti tal-Kummissjoni żaru l-kapitali tal-Istati Membri kollha tal-UE27 biex jipprovdu ċarezza dwar it-tħejjija tal-Kummissjoni u l-azzjonijiet ta’ kontinġenza kif ukoll biex jiddiskutu pjanijiet nazzjonali ta’ tħejjija u ta’ kontinġenza. Iż-żjarat urew livell għoli ta’ tħejjija mill-Istati Membri għax-xenarji kollha.</w:t>
      </w:r>
    </w:p>
    <w:p>
      <w:pPr>
        <w:pStyle w:val="Body"/>
        <w:rPr>
          <w:noProof/>
        </w:rPr>
      </w:pPr>
      <w:r>
        <w:rPr>
          <w:noProof/>
        </w:rPr>
        <w:t xml:space="preserve">Oqsma ewlenin fejn kienu meħtieġa sforzi ta’ kontinġenza jinkludu d-drittijiet taċ-ċittadini (is-sigurtà soċjali, id-drittijiet taċ-ċittadini u l-ivjaġġar), it-trasport (il-konnettività u sikurezza bażiċi), il-koperazzjoni tal-pulizija u dik ġudizzjarja, il-ġestjoni tal-fruntieri esterni l-ġodda tal-Unjoni mar-Renju Unit, is-sajd u l-baġit tal-Unjoni. L-Unjoni u l-Istati Membri adottaw ukoll miżuri f’oqsma oħra magħżula. </w:t>
      </w:r>
    </w:p>
    <w:p>
      <w:pPr>
        <w:pStyle w:val="Body"/>
        <w:rPr>
          <w:noProof/>
        </w:rPr>
      </w:pPr>
      <w:r>
        <w:rPr>
          <w:noProof/>
        </w:rPr>
        <w:t xml:space="preserve">Għaċ-ċittadini, l-Istati Membri qed jipprovdu kontinwazzjoni tad-drittijiet ta’ residenza (temporanji jew permanenti) </w:t>
      </w:r>
      <w:r>
        <w:rPr>
          <w:noProof/>
          <w:u w:val="single"/>
        </w:rPr>
        <w:t>għal ċittadini tar-Renju Unit</w:t>
      </w:r>
      <w:r>
        <w:rPr>
          <w:noProof/>
        </w:rPr>
        <w:t xml:space="preserve"> li jkunu residenti fl-UE fiż-żmien tal-ħruġ, ispirati mill-approċċ ġeneruż rakkomandat mill-Kummissjoni</w:t>
      </w:r>
      <w:r>
        <w:rPr>
          <w:noProof/>
          <w:vertAlign w:val="superscript"/>
        </w:rPr>
        <w:footnoteReference w:id="10"/>
      </w:r>
      <w:r>
        <w:rPr>
          <w:noProof/>
        </w:rPr>
        <w:t xml:space="preserve">. </w:t>
      </w:r>
    </w:p>
    <w:p>
      <w:pPr>
        <w:pStyle w:val="Body"/>
        <w:rPr>
          <w:noProof/>
        </w:rPr>
      </w:pPr>
      <w:r>
        <w:rPr>
          <w:noProof/>
        </w:rPr>
        <w:t>L-</w:t>
      </w:r>
      <w:r>
        <w:rPr>
          <w:noProof/>
          <w:u w:val="single"/>
        </w:rPr>
        <w:t>intitolament għas-sigurtà soċjali</w:t>
      </w:r>
      <w:r>
        <w:rPr>
          <w:noProof/>
        </w:rPr>
        <w:t xml:space="preserve"> taċ-ċittadini b’rabta mar-Renju Unit qabel il-ħruġ huma protetti. Ir-Regolament ta’ kontinġenza se jiżgura għall-persuni koperti, irrispettivament min-nazzjonalità tagħhom, il-prinċipji tat-trattament ugwali, ta’ assimilazzjoni u l-aggregazzjoni ta’ fatti jew avvenimenti li seħħew, kif ukoll tal-perjodi ta’ residenza, assigurazzjoni jew xogħol li kienu tlestew qabel il-ħruġ</w:t>
      </w:r>
      <w:r>
        <w:rPr>
          <w:noProof/>
          <w:vertAlign w:val="superscript"/>
        </w:rPr>
        <w:footnoteReference w:id="11"/>
      </w:r>
      <w:r>
        <w:rPr>
          <w:noProof/>
        </w:rPr>
        <w:t>. Stati Membri qed jimplimentaw ukoll miżuri fuq livell nazzjonali biex jiżguraw il-protezzjoni tal-intitolamenti tas-sigurtà soċjali għal dawn iċ-ċittadini wara l-ħruġ.</w:t>
      </w:r>
    </w:p>
    <w:p>
      <w:pPr>
        <w:pStyle w:val="Body"/>
        <w:rPr>
          <w:noProof/>
        </w:rPr>
      </w:pPr>
      <w:r>
        <w:rPr>
          <w:noProof/>
        </w:rPr>
        <w:t xml:space="preserve">L-Unjoni qablet ukoll li ċ-ċittadini tar-Renju Unit </w:t>
      </w:r>
      <w:r>
        <w:rPr>
          <w:noProof/>
          <w:u w:val="single"/>
        </w:rPr>
        <w:t>mhux se jkunu jeħtieġu viża</w:t>
      </w:r>
      <w:r>
        <w:rPr>
          <w:noProof/>
        </w:rPr>
        <w:t xml:space="preserve"> meta jivvjaġġaw lejn l-UE għal soġġorni qosra ta’ 90 jum fi kwalunkwe perjodu ta’ 180 jum, għan-negozju u t-turiżmu, sakemm ir-Renju Unit jipprovdi l-istess trattament għaċ-ċittadini kollha tal-UE27</w:t>
      </w:r>
      <w:r>
        <w:rPr>
          <w:noProof/>
          <w:vertAlign w:val="superscript"/>
        </w:rPr>
        <w:footnoteReference w:id="12"/>
      </w:r>
      <w:r>
        <w:rPr>
          <w:noProof/>
        </w:rPr>
        <w:t>.</w:t>
      </w:r>
    </w:p>
    <w:p>
      <w:pPr>
        <w:pStyle w:val="Body"/>
        <w:rPr>
          <w:noProof/>
        </w:rPr>
      </w:pPr>
      <w:r>
        <w:rPr>
          <w:noProof/>
        </w:rPr>
        <w:t xml:space="preserve">Regolamenti ta’ kontinġenza huma wkoll fis-seħħ biex </w:t>
      </w:r>
      <w:r>
        <w:rPr>
          <w:noProof/>
          <w:u w:val="single"/>
        </w:rPr>
        <w:t>jinżammu konnessjonijiet essenzjali ta’ trasport</w:t>
      </w:r>
      <w:r>
        <w:rPr>
          <w:noProof/>
        </w:rPr>
        <w:t xml:space="preserve"> għall-mezzi ewlenin tat-trasport: l-avjazzjoni</w:t>
      </w:r>
      <w:r>
        <w:rPr>
          <w:noProof/>
          <w:vertAlign w:val="superscript"/>
        </w:rPr>
        <w:footnoteReference w:id="13"/>
      </w:r>
      <w:r>
        <w:rPr>
          <w:noProof/>
        </w:rPr>
        <w:t>, il-ferrovija</w:t>
      </w:r>
      <w:r>
        <w:rPr>
          <w:noProof/>
          <w:vertAlign w:val="superscript"/>
        </w:rPr>
        <w:footnoteReference w:id="14"/>
      </w:r>
      <w:r>
        <w:rPr>
          <w:noProof/>
        </w:rPr>
        <w:t>, kif ukoll it-toroq kemm għall-passiġġieri kif ukoll għall-merkanzija</w:t>
      </w:r>
      <w:r>
        <w:rPr>
          <w:noProof/>
          <w:vertAlign w:val="superscript"/>
        </w:rPr>
        <w:footnoteReference w:id="15"/>
      </w:r>
      <w:r>
        <w:rPr>
          <w:noProof/>
        </w:rPr>
        <w:t xml:space="preserve">. </w:t>
      </w:r>
    </w:p>
    <w:p>
      <w:pPr>
        <w:pStyle w:val="Body"/>
        <w:rPr>
          <w:noProof/>
        </w:rPr>
      </w:pPr>
      <w:r>
        <w:rPr>
          <w:noProof/>
        </w:rPr>
        <w:t>Wara l-ħruġ tar-Renju Unit mill-Unjoni, il-</w:t>
      </w:r>
      <w:r>
        <w:rPr>
          <w:noProof/>
          <w:u w:val="single"/>
        </w:rPr>
        <w:t>kooperazzjoni tal-pulizija u dik ġudizzjarja</w:t>
      </w:r>
      <w:r>
        <w:rPr>
          <w:noProof/>
        </w:rPr>
        <w:t xml:space="preserve"> se sseħħ fuq il-bażi ta’ konvenzjonijiet internazzjonali multilaterali, pjuttost milli fuq il-bażi tal-liġi tal-UE. L-istituzzjonijiet tal-UE u l-Istati Membri flimkien identifikaw l-istrumenti xierqa li jistgħu jintużaw f’dan il-kuntest. L-Istati Membri investew fi sforzi sinifikanti biex jiżguraw li dawn l-istrumenti jkunu operattivi sad-data tal-ħruġ. </w:t>
      </w:r>
    </w:p>
    <w:p>
      <w:pPr>
        <w:pStyle w:val="Body"/>
        <w:rPr>
          <w:noProof/>
        </w:rPr>
      </w:pPr>
      <w:r>
        <w:rPr>
          <w:noProof/>
        </w:rPr>
        <w:t xml:space="preserve">L-Istati Membri ħadmu mill-qrib mal-istituzzjonijiet tal-UE biex jiżguraw li tinżamm l-integrità tas-suq intern billi jiġu stabbiliti infrastruttura u riżorsi xierqa biex jitwettqu </w:t>
      </w:r>
      <w:r>
        <w:rPr>
          <w:noProof/>
          <w:u w:val="single"/>
        </w:rPr>
        <w:t>formalitajiet u kontrolli doganali</w:t>
      </w:r>
      <w:r>
        <w:rPr>
          <w:noProof/>
        </w:rPr>
        <w:t xml:space="preserve"> kif ukoll </w:t>
      </w:r>
      <w:r>
        <w:rPr>
          <w:noProof/>
          <w:u w:val="single"/>
        </w:rPr>
        <w:t>verifiki sanitarji u fitosanitarji</w:t>
      </w:r>
      <w:r>
        <w:rPr>
          <w:noProof/>
        </w:rPr>
        <w:t xml:space="preserve"> tal-oġġetti fil-fruntiera. </w:t>
      </w:r>
    </w:p>
    <w:p>
      <w:pPr>
        <w:pStyle w:val="Body"/>
        <w:rPr>
          <w:noProof/>
        </w:rPr>
      </w:pPr>
      <w:r>
        <w:rPr>
          <w:noProof/>
        </w:rPr>
        <w:t>Fis-</w:t>
      </w:r>
      <w:r>
        <w:rPr>
          <w:noProof/>
          <w:u w:val="single"/>
        </w:rPr>
        <w:t>settur finanzjarju</w:t>
      </w:r>
      <w:r>
        <w:rPr>
          <w:noProof/>
        </w:rPr>
        <w:t>, tqiesu bħala neċessarji biss numru limitat ta’ miżuri tal-UE biex jitnaqqsu kemm jista’ jkun ir-riskji għall-istabbiltà finanzjarja fl-Unjoni Ewropea. Din id-deċiżjoni kienet ibbażata fuq analiżi konġunta bejn il-Kummissjoni, il-Bank Ċentrali Ewropew, il-Bord Uniku ta' Riżoluzzjoni u l-Awtorità Superviżorja Ewropea, u fuq l-analiżi ta’ grupp tekniku konġunt bejn il-Bank Ċentrali Ewropew u l-Bank tal-Ingilterra.</w:t>
      </w:r>
    </w:p>
    <w:p>
      <w:pPr>
        <w:pStyle w:val="Body"/>
        <w:rPr>
          <w:noProof/>
        </w:rPr>
      </w:pPr>
      <w:r>
        <w:rPr>
          <w:noProof/>
        </w:rPr>
        <w:t>Fir-rigward tal-</w:t>
      </w:r>
      <w:r>
        <w:rPr>
          <w:noProof/>
          <w:u w:val="single"/>
        </w:rPr>
        <w:t>attivitajiet tas-sajd</w:t>
      </w:r>
      <w:r>
        <w:rPr>
          <w:noProof/>
        </w:rPr>
        <w:t>, il-miżuri meħuda se jippermettu aċċess reċiproku kontinwu mill-bastimenti tal-Unjoni u tar-Renju Unit għall-ilmijiet ta’ xulxin matul l-2019</w:t>
      </w:r>
      <w:r>
        <w:rPr>
          <w:noProof/>
          <w:vertAlign w:val="superscript"/>
        </w:rPr>
        <w:footnoteReference w:id="16"/>
      </w:r>
      <w:r>
        <w:rPr>
          <w:noProof/>
        </w:rPr>
        <w:t>, jekk ir-Renju Unit jagħti aċċess lill-bastimenti tal-Unjoni u jirrispetta r-Regolament tal-2019 dwar l-Opportunitajiet tas-Sajd</w:t>
      </w:r>
      <w:r>
        <w:rPr>
          <w:rStyle w:val="FootnoteReference"/>
          <w:noProof/>
        </w:rPr>
        <w:footnoteReference w:id="17"/>
      </w:r>
      <w:r>
        <w:rPr>
          <w:noProof/>
        </w:rPr>
        <w:t>. Jekk dan ma jkunx il-każ, ikun disponibbli appoġġ finanzjarju għas-sajjieda tal-UE jekk ikun hemm waqfien temporanju tal-attivitajiet tagħhom</w:t>
      </w:r>
      <w:r>
        <w:rPr>
          <w:noProof/>
          <w:vertAlign w:val="superscript"/>
        </w:rPr>
        <w:footnoteReference w:id="18"/>
      </w:r>
      <w:r>
        <w:rPr>
          <w:noProof/>
        </w:rPr>
        <w:t>.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Dawn il-miżuri kollha se jtaffu għal perjodu ta’ żmien l-akbar tfixkil li jirriżulta minn ħruġ diżordinat tar-Renju Unit, kif muri fit-tabella fl-Anness 1 ta’ din il-Komunikazzjoni.</w:t>
      </w:r>
    </w:p>
    <w:p>
      <w:pPr>
        <w:pStyle w:val="Heading"/>
        <w:numPr>
          <w:ilvl w:val="0"/>
          <w:numId w:val="2"/>
        </w:numPr>
        <w:rPr>
          <w:noProof/>
        </w:rPr>
      </w:pPr>
      <w:r>
        <w:rPr>
          <w:noProof/>
        </w:rPr>
        <w:t>Il-Baġit tal-2019 u appoġġ finanzjarju addizzjonali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Il-Kummissjoni adottat proposta għal Regolament ta’ kontinġenza li jipprovdi li l-pagament tal-fondi mill-baġit ġenerali tal-UE lil riċevituri fir-Renju Unit jista’ jkompli matul l-2019 jekk ir-Renju Unit ikompli jħallas il-kontribuzzjonijiet baġitarji tiegħu għall-2019 u jippermetti li jsiru l-awditi u l-kontrolli meħtieġa</w:t>
      </w:r>
      <w:r>
        <w:rPr>
          <w:noProof/>
          <w:vertAlign w:val="superscript"/>
        </w:rPr>
        <w:footnoteReference w:id="19"/>
      </w:r>
      <w:r>
        <w:rPr>
          <w:noProof/>
        </w:rPr>
        <w:t>. Jekk ir-Renju Unit ma jaqbilx li jikkontribwixxi għall-finanzjament tal-baġit tal-2019 kif stabbilit fir-Regolament ta’ kontinġenza propost, il-Kummissjoni se tippreżenta Abbozz ta’ Baġit Emendatorju fiż-żmien dovut sabiex jiġi indirizzat in-nuqqas finanzjarju li jirriżulta. F'dan il-kuntest, il-Kummissjoni tappella lill-Parlament u lill-Kunsill biex jadottaw formalment il-proposta.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Anke fin-nuqqas ta’ dawn il-kontribuzzjonijiet, l-Unjoni ddeċidiet li ċerti attivitajiet għandhom ikomplu fi kwalunkwe każ. Il-Programm PEACE IV u l-programm ta’ kooperazzjoni bejn ir-Renju Unit u l-Irlanda se jkomplu peress li dawn jipprovdu appoġġ essenzjali għall-paċi fl-Irlanda ta’ Fuq u fl-Irlanda</w:t>
      </w:r>
      <w:r>
        <w:rPr>
          <w:noProof/>
          <w:vertAlign w:val="superscript"/>
        </w:rPr>
        <w:footnoteReference w:id="20"/>
      </w:r>
      <w:r>
        <w:rPr>
          <w:noProof/>
        </w:rPr>
        <w:t>. L-attivitajiet attwali Erasmus+ kollha ta’ mobbiltà għat-tagħlim li jinvolvu lir-Renju Unit, u li bdew sad-data tal-ħruġ, jistgħu jiġu konklużi wkoll, sabiex jiġi evitat tfixkil għall-istudenti kif ukoll għall-istituzzjonijiet emittenti u ospitanti tagħhom</w:t>
      </w:r>
      <w:r>
        <w:rPr>
          <w:noProof/>
          <w:vertAlign w:val="superscript"/>
        </w:rPr>
        <w:footnoteReference w:id="21"/>
      </w:r>
      <w:r>
        <w:rPr>
          <w:noProof/>
        </w:rPr>
        <w:t xml:space="preserve">. 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 xml:space="preserve">Barra minn hekk, organizzazzjonijiet tan-negozju u partijiet interessati argumentaw li l-appoġġ finanzjarju mill-Unjoni jista’ jkun meħtieġ biex jittaffew l-effetti ekonomiċi ta’ ħruġ diżordinat tar-Renju Unit mill-Unjoni. L-impatt ta’ ħruġ mingħajr ftehim se jinħass madwar l-Unjoni Ewropea, iżda huwa ċar li xi reġjuni u setturi ekonomiċi se jkunu affettwati b’mod aktar sinifikanti. 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L-ewwel nett, huma l-Istati Membri li huma ġirien mar-Renju Unit li se jintlaqtu minn kosti sinifikanti.. Għalkemm l-Istati Membri kollha se jkollhom iwettqu verifiki u kontrolli marbuta mar-regoli doganali, regolamenti sanitarji u fitosanitarji u standards oħra ta’ sigurtà u sikurezza, għal uħud mill-Istati Membri l-volum se jkun partikolarment għoli. Għal din ir-raġuni, kellhom jibnu postijiet ġodda ta' kontroll fuq il-fruntiera jew kellhom itejbu dawk eżistenti. It-tieni, l-ispiża ekonomika se tkun partikolarment għolja għal setturi li huma l-iktar esposti għar-Renju Unit. Dan huwa l-każ, pereżempju, għall-esportaturi agroalimentari li għandhom fil-mira s-suq tar-Renju Unit, in-negozji tas-sajd li jiddependu fuq l-aċċess għall-ilmijiet tar-Renju Unit, u negozji turistiċi f’reġjuni li huma popolari mat-turisti mir-Renju Unit. It-tielet, deher ċar matul il-ħidma ta’ tħejjija tal-Kummissjoni li l-impriżi żgħar u ta’ daqs medju (SMEs) li jinnegozjaw mar-Renju Unit huma inqas mgħammra biex iħejju ruħhom milli huma kumpaniji kbar. SMEs kultant ma jkollhomx il-kapaċità amministrattiva u ġuridika li jimplimentaw pjan sħiħ ta’ kontinġenza.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Filwaqt li hija ċara l-ħtieġa għal appoġġ finanzjarju, għandhom jitqiesu l-limitazzjonijiet li jirriżultaw minn ħruġ mingħajr ftehim. Il-Kummissjoni argumentat b’mod konsistenti li r-Renju Unit jibqa’ marbut bl-obbligi finanzjarji tiegħu lejn l-Unjoni Ewropea fix-xenarji kollha, u l-Unjoni Ewropea se tirrispetta bl-istess mod l-obbligi finanzjarji tagħha lejn ir-Renju Unit, inkluż f’xenarju ta’ ħruġ mingħajr ftehim.</w:t>
      </w:r>
    </w:p>
    <w:p>
      <w:pPr>
        <w:pStyle w:val="Body"/>
        <w:rPr>
          <w:rFonts w:eastAsia="Arial Unicode MS" w:cs="Arial Unicode MS"/>
          <w:noProof/>
        </w:rPr>
      </w:pPr>
      <w:r>
        <w:rPr>
          <w:noProof/>
        </w:rPr>
        <w:t>Fuq dan l-isfond, il-Kummissjoni esplorat kif programmi u strumenti eżistenti tal-baġit tal-Unjoni, wara l-aġġustament neċessarju, jistgħu jkunu mobilizzati f’każ li ma jsir ebda ftehim. Dan għandu l-għan li jtaffi l-impatt f’oqsma fejn jinħass l-iktar, fil-limitu tal-fondi disponibbli. Dawn il-miżuri se jkunu proposti b’konsiderazzjoni dovuta għall-aġġustamenti kemm in-naħa tan-nefqa kif ukoll dik tad-dħul tal-baġit tal-UE li jista’ jirriżulta minn ħruġ diżordinat u bl-użu sħiħ tal-istrumenti baġitarji eżistenti u riżorsi disponibbli. Permezz tar-riprogrammazzjoni ta’ ċerti fondi strutturali, l-attivazzjoni ta’ miżuri kontra t-tfixkil tas-swieq agrikoli abbażi tar-Regolament dwar l-Organizzazzjoni tas-Suq Komuni</w:t>
      </w:r>
      <w:r>
        <w:rPr>
          <w:rStyle w:val="FootnoteReference"/>
          <w:noProof/>
        </w:rPr>
        <w:footnoteReference w:id="22"/>
      </w:r>
      <w:r>
        <w:rPr>
          <w:noProof/>
        </w:rPr>
        <w:t>, inkluż l-użu tar-riżorsi finanzjarji kollha possibbli, u permezz tal-użu ta’ strumenti speċifiċi bħall-programm għall-Kompetittività u tal-Intrapriżi u l-SMEs (COSME), il-Fond Ewropew ta' Aġġustament għall-Globalizzazzjoni (FEG), il-Fond ta’ Solidarjetà u l-Fond Ewropew għall-Investimenti Strateġiċi (FEIS), jistgħu jsir disponibbli finanzjament dedikat taħt il-baġit tal-UE f’każ ta’ rtirar mingħajr ftehim.</w:t>
      </w:r>
    </w:p>
    <w:p>
      <w:pPr>
        <w:pStyle w:val="Text1"/>
        <w:ind w:left="0"/>
        <w:rPr>
          <w:noProof/>
        </w:rPr>
      </w:pPr>
      <w:r>
        <w:rPr>
          <w:noProof/>
        </w:rPr>
        <w:t>Għal appoġġ immedjat għall-partijiet interessati affettwati, pereżempju intrapriżi żgħar u ta’ daqs medju b’esponiment sinifikanti għar-Renju Unit, ir-regoli dwar l-għajnuna mill-Istat tal-UE joffru soluzzjonijiet flessibbli għal miżuri ta’ appoġġ nazzjonali.</w:t>
      </w:r>
    </w:p>
    <w:p>
      <w:pPr>
        <w:pStyle w:val="Heading"/>
        <w:numPr>
          <w:ilvl w:val="0"/>
          <w:numId w:val="2"/>
        </w:numPr>
        <w:rPr>
          <w:noProof/>
        </w:rPr>
      </w:pPr>
      <w:r>
        <w:rPr>
          <w:noProof/>
        </w:rPr>
        <w:t>Gwida dwar approċċ koordinat wara rtirar diżordinat</w:t>
      </w:r>
    </w:p>
    <w:p>
      <w:pPr>
        <w:pStyle w:val="Text1"/>
        <w:ind w:left="0"/>
        <w:rPr>
          <w:noProof/>
        </w:rPr>
      </w:pPr>
      <w:r>
        <w:rPr>
          <w:noProof/>
        </w:rPr>
        <w:t>L-unità u s-solidarjetà murija mill-Istati Membri UE27 matul in-negozjati mar-Renju Unit u t-tħejjijiet għall-ħruġ kellhom għan komuni, minkejja l-livelli differenti ta’ esponiment ekonomiku għar-Renju Unit madwar l-Unjoni. Huwa kruċjali li l-passi meħuda wara ħruġ diżordinat jibqgħu koordinati u konsistenti. Din l-unità ssaħħaħ l-effettività ta’ kwalunkwe azzjoni korrettiva, tissalvagwardja r-regoli komuni tagħna u kundizzjonijiet ekwi, iżżid il-prevedibbiltà għal dawk l-agħar milquta, u tippreserva l-objettivi ta’ negozjar tal-Unjoni għal taħditiet dwar relazzjoni futura mar-Renju Unit. Għal dawn ir-raġunijiet, ftehimiet bilaterali bejn l-Istati Membri u r-Renju Unit għandhom jiġu evitati.</w:t>
      </w:r>
    </w:p>
    <w:p>
      <w:pPr>
        <w:pStyle w:val="Text1"/>
        <w:spacing w:after="0"/>
        <w:ind w:left="0"/>
        <w:rPr>
          <w:noProof/>
        </w:rPr>
      </w:pPr>
      <w:r>
        <w:rPr>
          <w:noProof/>
        </w:rPr>
        <w:t xml:space="preserve">Sabiex jingħata appoġġ addizzjonali lill-Istati Membri li jimplimentaw miżuri ta’ kontinġenza, il-Kummissjoni llum qed tipprovdi gwida addizzjonali f’ħames oqsma ewlenin. Dawn se jgħinu biex jiġi żgurat li l-miżuri ta’ kontinġenza jiġu implimentati mingħajr xkiel, u se jgħinu wkoll biex jinkiseb u jinżamm approċċ koordinat: </w:t>
      </w:r>
    </w:p>
    <w:p>
      <w:pPr>
        <w:pStyle w:val="Text1"/>
        <w:numPr>
          <w:ilvl w:val="0"/>
          <w:numId w:val="4"/>
        </w:numPr>
        <w:spacing w:after="0"/>
        <w:ind w:left="714" w:hanging="357"/>
        <w:rPr>
          <w:noProof/>
        </w:rPr>
      </w:pPr>
      <w:r>
        <w:rPr>
          <w:noProof/>
        </w:rPr>
        <w:t xml:space="preserve">Residenza taċ-ċittadini u intitolamenti għas-sigurtà soċjali; </w:t>
      </w:r>
    </w:p>
    <w:p>
      <w:pPr>
        <w:pStyle w:val="Text1"/>
        <w:numPr>
          <w:ilvl w:val="0"/>
          <w:numId w:val="4"/>
        </w:numPr>
        <w:spacing w:after="0"/>
        <w:ind w:left="714" w:hanging="357"/>
        <w:rPr>
          <w:noProof/>
        </w:rPr>
      </w:pPr>
      <w:r>
        <w:rPr>
          <w:noProof/>
        </w:rPr>
        <w:t xml:space="preserve">koperazzjoni tal-pulizija u ġudizzjarja f'materji kriminali; </w:t>
      </w:r>
    </w:p>
    <w:p>
      <w:pPr>
        <w:pStyle w:val="Text1"/>
        <w:numPr>
          <w:ilvl w:val="0"/>
          <w:numId w:val="4"/>
        </w:numPr>
        <w:spacing w:after="0"/>
        <w:ind w:left="714" w:hanging="357"/>
        <w:rPr>
          <w:noProof/>
        </w:rPr>
      </w:pPr>
      <w:r>
        <w:rPr>
          <w:noProof/>
        </w:rPr>
        <w:t xml:space="preserve">prodotti mediċinali u apparat mediku; </w:t>
      </w:r>
    </w:p>
    <w:p>
      <w:pPr>
        <w:pStyle w:val="Text1"/>
        <w:numPr>
          <w:ilvl w:val="0"/>
          <w:numId w:val="4"/>
        </w:numPr>
        <w:spacing w:after="0"/>
        <w:ind w:left="714" w:hanging="357"/>
        <w:rPr>
          <w:noProof/>
        </w:rPr>
      </w:pPr>
      <w:r>
        <w:rPr>
          <w:noProof/>
        </w:rPr>
        <w:t>Attivitajiet tas-sajd; kif ukoll</w:t>
      </w:r>
    </w:p>
    <w:p>
      <w:pPr>
        <w:pStyle w:val="Text1"/>
        <w:numPr>
          <w:ilvl w:val="0"/>
          <w:numId w:val="4"/>
        </w:numPr>
        <w:rPr>
          <w:noProof/>
        </w:rPr>
      </w:pPr>
      <w:r>
        <w:rPr>
          <w:noProof/>
        </w:rPr>
        <w:t>protezzjoni tad-</w:t>
      </w:r>
      <w:r>
        <w:rPr>
          <w:i/>
          <w:noProof/>
        </w:rPr>
        <w:t>data</w:t>
      </w:r>
      <w:r>
        <w:rPr>
          <w:noProof/>
        </w:rPr>
        <w:t xml:space="preserve">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Il-Kummissjoni se tipprovdi gwida addizzjonali, jekk ikun hemm bżonn. Il-Kummissjoni tibqa’ għad-dispożizzjoni tal-Istati Membri tal-UE27 biex tiddiskuti kwistjonijiet li jikkonċernaw l-impatt ta’ ħruġ mingħajr ftehim, li tkompli l-kooperazzjoni trasparenti u intensa li kkaratterizzat il-perjodu ta’ negozjati. Fil-perjodu wara l-ħruġ, l-Istati Membri huma mħeġġa jirrapportaw lill-Kummissjoni kif ukoll lil xulxin problemi li jirriżultaw, previsti u mhux previsti, kif ukoll l-aħjar prattiki identifikati biex jittrattawhom, għall-benefiċċju tal-Istati Membri kollha. Għall-perjodu immedjatament wara l-ħruġ, il-Kummissjoni stabbiliet </w:t>
      </w:r>
      <w:r>
        <w:rPr>
          <w:noProof/>
          <w:u w:val="single"/>
        </w:rPr>
        <w:t>ċentru telefoniku</w:t>
      </w:r>
      <w:r>
        <w:rPr>
          <w:noProof/>
        </w:rPr>
        <w:t xml:space="preserve"> għall-</w:t>
      </w:r>
      <w:r>
        <w:rPr>
          <w:noProof/>
          <w:u w:val="single"/>
        </w:rPr>
        <w:t>amministrazzjonijiet tal-Istati Membri</w:t>
      </w:r>
      <w:r>
        <w:rPr>
          <w:noProof/>
        </w:rPr>
        <w:t xml:space="preserve">, li jagħtihom aċċess għall-għarfien espert tal-Kummissjoni. </w:t>
      </w:r>
      <w:r>
        <w:rPr>
          <w:noProof/>
          <w:u w:val="single"/>
        </w:rPr>
        <w:t>Ċittadin tal-UE, negozji u partijiet interessati oħra</w:t>
      </w:r>
      <w:r>
        <w:rPr>
          <w:noProof/>
        </w:rPr>
        <w:t xml:space="preserve"> jistgħu jikkuntattjaw lil </w:t>
      </w:r>
      <w:r>
        <w:rPr>
          <w:noProof/>
          <w:u w:val="single"/>
        </w:rPr>
        <w:t>Europe Direct</w:t>
      </w:r>
      <w:r>
        <w:rPr>
          <w:noProof/>
        </w:rPr>
        <w:t xml:space="preserve"> għal kwalunkwe mistoqsija (Freephone 00 800 6 7 8 9 10 11 minn kullimkien fl-UE).</w:t>
      </w:r>
    </w:p>
    <w:p>
      <w:pPr>
        <w:pStyle w:val="Heading"/>
        <w:numPr>
          <w:ilvl w:val="0"/>
          <w:numId w:val="2"/>
        </w:numPr>
        <w:rPr>
          <w:b w:val="0"/>
          <w:noProof/>
        </w:rPr>
      </w:pPr>
      <w:r>
        <w:rPr>
          <w:noProof/>
        </w:rPr>
        <w:t>Konklużjoni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Mir-referendum tar-Renju Unit fit-23 ta’ Ġunju 2016, l-Unjoni esprimiet b’mod konsistenti d-dispjaċir tagħha u r-rispett għad-deċiżjoni tar-Renju Unit li joħroġ mill-Unjoni. Il-Kummissjoni tkompli ssostni l-fehma li rtirar ordnat skont il-Ftehim dwar il-Ħruġ hija l-aħjar għażla possibbli. Madankollu, ħruġ diżordinat jista’ jiġi evitat biss jekk ir-Renju Unit jirratifika l-Ftehim ta’ Ħruġ. </w:t>
      </w:r>
    </w:p>
    <w:p>
      <w:pPr>
        <w:pStyle w:val="Text1"/>
        <w:ind w:left="0"/>
        <w:rPr>
          <w:noProof/>
        </w:rPr>
      </w:pPr>
      <w:r>
        <w:rPr>
          <w:noProof/>
        </w:rPr>
        <w:t>L-UE għalhekk ħadet il-miżuri neċessarji biex tkun ippreparata għal ħruġ mingħajr ftehim, filwaqt li tibqa’ determinata li tevita tali eżitu. L-unità u s-solidarjetà bejn l-Istati Membri se jibqgħu jkunu meħtieġa, biex iwieġbu għall-isfidi li se jinqalgħu u biex ikomplu jitħarsu l-valuri ewlenin tal-Unjoni.</w:t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020" w:right="1701" w:bottom="1020" w:left="1587" w:header="601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Id-Deċiżjoni tal-Kunsill Ewropew 2019/476 li ttieħdet bi qbil mar-Renju Unit tat-22 ta’ Marzu 2019 li testendi l-perjodu skont l-Artikolu 50(3)TUE, ĠU L 80I, 22.3.2019, p. 1.</w:t>
      </w:r>
    </w:p>
  </w:footnote>
  <w:footnote w:id="3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COM(2018) 556.</w:t>
      </w:r>
    </w:p>
  </w:footnote>
  <w:footnote w:id="4">
    <w:p>
      <w:pPr>
        <w:pStyle w:val="FootnoteText"/>
        <w:rPr>
          <w:color w:val="auto"/>
        </w:rPr>
      </w:pPr>
      <w:r>
        <w:rPr>
          <w:vertAlign w:val="superscript"/>
        </w:rPr>
        <w:footnoteRef/>
      </w:r>
      <w:r>
        <w:t xml:space="preserve"> </w:t>
      </w:r>
      <w:r>
        <w:tab/>
      </w:r>
      <w:r>
        <w:rPr>
          <w:color w:val="auto"/>
          <w:u w:color="444444"/>
        </w:rPr>
        <w:t>COM(2018) 880.</w:t>
      </w:r>
    </w:p>
  </w:footnote>
  <w:footnote w:id="5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COM(2018) 890.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Dikjarazzjoni mill-President Juncker dwar il-ħruġ tar-Renju mill-Unjoni Ewropea fis-sessjoni plenarja tal-Parlament Ewropew, Brussell, it-3 ta’ April 2019, </w:t>
      </w:r>
      <w:hyperlink r:id="rId1">
        <w:r>
          <w:rPr>
            <w:rStyle w:val="Hyperlink"/>
          </w:rPr>
          <w:t>http://europa.eu/rapid/press-release_SPEECH-19-1970_en.htm</w:t>
        </w:r>
      </w:hyperlink>
      <w:r>
        <w:t xml:space="preserve">. </w:t>
      </w:r>
    </w:p>
  </w:footnote>
  <w:footnote w:id="7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</w:r>
      <w:hyperlink r:id="rId2">
        <w:r>
          <w:rPr>
            <w:rStyle w:val="Hyperlink0"/>
          </w:rPr>
          <w:t>https://ec.europa.eu/info/brexit/brexit-preparedness/preparedness-notices_mt</w:t>
        </w:r>
      </w:hyperlink>
      <w:r>
        <w:rPr>
          <w:rStyle w:val="Hyperlink0"/>
        </w:rPr>
        <w:t>.</w:t>
      </w:r>
      <w:r>
        <w:t xml:space="preserve">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Il-Parlament Ewropew huwa mistenni li jagħti l-kunsens tiegħu għall-proposta matul il-laqgħa plenarja tiegħu li tibda fil-15 ta’ April 2019.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Dsatax-il att addizzjonali mhux leġiżlattiv jinsabu fil-proċess li jiġu adottati, skont is-sottomissjonijiet mir-Renju Unit u atturi esterni oħra.</w:t>
      </w:r>
    </w:p>
  </w:footnote>
  <w:footnote w:id="10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 xml:space="preserve">Lista ta’ drittijiet ta’ residenza mogħtija liċ-ċittadini tar-Renju Unit fl-Istati tal-UE hija disponibbli fuq is-sit web tal-Kummissjoni: </w:t>
      </w:r>
      <w:hyperlink r:id="rId3">
        <w:r>
          <w:rPr>
            <w:rStyle w:val="Hyperlink0"/>
          </w:rPr>
          <w:t>https://ec.europa.eu/info/brexit/brexit-preparedness/residence-rights-uk-nationals-eu-member-states_mt</w:t>
        </w:r>
      </w:hyperlink>
      <w:r>
        <w:t>.</w:t>
      </w:r>
    </w:p>
  </w:footnote>
  <w:footnote w:id="11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2019/500 tal-Parlament Ewropew u tal-Kunsill tal-25 ta’ Marzu 2019 li jistabbilixxi miżuri ta' kontinġenza fil-qasam tal-koordinazzjoni tas-sigurtà soċjali wara l-ħruġ tar-Renju Unit mill-Unjoni Ewropea, ĠU L 85I, 27.3.2019, p. 35.</w:t>
      </w:r>
    </w:p>
  </w:footnote>
  <w:footnote w:id="12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Emenda għar-Regolament (UE) 2018/1806 tal-Parlament Ewropew u tal-Kunsill tal-14 ta’ Novembru 2018 li jelenka l-pajjiżi terzi li ċ-ċittadini tagħhom għandhom ikollhom viża fil-pussess tagħhom meta jaqsmu l-fruntieri esterni u dawk li ċ-ċittadini tagħhom huma eżenti minn dik il-ħtieġa. L-adozzjoni formali se sseħħ fil-jiem li ġejjin.</w:t>
      </w:r>
    </w:p>
  </w:footnote>
  <w:footnote w:id="13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2019/494 tal-Parlament Ewropew u tal-Kunsill tal-25 ta’ Marzu 2019 dwar ċerti aspetti tas-sikurezza tal-avjazzjoni fir-rigward tal-ħruġ tar-Renju Unit tal-Gran Brittanja u l-Irlanda ta' Fuq mill-Unjoni, ĠU L 85I, 27.3.2019, p. 11; u r-Regolament (UE) 2019/502 tal-Parlament Ewropew u tal-Kunsill tal-25 ta’ Marzu 2019 dwar regoli komuni biex tiġi żgurata konnettività bażika fit-trasport bl-ajru fir-rigward tal-ħruġ tar-Renju Unit tal-Gran Brittanja u l-Irlanda ta' Fuq mill-Unjoni, ĠU L 85I, 27.3.2019, p. 49.</w:t>
      </w:r>
    </w:p>
  </w:footnote>
  <w:footnote w:id="14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2019/503 tal-Parlament Ewropew u tal-Kunsill tal-25 ta’ Marzu 2019 dwar ċerti aspetti ta' sikurezza u konnettività ferrovjarja fir-rigward tal-ħruġ tar-Renju Unit mill-Unjoni ĠU L 85I, 27.3.2019, p. 60.</w:t>
      </w:r>
    </w:p>
  </w:footnote>
  <w:footnote w:id="15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2019/501 tal-Parlament Ewropew u tal-Kunsill tal-25 ta’ Marzu 2019 dwar regoli komuni li jiżguraw il-konnettività bażika tat-trasport tal-merkanzija bit-triq u tal- passiġġieri bit-triq fir-rigward tal-ħruġ tar-Renju Unit tal-Gran Brittanja u l-Irlanda ta' Fuq mill-Unjoni, ĠU L 85I, 27.3.2019, p. 39.</w:t>
      </w:r>
    </w:p>
  </w:footnote>
  <w:footnote w:id="16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2017/2403 tal-Parlament Ewropew u tal-Kunsill tal-25 ta’ Marzu 2019 li jemenda r-Regolament (UE) 2017/2403 fir-rigward tal-awtorizzazzjonijiet tas-sajd għall-bastimenti tas-sajd tal-Unjoni fl-ilmijiet tar-Renju Unit u għall-operazzjonijiet tal-bastimenti tas- sajd tar-Renju Unit fl-ilmijiet tal-Unjoni, ĠU L 85I, 27.3.2019, p. 25.</w:t>
      </w:r>
    </w:p>
  </w:footnote>
  <w:footnote w:id="17">
    <w:p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Ir-Regolament tal-Kunsill (UE) 2019/124 tat-30 ta’ Jannar 2019 li jistabbilixxi għall-2019 l-opportunitajiet tas-sajd għal ċerti stokkijiet tal-ħut u ċerti gruppi ta' stokkijiet tal-ħut, ĠU L 29, 31.1.2019, p. 1; u r-Regolament tal-Kunsill (UE) 2018/2025 tas-17 ta' Diċembru 2018 li jiffissa l-opportunitajiet tas-sajd għall-bastimenti tas-sajd tal-Unjoni għal ċerti stokkijiet ta' ħut tal-baħar fond għall-2019 u għall-2020, ĠU L 325, 20.12.2018, p. 7.</w:t>
      </w:r>
    </w:p>
  </w:footnote>
  <w:footnote w:id="18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2019/497 tal-Parlament Ewropew u tal-Kunsill tal-25 ta’ Marzu 2019 li jemenda r-Regolament (UE) Nru 508/2014 fir-rigward ta' ċerti regoli relatati mal-Fond Ewropew għall-Affarijiet Marittimi u s-Sajd wara l-ħruġ tar-Renju Unit mill-Unjoni, ĠU L 85I, 27.3.2019, p. 22.</w:t>
      </w:r>
    </w:p>
  </w:footnote>
  <w:footnote w:id="19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Proposta għal Regolament tal-Kunsill dwar miżuri li jikkonċernaw l-implimentazzjoni u l-finanzjament tal-baġit ġenerali tal-Unjoni fl-2019 fir-rigward tal-ħruġ tar-Renju Unit mill-Unjoni COM/2019/64 final. Il-proposta ġiet approvata mill-Kunsill.</w:t>
      </w:r>
    </w:p>
  </w:footnote>
  <w:footnote w:id="20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2019/491 tal-Parlament Ewropew u tal-Kunsill tal-25 ta’ Marzu 2019 sabiex ikunu jistgħu jitkomplew il-programmi għall-kooperazzjoni territorjali PEACE IV (l-Irlanda-ir-Renju Unit) u għar-Renju Unit - l-Irlanda (l-Irlanda - l-Irlanda ta' Fuq - l-Iskozja) fil-kuntest tal- ħruġ tar-Renju Unit mill-Unjoni, ĠU L 85I, 27.3.2019, p. 1.</w:t>
      </w:r>
    </w:p>
  </w:footnote>
  <w:footnote w:id="21">
    <w:p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>Ir-Regolament (UE) 2019/499 tal-Parlament Ewropew u tal-Kunsill tal-25 ta’ Marzu 2019 li jistabbilixxi dispożizzjonijiet għall-kontinwazzjoni ta' attivitajiet ta' mobbiltà fit-tagħlim li jkunu għaddejjin taħt il-programm Erasmus+ stabbilit mir-Regolament (UE) Nru 1288/2013, fil-kuntest tal-ħruġ tar-Renju Unit mill-Unjoni, ĠU L 85I , 27.3.2019, p. 32.</w:t>
      </w:r>
    </w:p>
  </w:footnote>
  <w:footnote w:id="22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  <w:t>Ir-Regolament (UE) Nru 1308/2013 tal-Parlament Ewropew u tal-Kunsill tas-17 Diċembru 2013 li jistabbilixxi organizzazzjoni komuni tas-swieq fil-prodotti agrikoli u li jħassar ir-Regolamenti tal-Kunsill (KEE) Nru 922/72, (KEE) Nru 234/79, (KE) 1037/2001 u (KE) Nru 1234/2007, ĠU L 347, 20.12.2013, p. 671.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DFB"/>
    <w:multiLevelType w:val="hybridMultilevel"/>
    <w:tmpl w:val="A05A3A2E"/>
    <w:styleLink w:val="ImportedStyle2"/>
    <w:lvl w:ilvl="0" w:tplc="581C9D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687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C9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E0A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ED1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440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C2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E95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0FE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DE5B38"/>
    <w:multiLevelType w:val="hybridMultilevel"/>
    <w:tmpl w:val="A05A3A2E"/>
    <w:numStyleLink w:val="ImportedStyle2"/>
  </w:abstractNum>
  <w:abstractNum w:abstractNumId="2">
    <w:nsid w:val="43B708D7"/>
    <w:multiLevelType w:val="multilevel"/>
    <w:tmpl w:val="14D69CFA"/>
    <w:styleLink w:val="ImportedStyle1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7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2" w:hanging="8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477C97"/>
    <w:multiLevelType w:val="multilevel"/>
    <w:tmpl w:val="14D69CFA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revisionView w:markup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36A8556-F70B-4B9C-9467-96CDBD34CF0D"/>
    <w:docVar w:name="LW_COVERPAGE_TYPE" w:val="1"/>
    <w:docVar w:name="LW_CROSSREFERENCE" w:val="&lt;UNUSED&gt;"/>
    <w:docVar w:name="LW_DocType" w:val="NORMAL"/>
    <w:docVar w:name="LW_EMISSION" w:val="10.4.2019"/>
    <w:docVar w:name="LW_EMISSION_ISODATE" w:val="2019-04-10"/>
    <w:docVar w:name="LW_EMISSION_LOCATION" w:val="BRX"/>
    <w:docVar w:name="LW_EMISSION_PREFIX" w:val="Brussell, "/>
    <w:docVar w:name="LW_EMISSION_SUFFIX" w:val=" "/>
    <w:docVar w:name="LW_ID_DOCTYPE_NONLW" w:val="CP-00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Li tindirizza l-impatt tal-\u295?ru\u289? tar-Renju Unit mill-Unjoni ming\u295?ajr ftehim: l-appro\u267?\u267? ikkoordinat tal-Unjoni"/>
    <w:docVar w:name="LW_TYPE.DOC.CP" w:val="KOMUNIKAZZJONI TAL-KUMMISSJONI"/>
    <w:docVar w:name="LW_TYPE.DOC.CP.USERTEXT" w:val="KOMUNIKAZZJONI TAL-KUMMISSJONI LILL-PARLAMENT EWROPEW, LILL-KUNSILL EWROPEW, LILL-KUNSILL, LILL-BANK \u266?ENTRALI EWROPEW, LILL-KUMITAT EKONOMIKU U SO\u266?JALI EWROPEW, LILL-KUMITAT TAR-RE\u288?JUNI U LILL-BANK EWROPEW TAL-INVESTIMEN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ooterLine">
    <w:name w:val="Footer Line"/>
    <w:next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6"/>
      </w:tabs>
      <w:spacing w:before="120"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</w:rPr>
  </w:style>
  <w:style w:type="paragraph" w:customStyle="1" w:styleId="Titreobjet">
    <w:name w:val="Titre objet"/>
    <w:next w:val="Body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82"/>
      </w:tabs>
      <w:spacing w:before="240" w:after="24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paragraph" w:customStyle="1" w:styleId="Text1">
    <w:name w:val="Text 1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48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noteText">
    <w:name w:val="footnote text"/>
    <w:link w:val="FootnoteTextChar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color w:val="000000"/>
      <w:sz w:val="20"/>
      <w:u w:color="000000"/>
      <w:bdr w:val="nil"/>
      <w:lang w:val="mt-MT" w:eastAsia="mt-MT" w:bidi="mt-MT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sz w:val="24"/>
      <w:szCs w:val="24"/>
      <w:bdr w:val="nil"/>
      <w:lang w:val="mt-MT" w:bidi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6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szCs w:val="22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ooterLine">
    <w:name w:val="Footer Line"/>
    <w:next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6"/>
      </w:tabs>
      <w:spacing w:before="120"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</w:rPr>
  </w:style>
  <w:style w:type="paragraph" w:customStyle="1" w:styleId="Titreobjet">
    <w:name w:val="Titre objet"/>
    <w:next w:val="Body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82"/>
      </w:tabs>
      <w:spacing w:before="240" w:after="24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paragraph" w:customStyle="1" w:styleId="Text1">
    <w:name w:val="Text 1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48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noteText">
    <w:name w:val="footnote text"/>
    <w:link w:val="FootnoteTextChar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color w:val="000000"/>
      <w:sz w:val="20"/>
      <w:u w:color="000000"/>
      <w:bdr w:val="nil"/>
      <w:lang w:val="mt-MT" w:eastAsia="mt-MT" w:bidi="mt-MT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sz w:val="24"/>
      <w:szCs w:val="24"/>
      <w:bdr w:val="nil"/>
      <w:lang w:val="mt-MT" w:bidi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6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szCs w:val="22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brexit/brexit-preparedness/residence-rights-uk-nationals-eu-member-states_mt" TargetMode="External"/><Relationship Id="rId2" Type="http://schemas.openxmlformats.org/officeDocument/2006/relationships/hyperlink" Target="https://ec.europa.eu/info/brexit/brexit-preparedness/preparedness-notices_mt" TargetMode="External"/><Relationship Id="rId1" Type="http://schemas.openxmlformats.org/officeDocument/2006/relationships/hyperlink" Target="http://europa.eu/rapid/press-release_SPEECH-19-1970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AD7208-BB14-4304-86F9-58DCAADB033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85208C7-784F-4E73-A6D8-FC8095A80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7CB4C-1C59-4DD1-9329-707A8299A822}">
  <ds:schemaRefs>
    <ds:schemaRef ds:uri="http://schemas.microsoft.com/office/2006/metadata/properties"/>
    <ds:schemaRef ds:uri="http://schemas.microsoft.com/office/infopath/2007/PartnerControls"/>
    <ds:schemaRef ds:uri="25173920-bf43-43cc-9123-1897e847dfc2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6E6A45-DCEF-4DBB-9426-C420B17872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847527-FF9E-418E-818B-05732ACB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2014</Words>
  <Characters>14120</Characters>
  <Application>Microsoft Office Word</Application>
  <DocSecurity>0</DocSecurity>
  <Lines>207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2019-04-08T12:51:00Z</cp:lastPrinted>
  <dcterms:created xsi:type="dcterms:W3CDTF">2019-04-10T08:42:00Z</dcterms:created>
  <dcterms:modified xsi:type="dcterms:W3CDTF">2019-04-10T09:57:00Z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ontentTypeId">
    <vt:lpwstr>0x010100258AA79CEB83498886A3A0868112325000D33D44CF0C8FEB45875F235DEEF2E1B9</vt:lpwstr>
  </property>
  <property fmtid="{D5CDD505-2E9C-101B-9397-08002B2CF9AE}" pid="8" name="DocStatus">
    <vt:lpwstr>Green</vt:lpwstr>
  </property>
</Properties>
</file>