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19" w:rsidRDefault="00546ED9">
      <w:pPr>
        <w:pStyle w:val="Pagedecouverture"/>
        <w:rPr>
          <w:noProof/>
        </w:rPr>
      </w:pPr>
      <w:bookmarkStart w:id="0" w:name="LW_BM_COVERPAGE"/>
      <w:bookmarkStart w:id="1" w:name="_GoBack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52D748A-A188-4738-9FB4-F5CF084DDF5C" style="width:451pt;height:462pt">
            <v:imagedata r:id="rId15" o:title=""/>
          </v:shape>
        </w:pict>
      </w:r>
    </w:p>
    <w:bookmarkEnd w:id="0"/>
    <w:p w:rsidR="00B97A19" w:rsidRDefault="00B97A19">
      <w:pPr>
        <w:rPr>
          <w:noProof/>
        </w:rPr>
        <w:sectPr w:rsidR="00B97A1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1417" w:bottom="1134" w:left="1417" w:header="709" w:footer="709" w:gutter="0"/>
          <w:pgNumType w:start="0"/>
          <w:cols w:space="720"/>
          <w:docGrid w:linePitch="326"/>
        </w:sectPr>
      </w:pPr>
    </w:p>
    <w:p w:rsidR="00B97A19" w:rsidRDefault="00546ED9">
      <w:pPr>
        <w:pStyle w:val="Heading1"/>
        <w:rPr>
          <w:noProof/>
        </w:rPr>
      </w:pPr>
      <w:r>
        <w:rPr>
          <w:noProof/>
        </w:rPr>
        <w:lastRenderedPageBreak/>
        <w:t>Úvod</w:t>
      </w:r>
    </w:p>
    <w:p w:rsidR="00B97A19" w:rsidRDefault="00546ED9">
      <w:pPr>
        <w:pStyle w:val="Text1"/>
        <w:ind w:left="0"/>
        <w:rPr>
          <w:noProof/>
          <w:color w:val="000000"/>
          <w:szCs w:val="24"/>
          <w:u w:color="000000"/>
          <w:bdr w:val="nil"/>
        </w:rPr>
      </w:pPr>
      <w:r>
        <w:rPr>
          <w:noProof/>
        </w:rPr>
        <w:t xml:space="preserve">Spojené kráľovstvo oznámilo 29. marca 2017 svoj úmysel vystúpiť z Únie. </w:t>
      </w:r>
      <w:r>
        <w:rPr>
          <w:noProof/>
          <w:color w:val="000000"/>
          <w:szCs w:val="24"/>
          <w:u w:color="000000"/>
          <w:bdr w:val="nil"/>
        </w:rPr>
        <w:t>Komisia aj naďalej zastáva názor, že riadené vystúpenie Spojeného kráľovstva z Únie na základe dohody o vystúpení, ktorú schválila vláda Spojeného kráľovstva a ktorú Európska rada (článok 50) odsúhlasila 25. novembra 2018, je najlepším výsledkom. Komisia s</w:t>
      </w:r>
      <w:r>
        <w:rPr>
          <w:noProof/>
          <w:color w:val="000000"/>
          <w:szCs w:val="24"/>
          <w:u w:color="000000"/>
          <w:bdr w:val="nil"/>
        </w:rPr>
        <w:t xml:space="preserve">voje úsilie aj naďalej sústreďuje na dosiahnutie tohto cieľa. Dva dni pred termínom, ktorý Európska rada predĺžila na 12. apríla </w:t>
      </w:r>
      <w:r>
        <w:rPr>
          <w:noProof/>
        </w:rPr>
        <w:t>2019</w:t>
      </w:r>
      <w:r>
        <w:rPr>
          <w:rFonts w:eastAsia="Arial Unicode MS" w:cs="Arial Unicode MS"/>
          <w:noProof/>
          <w:color w:val="000000"/>
          <w:szCs w:val="24"/>
          <w:u w:color="000000"/>
          <w:bdr w:val="nil"/>
          <w:vertAlign w:val="superscript"/>
          <w:lang w:eastAsia="fr-FR"/>
        </w:rPr>
        <w:footnoteReference w:id="2"/>
      </w:r>
      <w:r>
        <w:rPr>
          <w:noProof/>
          <w:color w:val="000000"/>
          <w:szCs w:val="24"/>
          <w:u w:color="000000"/>
          <w:bdr w:val="nil"/>
        </w:rPr>
        <w:t>, sa však pravdepodobnosť neriadeného vystúpenia Spojeného kráľovstva z Únie výrazne zvýšila.</w:t>
      </w:r>
    </w:p>
    <w:p w:rsidR="00B97A19" w:rsidRDefault="00546ED9">
      <w:pPr>
        <w:pStyle w:val="Heading1"/>
        <w:rPr>
          <w:noProof/>
        </w:rPr>
      </w:pPr>
      <w:r>
        <w:rPr>
          <w:noProof/>
        </w:rPr>
        <w:t>Práva občanov na pobyt</w:t>
      </w:r>
    </w:p>
    <w:p w:rsidR="00B97A19" w:rsidRDefault="00546ED9">
      <w:pPr>
        <w:rPr>
          <w:noProof/>
          <w:szCs w:val="24"/>
        </w:rPr>
      </w:pPr>
      <w:r>
        <w:rPr>
          <w:noProof/>
        </w:rPr>
        <w:t>Štátn</w:t>
      </w:r>
      <w:r>
        <w:rPr>
          <w:noProof/>
        </w:rPr>
        <w:t>i príslušníci Spojeného kráľovstva</w:t>
      </w:r>
      <w:r>
        <w:rPr>
          <w:rStyle w:val="FootnoteReference"/>
          <w:noProof/>
          <w:szCs w:val="24"/>
        </w:rPr>
        <w:footnoteReference w:id="3"/>
      </w:r>
      <w:r>
        <w:rPr>
          <w:noProof/>
        </w:rPr>
        <w:t xml:space="preserve"> s pobytom v EÚ prestanú byť od dátumu vystúpenia občanmi EÚ, takže už nebudú môcť využívať právo na voľný pohyb</w:t>
      </w:r>
      <w:r>
        <w:rPr>
          <w:rStyle w:val="FootnoteReference"/>
          <w:noProof/>
          <w:szCs w:val="24"/>
        </w:rPr>
        <w:footnoteReference w:id="4"/>
      </w:r>
      <w:r>
        <w:rPr>
          <w:noProof/>
        </w:rPr>
        <w:t>. Automaticky sa na nich budú vzťahovať všeobecné pravidlá platné pre štátnych príslušníkov tretích krajín v</w:t>
      </w:r>
      <w:r>
        <w:rPr>
          <w:noProof/>
        </w:rPr>
        <w:t> EÚ. Občania EÚ s pobytom v Spojenom kráľovstve takisto prestanú byť chránení pravidlami EÚ o voľnom pohybe. Bude to mať vplyv na právo na pobyt a prácu v krajine, kde štátni príslušníci Spojeného kráľovstva a občania EÚ práve žijú.</w:t>
      </w:r>
    </w:p>
    <w:p w:rsidR="00B97A19" w:rsidRDefault="00546ED9">
      <w:pPr>
        <w:pStyle w:val="Heading2"/>
        <w:tabs>
          <w:tab w:val="clear" w:pos="1202"/>
          <w:tab w:val="num" w:pos="1077"/>
        </w:tabs>
        <w:ind w:left="1077" w:hanging="601"/>
        <w:rPr>
          <w:noProof/>
        </w:rPr>
      </w:pPr>
      <w:r>
        <w:rPr>
          <w:noProof/>
        </w:rPr>
        <w:t>Záruka zachovania práva</w:t>
      </w:r>
      <w:r>
        <w:rPr>
          <w:noProof/>
        </w:rPr>
        <w:t xml:space="preserve"> na pobyt pre štátnych príslušníkov Spojeného kráľovstva, ktorí už majú pobyt na území EÚ</w:t>
      </w:r>
    </w:p>
    <w:p w:rsidR="00B97A19" w:rsidRDefault="00546ED9">
      <w:pPr>
        <w:rPr>
          <w:noProof/>
          <w:szCs w:val="24"/>
        </w:rPr>
      </w:pPr>
      <w:r>
        <w:rPr>
          <w:noProof/>
        </w:rPr>
        <w:t>Komisia neustále zdôrazňuje, že ochrana právneho postavenia štátnych príslušníkov Spojeného kráľovstva, ktorí majú v súčasnosti pobyt v EÚ, je prioritou, a vyzvala čl</w:t>
      </w:r>
      <w:r>
        <w:rPr>
          <w:noProof/>
        </w:rPr>
        <w:t>enské štáty, aby k nim zaujali veľkorysý prístup. V súvislosti s právom štátnych príslušníkov Spojeného kráľovstva zdržiavať sa na území členských štátov EÚ27 existujú rôzne situácie. V niektorých prípadoch sa prijali vnútroštátne krízové opatrenia, iné už</w:t>
      </w:r>
      <w:r>
        <w:rPr>
          <w:noProof/>
        </w:rPr>
        <w:t xml:space="preserve"> dostatočne upravujú existujúce pravidlá.</w:t>
      </w:r>
    </w:p>
    <w:p w:rsidR="00B97A19" w:rsidRDefault="00546ED9">
      <w:pPr>
        <w:rPr>
          <w:noProof/>
        </w:rPr>
      </w:pPr>
      <w:r>
        <w:rPr>
          <w:noProof/>
        </w:rPr>
        <w:t xml:space="preserve">Členské štáty EÚ27 za posledné mesiace vypracovali vnútroštátne krízové opatrenia v rámci procesu, ktorý koordinuje Komisia, s cieľom </w:t>
      </w:r>
      <w:r>
        <w:rPr>
          <w:b/>
          <w:noProof/>
          <w:szCs w:val="24"/>
        </w:rPr>
        <w:t>zachovať bezprostredne po vystúpení bez dohody oprávnený pobyt pre všetkých štát</w:t>
      </w:r>
      <w:r>
        <w:rPr>
          <w:b/>
          <w:noProof/>
          <w:szCs w:val="24"/>
        </w:rPr>
        <w:t>nych príslušníkov Spojeného kráľovstva, ktorí už majú oprávnený pobyt</w:t>
      </w:r>
      <w:r>
        <w:rPr>
          <w:noProof/>
        </w:rPr>
        <w:t xml:space="preserve"> v členskom štáte v momente vystúpenia. Uvedenými opatreniami sa takisto uľahčí prechod cez vnútorné a vonkajšie hranice EÚ bezprostredne po vystúpení.</w:t>
      </w:r>
    </w:p>
    <w:p w:rsidR="00B97A19" w:rsidRDefault="00546ED9">
      <w:pPr>
        <w:rPr>
          <w:noProof/>
          <w:szCs w:val="24"/>
        </w:rPr>
      </w:pPr>
      <w:r>
        <w:rPr>
          <w:noProof/>
        </w:rPr>
        <w:t>Hoci cieľom dobrovoľnej koordinácie</w:t>
      </w:r>
      <w:r>
        <w:rPr>
          <w:noProof/>
        </w:rPr>
        <w:t xml:space="preserve"> opatrení členských štátov je zabezpečiť jednotný prístup, zvolené prístupy a postupy členských štátov sa môžu líšiť v závislosti od ich individuálnej situácie. Každý členský štát čelí iným výzvam, ktoré sa odvíjajú od počtu štátnych príslušníkov Spojeného</w:t>
      </w:r>
      <w:r>
        <w:rPr>
          <w:noProof/>
        </w:rPr>
        <w:t xml:space="preserve"> kráľovstva s pobytom na jeho území a od jeho právneho a administratívneho systému.</w:t>
      </w:r>
    </w:p>
    <w:p w:rsidR="00B97A19" w:rsidRDefault="00546ED9">
      <w:pPr>
        <w:rPr>
          <w:noProof/>
        </w:rPr>
      </w:pPr>
      <w:r>
        <w:rPr>
          <w:noProof/>
        </w:rPr>
        <w:lastRenderedPageBreak/>
        <w:t>Členské štáty podnikli potrebné kroky na včasné prijatie svojich vnútroštátnych opatrení a náležite o tom informovali Komisiu. Komisia zostavuje a uverejňuje aktuálny prehľ</w:t>
      </w:r>
      <w:r>
        <w:rPr>
          <w:noProof/>
        </w:rPr>
        <w:t>ad najnovších informácií o vnútroštátnych opatreniach členských štátov EÚ27 na svojich webových stránkach venovaných pripravenosti na brexit</w:t>
      </w:r>
      <w:r>
        <w:rPr>
          <w:rStyle w:val="FootnoteReference"/>
          <w:noProof/>
          <w:szCs w:val="24"/>
        </w:rPr>
        <w:footnoteReference w:id="5"/>
      </w:r>
      <w:r>
        <w:rPr>
          <w:noProof/>
        </w:rPr>
        <w:t xml:space="preserve">, kde sa štátni príslušníci Spojeného kráľovstva s pobytom v Únii môžu oboznámiť so svojimi právami. Na </w:t>
      </w:r>
      <w:r>
        <w:rPr>
          <w:noProof/>
        </w:rPr>
        <w:t>vnútroštátnej úrovni členské štáty prijímajú mnoho opatrení, ktorými chcú osloviť štátnych príslušníkov Spojeného kráľovstva s pobytom na ich území</w:t>
      </w:r>
      <w:r>
        <w:rPr>
          <w:rStyle w:val="FootnoteReference"/>
          <w:noProof/>
          <w:szCs w:val="24"/>
        </w:rPr>
        <w:footnoteReference w:id="6"/>
      </w:r>
      <w:r>
        <w:rPr>
          <w:noProof/>
        </w:rPr>
        <w:t xml:space="preserve">. Komisia konštatuje, že potrebné opatrenia sú už zavedené. </w:t>
      </w:r>
      <w:r>
        <w:rPr>
          <w:b/>
          <w:bCs/>
          <w:noProof/>
        </w:rPr>
        <w:t>Nalieha na členské štáty, ktoré ešte nedokončili</w:t>
      </w:r>
      <w:r>
        <w:rPr>
          <w:b/>
          <w:bCs/>
          <w:noProof/>
        </w:rPr>
        <w:t xml:space="preserve"> proces prijatia, aby tak urobili čo najskôr</w:t>
      </w:r>
      <w:r>
        <w:rPr>
          <w:noProof/>
        </w:rPr>
        <w:t>.</w:t>
      </w:r>
    </w:p>
    <w:p w:rsidR="00B97A19" w:rsidRDefault="00546ED9">
      <w:pPr>
        <w:rPr>
          <w:noProof/>
        </w:rPr>
      </w:pPr>
      <w:r>
        <w:rPr>
          <w:noProof/>
        </w:rPr>
        <w:t xml:space="preserve">Opatrenia členských štátov sú do veľkej miery zosúladené, hoci sa mierne odlišujú presným rozsahom pôsobnosti, pokiaľ ide o štátnych príslušníkov Spojeného kráľovstva s pobytom na ich území. Väčšina členských </w:t>
      </w:r>
      <w:r>
        <w:rPr>
          <w:noProof/>
        </w:rPr>
        <w:t>štátov sa rozhodla pre určitú formu cielených trvalých alebo dočasných vnútroštátnych právnych predpisov na zaistenie „legalizácie“. Mnohé členské štáty sa v otázke plánovaného právneho postavenia a práv inšpirovali smernicou o voľnom pohybe</w:t>
      </w:r>
      <w:r>
        <w:rPr>
          <w:rStyle w:val="FootnoteReference"/>
          <w:noProof/>
          <w:szCs w:val="24"/>
        </w:rPr>
        <w:footnoteReference w:id="7"/>
      </w:r>
      <w:r>
        <w:rPr>
          <w:noProof/>
        </w:rPr>
        <w:t xml:space="preserve"> alebo dohodou</w:t>
      </w:r>
      <w:r>
        <w:rPr>
          <w:noProof/>
        </w:rPr>
        <w:t xml:space="preserve"> o vystúpení. Viacero členských štátov zdôraznilo význam reciprocity zo strany Spojeného kráľovstva ako hlavnej zásady svojich vnútroštátnych opatrení.</w:t>
      </w:r>
    </w:p>
    <w:p w:rsidR="00B97A19" w:rsidRDefault="00546ED9">
      <w:pPr>
        <w:rPr>
          <w:noProof/>
          <w:szCs w:val="24"/>
        </w:rPr>
      </w:pPr>
      <w:r>
        <w:rPr>
          <w:noProof/>
        </w:rPr>
        <w:t xml:space="preserve">Štátni príslušníci Spojeného kráľovstva, ktorí majú legálny pobyt v členskom štáte už viac ako 5 rokov, </w:t>
      </w:r>
      <w:r>
        <w:rPr>
          <w:noProof/>
        </w:rPr>
        <w:t xml:space="preserve">majú </w:t>
      </w:r>
      <w:r>
        <w:rPr>
          <w:b/>
          <w:noProof/>
          <w:szCs w:val="24"/>
        </w:rPr>
        <w:t>prístup k postaveniu osoby s dlhodobým pobytom v EÚ</w:t>
      </w:r>
      <w:r>
        <w:rPr>
          <w:noProof/>
        </w:rPr>
        <w:t xml:space="preserve"> za predpokladu splnenia podmienok smernice 2003/109/ES</w:t>
      </w:r>
      <w:r>
        <w:rPr>
          <w:rStyle w:val="FootnoteReference"/>
          <w:b/>
          <w:noProof/>
          <w:szCs w:val="24"/>
        </w:rPr>
        <w:footnoteReference w:id="8"/>
      </w:r>
      <w:r>
        <w:rPr>
          <w:noProof/>
        </w:rPr>
        <w:t>. Ide o pevné postavenie v členskom štáte pobytu, ktoré je zakotvené v práve Únie</w:t>
      </w:r>
      <w:r>
        <w:rPr>
          <w:rStyle w:val="FootnoteReference"/>
          <w:iCs/>
          <w:noProof/>
          <w:szCs w:val="24"/>
        </w:rPr>
        <w:footnoteReference w:id="9"/>
      </w:r>
      <w:r>
        <w:rPr>
          <w:noProof/>
        </w:rPr>
        <w:t xml:space="preserve">, zaručuje rovnaké zaobchádzanie ako so štátnymi príslušníkmi </w:t>
      </w:r>
      <w:r>
        <w:rPr>
          <w:noProof/>
        </w:rPr>
        <w:t>daného členského štátu, právo na voľný pohyb a právo usadiť sa, pracovať alebo študovať v inom členskom štáte EÚ za predpokladu splnenia určitých podmienok</w:t>
      </w:r>
      <w:r>
        <w:rPr>
          <w:rStyle w:val="FootnoteReference"/>
          <w:noProof/>
          <w:szCs w:val="24"/>
        </w:rPr>
        <w:footnoteReference w:id="10"/>
      </w:r>
      <w:r>
        <w:rPr>
          <w:noProof/>
        </w:rPr>
        <w:t>. Komisia pripomína, že obdobia oprávneného pobytu štátnych príslušníkov Spojeného kráľovstva v člen</w:t>
      </w:r>
      <w:r>
        <w:rPr>
          <w:noProof/>
        </w:rPr>
        <w:t>skom štáte EÚ27 pred dátumom vystúpenia by sa mali považovať za obdobia oprávneného pobytu v členskom štáte Európskej únie v súlade so smernicou 2003/109/ES o právnom postavení štátnych príslušníkov tretích krajín, ktoré sú osobami s dlhodobým pobytom</w:t>
      </w:r>
      <w:r>
        <w:rPr>
          <w:rStyle w:val="FootnoteReference"/>
          <w:noProof/>
          <w:szCs w:val="24"/>
        </w:rPr>
        <w:footnoteReference w:id="11"/>
      </w:r>
      <w:r>
        <w:rPr>
          <w:noProof/>
        </w:rPr>
        <w:t>.</w:t>
      </w:r>
    </w:p>
    <w:p w:rsidR="00B97A19" w:rsidRDefault="00546ED9">
      <w:pPr>
        <w:rPr>
          <w:noProof/>
        </w:rPr>
      </w:pPr>
      <w:r>
        <w:rPr>
          <w:noProof/>
        </w:rPr>
        <w:lastRenderedPageBreak/>
        <w:t>Ko</w:t>
      </w:r>
      <w:r>
        <w:rPr>
          <w:noProof/>
        </w:rPr>
        <w:t>misia vyzýva členské štáty, aby zvážili dodatočné opatrenia s cieľom zaručiť legálnosť ďalšieho pobytu všetkých štátnych príslušníkov Spojeného kráľovstva, ktorí majú k dátumu vystúpenia legálny pobyt na území členských štátov EÚ27 (najmä pre tých, ktorí s</w:t>
      </w:r>
      <w:r>
        <w:rPr>
          <w:noProof/>
        </w:rPr>
        <w:t>a na území členského štátu zdržiavajú menej ako 5 rokov), keď sa skončí platnosť dočasných krízových opatrení. Ak im nebol hneď udelený trvalý status, tieto dočasné opatrenia sa môžu skončiť niekoľko mesiacov až rokov po vystúpení, v závislosti od prístupu</w:t>
      </w:r>
      <w:r>
        <w:rPr>
          <w:noProof/>
        </w:rPr>
        <w:t xml:space="preserve"> dotknutého členského štátu.</w:t>
      </w:r>
    </w:p>
    <w:p w:rsidR="00B97A19" w:rsidRDefault="00546ED9">
      <w:pPr>
        <w:pStyle w:val="Heading2"/>
        <w:tabs>
          <w:tab w:val="clear" w:pos="1202"/>
          <w:tab w:val="num" w:pos="1077"/>
        </w:tabs>
        <w:ind w:left="1077" w:hanging="601"/>
        <w:rPr>
          <w:noProof/>
        </w:rPr>
      </w:pPr>
      <w:r>
        <w:rPr>
          <w:noProof/>
        </w:rPr>
        <w:t>Práva štátnych príslušníkov Spojeného kráľovstva, ktorí prichádzajú do EÚ po dátume vystúpenia</w:t>
      </w:r>
    </w:p>
    <w:p w:rsidR="00B97A19" w:rsidRDefault="00546ED9">
      <w:pPr>
        <w:spacing w:after="120"/>
        <w:rPr>
          <w:noProof/>
          <w:szCs w:val="24"/>
        </w:rPr>
      </w:pPr>
      <w:r>
        <w:rPr>
          <w:noProof/>
        </w:rPr>
        <w:t xml:space="preserve">Pri </w:t>
      </w:r>
      <w:r>
        <w:rPr>
          <w:b/>
          <w:noProof/>
          <w:szCs w:val="24"/>
        </w:rPr>
        <w:t>krátkodobých pobytoch</w:t>
      </w:r>
      <w:r>
        <w:rPr>
          <w:noProof/>
        </w:rPr>
        <w:t xml:space="preserve"> (do 90 dní v rámci 180-dňovej lehoty) sa Európsky parlament a Rada dohodli na nariadení, podľa ktorého bud</w:t>
      </w:r>
      <w:r>
        <w:rPr>
          <w:noProof/>
        </w:rPr>
        <w:t>ú štátni príslušníci Spojeného kráľovstva</w:t>
      </w:r>
      <w:r>
        <w:rPr>
          <w:rStyle w:val="FootnoteReference"/>
          <w:noProof/>
          <w:szCs w:val="24"/>
        </w:rPr>
        <w:footnoteReference w:id="12"/>
      </w:r>
      <w:r>
        <w:rPr>
          <w:noProof/>
        </w:rPr>
        <w:t xml:space="preserve"> oslobodení od vízovej povinnosti pod podmienkou reciprocity pre občanov EÚ zo strany Spojeného kráľovstva</w:t>
      </w:r>
      <w:r>
        <w:rPr>
          <w:rStyle w:val="FootnoteReference"/>
          <w:noProof/>
          <w:szCs w:val="24"/>
        </w:rPr>
        <w:footnoteReference w:id="13"/>
      </w:r>
      <w:r>
        <w:rPr>
          <w:noProof/>
        </w:rPr>
        <w:t>.</w:t>
      </w:r>
    </w:p>
    <w:p w:rsidR="00B97A19" w:rsidRDefault="00546ED9">
      <w:pPr>
        <w:rPr>
          <w:noProof/>
          <w:szCs w:val="24"/>
        </w:rPr>
      </w:pPr>
      <w:r>
        <w:rPr>
          <w:noProof/>
        </w:rPr>
        <w:t xml:space="preserve">Na štátnych príslušníkov Spojeného kráľovstva, ktorí prídu do EÚ po dátume vystúpenia na </w:t>
      </w:r>
      <w:r>
        <w:rPr>
          <w:b/>
          <w:noProof/>
          <w:szCs w:val="24"/>
        </w:rPr>
        <w:t>dlhodobejší poby</w:t>
      </w:r>
      <w:r>
        <w:rPr>
          <w:b/>
          <w:noProof/>
          <w:szCs w:val="24"/>
        </w:rPr>
        <w:t>t</w:t>
      </w:r>
      <w:r>
        <w:rPr>
          <w:noProof/>
        </w:rPr>
        <w:t xml:space="preserve"> (viac ako 90 dní na akékoľvek účely), sa budú vzťahovať únijné a vnútroštátne pravidlá v oblasti legálnej migrácie platné pre štátnych príslušníkov tretích krajín</w:t>
      </w:r>
      <w:r>
        <w:rPr>
          <w:rStyle w:val="FootnoteReference"/>
          <w:noProof/>
          <w:szCs w:val="24"/>
        </w:rPr>
        <w:footnoteReference w:id="14"/>
      </w:r>
      <w:r>
        <w:rPr>
          <w:noProof/>
        </w:rPr>
        <w:t>. Podľa uvedených pravidiel môžu predovšetkým získať povolenie (na základe príslušných krit</w:t>
      </w:r>
      <w:r>
        <w:rPr>
          <w:noProof/>
        </w:rPr>
        <w:t>érií) zostať a pracovať</w:t>
      </w:r>
      <w:r>
        <w:rPr>
          <w:rStyle w:val="FootnoteReference"/>
          <w:noProof/>
          <w:szCs w:val="24"/>
        </w:rPr>
        <w:footnoteReference w:id="15"/>
      </w:r>
      <w:r>
        <w:rPr>
          <w:noProof/>
        </w:rPr>
        <w:t>, študovať, robiť výskum alebo pripojiť sa k rodinnému príslušníkovi v EÚ.</w:t>
      </w:r>
    </w:p>
    <w:p w:rsidR="00B97A19" w:rsidRDefault="00546ED9">
      <w:pPr>
        <w:pStyle w:val="Heading2"/>
        <w:tabs>
          <w:tab w:val="clear" w:pos="1202"/>
          <w:tab w:val="num" w:pos="1077"/>
        </w:tabs>
        <w:ind w:left="1077" w:hanging="601"/>
        <w:rPr>
          <w:noProof/>
        </w:rPr>
      </w:pPr>
      <w:r>
        <w:rPr>
          <w:noProof/>
        </w:rPr>
        <w:t>Zachovanie práva na pobyt pre občanov EÚ, ktorí už majú pobyt na území Spojeného kráľovstva</w:t>
      </w:r>
    </w:p>
    <w:p w:rsidR="00B97A19" w:rsidRDefault="00546ED9">
      <w:pPr>
        <w:rPr>
          <w:noProof/>
        </w:rPr>
      </w:pPr>
      <w:r>
        <w:rPr>
          <w:noProof/>
        </w:rPr>
        <w:t xml:space="preserve">Komisia považuje za prioritu ochranu právneho postavenia občanov </w:t>
      </w:r>
      <w:r>
        <w:rPr>
          <w:noProof/>
        </w:rPr>
        <w:t>EÚ, ktorí už majú pobyt na území Spojeného kráľovstva, a to aj napriek tomu, že táto otázka sa stane vnútroštátnou kompetenciou Spojeného kráľovstva. Rovnako sa snaží zaručiť postavenie štátnych príslušníkov Spojeného kráľovstva, ktorí už majú legálny poby</w:t>
      </w:r>
      <w:r>
        <w:rPr>
          <w:noProof/>
        </w:rPr>
        <w:t>t na území EÚ. Komisia preto uvítala uistenie zo strany Spojeného kráľovstva a prijaté politické opatrenia, ktoré zabezpečia, že aj v prípade scenára bez dohody</w:t>
      </w:r>
      <w:r>
        <w:rPr>
          <w:rStyle w:val="FootnoteReference"/>
          <w:noProof/>
        </w:rPr>
        <w:footnoteReference w:id="16"/>
      </w:r>
      <w:r>
        <w:rPr>
          <w:noProof/>
        </w:rPr>
        <w:t xml:space="preserve"> budú práva občanov EÚ v Spojenom kráľovstve chránené prostredníctvom tzv. statusu usadenej oso</w:t>
      </w:r>
      <w:r>
        <w:rPr>
          <w:noProof/>
        </w:rPr>
        <w:t>by EÚ</w:t>
      </w:r>
      <w:r>
        <w:rPr>
          <w:rStyle w:val="FootnoteReference"/>
          <w:noProof/>
        </w:rPr>
        <w:footnoteReference w:id="17"/>
      </w:r>
      <w:r>
        <w:rPr>
          <w:noProof/>
        </w:rPr>
        <w:t>.</w:t>
      </w:r>
    </w:p>
    <w:p w:rsidR="00B97A19" w:rsidRDefault="00546ED9">
      <w:pPr>
        <w:rPr>
          <w:noProof/>
          <w:szCs w:val="24"/>
        </w:rPr>
      </w:pPr>
      <w:r>
        <w:rPr>
          <w:noProof/>
        </w:rPr>
        <w:t xml:space="preserve">Zastúpenia Komisie v Spojenom kráľovstve a príslušné útvary v Bruseli pozorne monitorujú a analyzujú prípravné kroky Spojeného kráľovstva, ktorými sa politické vyhlásenia majú premeniť na legislatívne akty a konkrétne opatrenia, aby postavenie </w:t>
      </w:r>
      <w:r>
        <w:rPr>
          <w:noProof/>
        </w:rPr>
        <w:lastRenderedPageBreak/>
        <w:t>obča</w:t>
      </w:r>
      <w:r>
        <w:rPr>
          <w:noProof/>
        </w:rPr>
        <w:t>nov EÚ bolo náležite zaručené. Komisia vyzýva diplomatické zastúpenia členských štátov v Spojenom kráľovstve, aby naďalej príslušne koordinovali svoju činnosť so zastúpením Komisie v Spojenom kráľovstve pri poskytovaní informácií, odborných znalostí a práv</w:t>
      </w:r>
      <w:r>
        <w:rPr>
          <w:noProof/>
        </w:rPr>
        <w:t>neho poradenstva občanom EÚ v Spojenom kráľovstve</w:t>
      </w:r>
      <w:r>
        <w:rPr>
          <w:rStyle w:val="FootnoteReference"/>
          <w:noProof/>
        </w:rPr>
        <w:footnoteReference w:id="18"/>
      </w:r>
      <w:r>
        <w:rPr>
          <w:noProof/>
        </w:rPr>
        <w:t>.</w:t>
      </w:r>
    </w:p>
    <w:p w:rsidR="00B97A19" w:rsidRDefault="00546ED9">
      <w:pPr>
        <w:pStyle w:val="Heading1"/>
        <w:rPr>
          <w:noProof/>
        </w:rPr>
      </w:pPr>
      <w:r>
        <w:rPr>
          <w:noProof/>
        </w:rPr>
        <w:t>Nároky občanov na sociálne zabezpečenie</w:t>
      </w:r>
    </w:p>
    <w:p w:rsidR="00B97A19" w:rsidRDefault="00546ED9">
      <w:pPr>
        <w:pStyle w:val="Text1"/>
        <w:ind w:left="0"/>
        <w:rPr>
          <w:noProof/>
          <w:szCs w:val="24"/>
        </w:rPr>
      </w:pPr>
      <w:r>
        <w:rPr>
          <w:noProof/>
        </w:rPr>
        <w:t>V scenári bez dohody sa pravidlá Únie o koordinácii sociálneho zabezpečenia už nebudú uplatňovať na Spojené kráľovstvo a v Spojenom kráľovstve. Bez krízových opatre</w:t>
      </w:r>
      <w:r>
        <w:rPr>
          <w:noProof/>
        </w:rPr>
        <w:t>ní by boli ohrozené nároky občanov EÚ27, ako štátnych príslušníkov Spojeného kráľovstva na sociálne zabezpečenie, ktoré súvisia so Spojeným kráľovstvom a sú založené na skutočnostiach a udalostiach, ku ktorým došlo, a na obdobiach poistenia, zamestnania, s</w:t>
      </w:r>
      <w:r>
        <w:rPr>
          <w:noProof/>
        </w:rPr>
        <w:t>amostatnej zárobkovej činnosti alebo pobytu, ktoré boli ukončené pred dátumom vystúpenia.</w:t>
      </w:r>
    </w:p>
    <w:p w:rsidR="00B97A19" w:rsidRDefault="00546ED9">
      <w:pPr>
        <w:pStyle w:val="Text1"/>
        <w:ind w:left="0"/>
        <w:rPr>
          <w:noProof/>
          <w:szCs w:val="24"/>
        </w:rPr>
      </w:pPr>
      <w:r>
        <w:rPr>
          <w:noProof/>
        </w:rPr>
        <w:t>Krízové opatrenia boli prijaté na úrovni Únie, ako aj na vnútroštátnej úrovni.</w:t>
      </w:r>
    </w:p>
    <w:p w:rsidR="00B97A19" w:rsidRDefault="00546ED9">
      <w:pPr>
        <w:pStyle w:val="Heading2"/>
        <w:tabs>
          <w:tab w:val="clear" w:pos="1202"/>
          <w:tab w:val="num" w:pos="1077"/>
        </w:tabs>
        <w:ind w:left="1077" w:hanging="601"/>
        <w:rPr>
          <w:rFonts w:eastAsia="Calibri"/>
          <w:noProof/>
        </w:rPr>
      </w:pPr>
      <w:r>
        <w:rPr>
          <w:noProof/>
        </w:rPr>
        <w:t>Krízové nariadenie o koordinácii sociálneho zabezpečenia</w:t>
      </w:r>
    </w:p>
    <w:p w:rsidR="00B97A19" w:rsidRDefault="00546ED9">
      <w:pPr>
        <w:rPr>
          <w:rFonts w:eastAsia="Calibri"/>
          <w:noProof/>
          <w:szCs w:val="24"/>
        </w:rPr>
      </w:pPr>
      <w:r>
        <w:rPr>
          <w:noProof/>
        </w:rPr>
        <w:t>Nariadenie Európskeho parlamen</w:t>
      </w:r>
      <w:r>
        <w:rPr>
          <w:noProof/>
        </w:rPr>
        <w:t>tu a Rady, ktorým sa stanovujú krízové opatrenia v oblasti koordinácie systémov sociálneho zabezpečenia v nadväznosti na vystúpenie Spojeného kráľovstva z Únie, bolo prijaté 25. marca 2019</w:t>
      </w:r>
      <w:r>
        <w:rPr>
          <w:noProof/>
          <w:vertAlign w:val="superscript"/>
        </w:rPr>
        <w:footnoteReference w:id="19"/>
      </w:r>
      <w:r>
        <w:rPr>
          <w:noProof/>
        </w:rPr>
        <w:t>.</w:t>
      </w:r>
    </w:p>
    <w:p w:rsidR="00B97A19" w:rsidRDefault="00546ED9">
      <w:pPr>
        <w:spacing w:line="256" w:lineRule="auto"/>
        <w:rPr>
          <w:rFonts w:eastAsia="Calibri"/>
          <w:noProof/>
          <w:szCs w:val="24"/>
        </w:rPr>
      </w:pPr>
      <w:r>
        <w:rPr>
          <w:noProof/>
        </w:rPr>
        <w:t xml:space="preserve">Toto krízové nariadenie, ktoré je jednostranné, záväzné v celom </w:t>
      </w:r>
      <w:r>
        <w:rPr>
          <w:noProof/>
        </w:rPr>
        <w:t>rozsahu a priamo uplatniteľné vo všetkých členských štátoch, sa bude uplatňovať od dátumu neriadeného vystúpenia. Vzťahuje sa na tieto osoby:</w:t>
      </w:r>
    </w:p>
    <w:p w:rsidR="00B97A19" w:rsidRDefault="00546ED9">
      <w:pPr>
        <w:numPr>
          <w:ilvl w:val="0"/>
          <w:numId w:val="21"/>
        </w:numPr>
        <w:spacing w:after="0" w:line="256" w:lineRule="auto"/>
        <w:contextualSpacing/>
        <w:jc w:val="left"/>
        <w:rPr>
          <w:rFonts w:eastAsia="Calibri"/>
          <w:noProof/>
          <w:szCs w:val="24"/>
        </w:rPr>
      </w:pPr>
      <w:r>
        <w:rPr>
          <w:noProof/>
        </w:rPr>
        <w:t>na štátnych príslušníkov členského štátu, osoby bez štátnej príslušnosti a utečencov, na ktorých sa vzťahujú alebo</w:t>
      </w:r>
      <w:r>
        <w:rPr>
          <w:noProof/>
        </w:rPr>
        <w:t xml:space="preserve"> sa vzťahovali právne predpisy jedného alebo viacerých členských štátov a ktorí sú alebo boli </w:t>
      </w:r>
      <w:r>
        <w:rPr>
          <w:noProof/>
          <w:u w:val="single"/>
        </w:rPr>
        <w:t>pred vystúpením</w:t>
      </w:r>
      <w:r>
        <w:rPr>
          <w:noProof/>
        </w:rPr>
        <w:t xml:space="preserve"> v situácii týkajúcej sa Spojeného kráľovstva, ako aj na ich rodinných príslušníkov a pozostalých,</w:t>
      </w:r>
    </w:p>
    <w:p w:rsidR="00B97A19" w:rsidRDefault="00546ED9">
      <w:pPr>
        <w:numPr>
          <w:ilvl w:val="0"/>
          <w:numId w:val="21"/>
        </w:numPr>
        <w:spacing w:line="257" w:lineRule="auto"/>
        <w:ind w:left="714" w:hanging="357"/>
        <w:jc w:val="left"/>
        <w:rPr>
          <w:rFonts w:eastAsia="Calibri"/>
          <w:noProof/>
          <w:szCs w:val="24"/>
        </w:rPr>
      </w:pPr>
      <w:r>
        <w:rPr>
          <w:noProof/>
        </w:rPr>
        <w:t>na štátnych príslušníkov Spojeného kráľovstva, n</w:t>
      </w:r>
      <w:r>
        <w:rPr>
          <w:noProof/>
        </w:rPr>
        <w:t xml:space="preserve">a ktorých sa </w:t>
      </w:r>
      <w:r>
        <w:rPr>
          <w:noProof/>
          <w:u w:val="single"/>
        </w:rPr>
        <w:t>pred vystúpením</w:t>
      </w:r>
      <w:r>
        <w:rPr>
          <w:noProof/>
        </w:rPr>
        <w:t xml:space="preserve"> vzťahujú alebo sa vzťahovali právne predpisy jedného alebo viacerých členských štátov, ako aj na ich rodinných príslušníkov a pozostalých.</w:t>
      </w:r>
    </w:p>
    <w:p w:rsidR="00B97A19" w:rsidRDefault="00546ED9">
      <w:pPr>
        <w:rPr>
          <w:rFonts w:eastAsia="Calibri"/>
          <w:noProof/>
          <w:szCs w:val="24"/>
        </w:rPr>
      </w:pPr>
      <w:r>
        <w:rPr>
          <w:noProof/>
        </w:rPr>
        <w:t>V zmysle nariadenia budú členské štáty naďalej uplatňovať:</w:t>
      </w:r>
    </w:p>
    <w:p w:rsidR="00B97A19" w:rsidRDefault="00546ED9">
      <w:pPr>
        <w:numPr>
          <w:ilvl w:val="0"/>
          <w:numId w:val="22"/>
        </w:numPr>
        <w:spacing w:after="0" w:line="256" w:lineRule="auto"/>
        <w:contextualSpacing/>
        <w:jc w:val="left"/>
        <w:rPr>
          <w:rFonts w:eastAsia="Calibri"/>
          <w:noProof/>
          <w:szCs w:val="24"/>
        </w:rPr>
      </w:pPr>
      <w:r>
        <w:rPr>
          <w:noProof/>
        </w:rPr>
        <w:t>zásadu sčítania období poiste</w:t>
      </w:r>
      <w:r>
        <w:rPr>
          <w:noProof/>
        </w:rPr>
        <w:t>nia, zamestnania, samostatnej zárobkovej činnosti alebo pobytu v Spojenom kráľovstve, ktoré boli ukončené pred vystúpením,</w:t>
      </w:r>
    </w:p>
    <w:p w:rsidR="00B97A19" w:rsidRDefault="00546ED9">
      <w:pPr>
        <w:numPr>
          <w:ilvl w:val="0"/>
          <w:numId w:val="22"/>
        </w:numPr>
        <w:spacing w:after="0" w:line="256" w:lineRule="auto"/>
        <w:contextualSpacing/>
        <w:jc w:val="left"/>
        <w:rPr>
          <w:noProof/>
        </w:rPr>
      </w:pPr>
      <w:r>
        <w:rPr>
          <w:noProof/>
        </w:rPr>
        <w:t>zásadu rovnocenného posudzovania, pokiaľ ide o získané dávky alebo príjmy a skutočnosti alebo udalosti, ku ktorým došlo v Spojenom kr</w:t>
      </w:r>
      <w:r>
        <w:rPr>
          <w:noProof/>
        </w:rPr>
        <w:t>áľovstve pred vystúpením, a</w:t>
      </w:r>
    </w:p>
    <w:p w:rsidR="00B97A19" w:rsidRDefault="00546ED9">
      <w:pPr>
        <w:numPr>
          <w:ilvl w:val="0"/>
          <w:numId w:val="22"/>
        </w:numPr>
        <w:spacing w:line="257" w:lineRule="auto"/>
        <w:ind w:left="714" w:hanging="357"/>
        <w:jc w:val="left"/>
        <w:rPr>
          <w:rFonts w:eastAsia="Calibri"/>
          <w:noProof/>
          <w:szCs w:val="24"/>
        </w:rPr>
      </w:pPr>
      <w:r>
        <w:rPr>
          <w:noProof/>
        </w:rPr>
        <w:t>zásadu rovnosti zaobchádzania, pokiaľ ide o akúkoľvek situáciu, ku ktorej došlo pred vystúpením.</w:t>
      </w:r>
    </w:p>
    <w:p w:rsidR="00B97A19" w:rsidRDefault="00546ED9">
      <w:pPr>
        <w:spacing w:line="256" w:lineRule="auto"/>
        <w:rPr>
          <w:noProof/>
        </w:rPr>
      </w:pPr>
      <w:r>
        <w:rPr>
          <w:noProof/>
        </w:rPr>
        <w:lastRenderedPageBreak/>
        <w:t xml:space="preserve">Nariadenie sa nevzťahuje na skutočnosti a obdobia, ku ktorým dôjde po vystúpení, a nevzťahuje sa ani na zásadu exportovateľnosti </w:t>
      </w:r>
      <w:r>
        <w:rPr>
          <w:noProof/>
        </w:rPr>
        <w:t>peňažných dávok do Spojeného kráľovstva.</w:t>
      </w:r>
    </w:p>
    <w:p w:rsidR="00B97A19" w:rsidRDefault="00546ED9">
      <w:pPr>
        <w:pStyle w:val="Heading2"/>
        <w:tabs>
          <w:tab w:val="clear" w:pos="1202"/>
          <w:tab w:val="num" w:pos="1077"/>
        </w:tabs>
        <w:ind w:left="1077" w:hanging="601"/>
        <w:rPr>
          <w:rFonts w:eastAsia="Calibri"/>
          <w:noProof/>
        </w:rPr>
      </w:pPr>
      <w:r>
        <w:rPr>
          <w:noProof/>
        </w:rPr>
        <w:t>Jednostranný koordinovaný krízový prístup</w:t>
      </w:r>
    </w:p>
    <w:p w:rsidR="00B97A19" w:rsidRDefault="00546ED9">
      <w:pPr>
        <w:spacing w:before="120" w:after="120"/>
        <w:rPr>
          <w:noProof/>
        </w:rPr>
      </w:pPr>
      <w:r>
        <w:rPr>
          <w:noProof/>
        </w:rPr>
        <w:t>Všetky členské štáty EÚ27 boli vyzvané</w:t>
      </w:r>
      <w:bookmarkStart w:id="2" w:name="_Ref5702974"/>
      <w:r>
        <w:rPr>
          <w:rStyle w:val="FootnoteReference"/>
          <w:noProof/>
        </w:rPr>
        <w:footnoteReference w:id="20"/>
      </w:r>
      <w:bookmarkEnd w:id="2"/>
      <w:r>
        <w:rPr>
          <w:noProof/>
        </w:rPr>
        <w:t>, aby po dátume vystúpenia uplatňovali jednostranný koordinovaný krízový prístup, ktorý by dopĺňal nariadenie tým, že by zaistil čo na</w:t>
      </w:r>
      <w:r>
        <w:rPr>
          <w:noProof/>
        </w:rPr>
        <w:t>jširšiu ochranu osôb dotknutých vystúpením.</w:t>
      </w:r>
    </w:p>
    <w:p w:rsidR="00B97A19" w:rsidRDefault="00546ED9">
      <w:pPr>
        <w:spacing w:before="160" w:after="160" w:line="256" w:lineRule="auto"/>
        <w:rPr>
          <w:noProof/>
        </w:rPr>
      </w:pPr>
      <w:r>
        <w:rPr>
          <w:noProof/>
        </w:rPr>
        <w:t>Podobne ako nariadenie, aj koordinovaný prístup by sa vzťahoval na všetky poistené osoby s nárokmi v členských štátoch EÚ27 a týkajúcimi sa Spojeného kráľovstva pred dátumom vystúpenia a na ktoré by sa vzťahovali</w:t>
      </w:r>
      <w:r>
        <w:rPr>
          <w:noProof/>
        </w:rPr>
        <w:t xml:space="preserve"> príslušné nariadenia o koordinácii systémov sociálneho zabezpečenia, keby nedošlo k vystúpeniu.</w:t>
      </w:r>
    </w:p>
    <w:p w:rsidR="00B97A19" w:rsidRDefault="00546ED9">
      <w:pPr>
        <w:spacing w:before="160" w:after="160" w:line="256" w:lineRule="auto"/>
        <w:rPr>
          <w:noProof/>
        </w:rPr>
      </w:pPr>
      <w:r>
        <w:rPr>
          <w:noProof/>
        </w:rPr>
        <w:t>Vzťahoval by sa teda na občanov EÚ27 a štátnych príslušníkov Spojeného kráľovstva, ktorí v dôsledku uplatnenia svojho práva na voľný pohyb pred dátumom vystúpe</w:t>
      </w:r>
      <w:r>
        <w:rPr>
          <w:noProof/>
        </w:rPr>
        <w:t>nia nadobudli alebo nadobudnú v EÚ nároky vzhľadom na dosiahnuté obdobia alebo skutočnosti či udalosti, ku ktorým došlo pred dátumom vystúpenia</w:t>
      </w:r>
      <w:r>
        <w:rPr>
          <w:noProof/>
          <w:vertAlign w:val="superscript"/>
        </w:rPr>
        <w:footnoteReference w:id="21"/>
      </w:r>
      <w:r>
        <w:rPr>
          <w:noProof/>
        </w:rPr>
        <w:t>. Rozsah koordinovaného prístupu ide nad rámec nariadenia, keďže zahŕňa aj:</w:t>
      </w:r>
    </w:p>
    <w:p w:rsidR="00B97A19" w:rsidRDefault="00546ED9">
      <w:pPr>
        <w:numPr>
          <w:ilvl w:val="0"/>
          <w:numId w:val="23"/>
        </w:numPr>
        <w:spacing w:before="160" w:after="160" w:line="256" w:lineRule="auto"/>
        <w:contextualSpacing/>
        <w:rPr>
          <w:rFonts w:eastAsia="Calibri"/>
          <w:noProof/>
          <w:szCs w:val="24"/>
        </w:rPr>
      </w:pPr>
      <w:r>
        <w:rPr>
          <w:noProof/>
        </w:rPr>
        <w:t xml:space="preserve">prenosnosť starobných dôchodkov pre </w:t>
      </w:r>
      <w:r>
        <w:rPr>
          <w:noProof/>
        </w:rPr>
        <w:t>osoby s pobytom v Spojenom kráľovstve,</w:t>
      </w:r>
    </w:p>
    <w:p w:rsidR="00B97A19" w:rsidRDefault="00546ED9">
      <w:pPr>
        <w:numPr>
          <w:ilvl w:val="0"/>
          <w:numId w:val="23"/>
        </w:numPr>
        <w:spacing w:before="160" w:after="160" w:line="256" w:lineRule="auto"/>
        <w:contextualSpacing/>
        <w:rPr>
          <w:noProof/>
        </w:rPr>
      </w:pPr>
      <w:r>
        <w:rPr>
          <w:noProof/>
        </w:rPr>
        <w:t>náhrady nákladov na zdravotnú starostlivosť alebo nákladov súvisiacich s dávkami v nezamestnanosti pre cezhraničných pracovníkov, ktoré trvajú v čase vystúpenia,</w:t>
      </w:r>
    </w:p>
    <w:p w:rsidR="00B97A19" w:rsidRDefault="00546ED9">
      <w:pPr>
        <w:numPr>
          <w:ilvl w:val="0"/>
          <w:numId w:val="23"/>
        </w:numPr>
        <w:spacing w:before="160" w:after="160" w:line="256" w:lineRule="auto"/>
        <w:contextualSpacing/>
        <w:rPr>
          <w:rFonts w:eastAsia="Calibri"/>
          <w:noProof/>
          <w:szCs w:val="24"/>
        </w:rPr>
      </w:pPr>
      <w:r>
        <w:rPr>
          <w:noProof/>
        </w:rPr>
        <w:t>žiadosti o náhradu, ktoré vybavuje členský štát EÚ27, k</w:t>
      </w:r>
      <w:r>
        <w:rPr>
          <w:noProof/>
        </w:rPr>
        <w:t>toré súvisia so Spojeným kráľovstvom a sú podané po vystúpení, ale týkajú sa liečby poskytnutej pred vystúpením,</w:t>
      </w:r>
    </w:p>
    <w:p w:rsidR="00B97A19" w:rsidRDefault="00546ED9">
      <w:pPr>
        <w:numPr>
          <w:ilvl w:val="0"/>
          <w:numId w:val="23"/>
        </w:numPr>
        <w:spacing w:before="160" w:after="160" w:line="256" w:lineRule="auto"/>
        <w:contextualSpacing/>
        <w:rPr>
          <w:rFonts w:eastAsia="Calibri"/>
          <w:noProof/>
          <w:szCs w:val="24"/>
        </w:rPr>
      </w:pPr>
      <w:r>
        <w:rPr>
          <w:noProof/>
        </w:rPr>
        <w:t>plánovanú a potrebnú liečbu v Spojenom kráľovstve, ktorá prebieha k dátumu vystúpenia,</w:t>
      </w:r>
    </w:p>
    <w:p w:rsidR="00B97A19" w:rsidRDefault="00546ED9">
      <w:pPr>
        <w:numPr>
          <w:ilvl w:val="0"/>
          <w:numId w:val="23"/>
        </w:numPr>
        <w:spacing w:before="160" w:after="160" w:line="256" w:lineRule="auto"/>
        <w:contextualSpacing/>
        <w:rPr>
          <w:rFonts w:eastAsia="Calibri"/>
          <w:noProof/>
          <w:szCs w:val="24"/>
        </w:rPr>
      </w:pPr>
      <w:r>
        <w:rPr>
          <w:noProof/>
        </w:rPr>
        <w:t>žiadosti o náhradu dávok v nezamestnanosti podaných po v</w:t>
      </w:r>
      <w:r>
        <w:rPr>
          <w:noProof/>
        </w:rPr>
        <w:t>ystúpení, ktoré Spojené kráľovstvo pred vystúpením poskytovalo cezhraničným pracovníkom s pobytom v Spojenom kráľovstve, ktorí však pracujú v členskom štáte EÚ27.</w:t>
      </w:r>
    </w:p>
    <w:p w:rsidR="00B97A19" w:rsidRDefault="00546ED9">
      <w:pPr>
        <w:pStyle w:val="Heading2"/>
        <w:tabs>
          <w:tab w:val="clear" w:pos="1202"/>
          <w:tab w:val="num" w:pos="1077"/>
        </w:tabs>
        <w:ind w:left="1077" w:hanging="601"/>
        <w:rPr>
          <w:rFonts w:eastAsia="Calibri"/>
          <w:noProof/>
        </w:rPr>
      </w:pPr>
      <w:r>
        <w:rPr>
          <w:noProof/>
        </w:rPr>
        <w:lastRenderedPageBreak/>
        <w:t>Vnútroštátne jednostranné opatrenia s ešte širším záberom</w:t>
      </w:r>
    </w:p>
    <w:p w:rsidR="00B97A19" w:rsidRDefault="00546ED9">
      <w:pPr>
        <w:spacing w:before="120" w:after="120"/>
        <w:rPr>
          <w:noProof/>
        </w:rPr>
      </w:pPr>
      <w:r>
        <w:rPr>
          <w:noProof/>
        </w:rPr>
        <w:t>Jednotlivé členské štáty by v niekt</w:t>
      </w:r>
      <w:r>
        <w:rPr>
          <w:noProof/>
        </w:rPr>
        <w:t>orých oblastiach mohli doplniť koordinovaný krízový prístup o vlastné vnútroštátne jednostranné opatrenia, ktorými poskytnú občanom ďalšiu ochranu</w:t>
      </w:r>
      <w:r>
        <w:rPr>
          <w:rStyle w:val="FootnoteReference"/>
          <w:noProof/>
        </w:rPr>
        <w:footnoteReference w:id="22"/>
      </w:r>
      <w:r>
        <w:rPr>
          <w:noProof/>
        </w:rPr>
        <w:t>. Členské štáty EÚ27 by tak mohli urobiť tým, že budú naďalej do Spojeného kráľovstva prevádzať aj iné peňažn</w:t>
      </w:r>
      <w:r>
        <w:rPr>
          <w:noProof/>
        </w:rPr>
        <w:t>é dávky ako starobné dôchodky, napríklad dávky v nezamestnanosti, dávky v materstve/otcovstve, invalidné dôchodky, nemocenské dávky, pozostalostné dôchodky, dôchodky v súvislosti s pracovnými úrazmi a podpory pri úmrtí.</w:t>
      </w:r>
    </w:p>
    <w:p w:rsidR="00B97A19" w:rsidRDefault="00546ED9">
      <w:pPr>
        <w:pStyle w:val="Heading2"/>
        <w:tabs>
          <w:tab w:val="clear" w:pos="1202"/>
          <w:tab w:val="num" w:pos="1077"/>
        </w:tabs>
        <w:ind w:left="1077" w:hanging="601"/>
        <w:rPr>
          <w:rFonts w:eastAsia="Calibri"/>
          <w:noProof/>
        </w:rPr>
      </w:pPr>
      <w:r>
        <w:rPr>
          <w:noProof/>
        </w:rPr>
        <w:t>Preklenutie obdobia medzi vystúpením</w:t>
      </w:r>
      <w:r>
        <w:rPr>
          <w:noProof/>
        </w:rPr>
        <w:t xml:space="preserve"> a ustáleným stavom</w:t>
      </w:r>
    </w:p>
    <w:p w:rsidR="00B97A19" w:rsidRDefault="00546ED9">
      <w:pPr>
        <w:spacing w:after="160"/>
        <w:rPr>
          <w:rFonts w:eastAsia="Calibri"/>
          <w:noProof/>
          <w:szCs w:val="24"/>
        </w:rPr>
      </w:pPr>
      <w:r>
        <w:rPr>
          <w:noProof/>
        </w:rPr>
        <w:t>Na rozdiel od situácie s ratifikovanou dohodou o vystúpení by v prípade scenára bez dohody po vystúpení nevyhnutne došlo k určitej medzere, kedy by sa na obdobia práce, pobytu alebo poistenia občanov v Spojenom kráľovstve ešte nevzťahov</w:t>
      </w:r>
      <w:r>
        <w:rPr>
          <w:noProof/>
        </w:rPr>
        <w:t>ali krízové opatrenia v rámci celej Únie. Komisia sa domnieva, že je potrebné minimalizovať účinky tejto „medzery“.</w:t>
      </w:r>
    </w:p>
    <w:p w:rsidR="00B97A19" w:rsidRDefault="00546ED9">
      <w:pPr>
        <w:spacing w:after="160"/>
        <w:rPr>
          <w:rFonts w:eastAsia="Calibri"/>
          <w:noProof/>
          <w:szCs w:val="24"/>
        </w:rPr>
      </w:pPr>
      <w:r>
        <w:rPr>
          <w:noProof/>
        </w:rPr>
        <w:t>Členské štáty EÚ27 prijímajú opatrenia týkajúce sa situácie občanov po vystúpení bez dohody. Tieto opatrenia, ktoré môžu ísť aj nad rámec ce</w:t>
      </w:r>
      <w:r>
        <w:rPr>
          <w:noProof/>
        </w:rPr>
        <w:t>loúnijného krízového opatrenia, by mali byť jednostranné a časovo obmedzené.</w:t>
      </w:r>
    </w:p>
    <w:p w:rsidR="00B97A19" w:rsidRDefault="00546ED9">
      <w:pPr>
        <w:spacing w:after="160"/>
        <w:rPr>
          <w:rFonts w:eastAsia="Calibri"/>
          <w:noProof/>
          <w:szCs w:val="24"/>
          <w:highlight w:val="yellow"/>
        </w:rPr>
      </w:pPr>
      <w:r>
        <w:rPr>
          <w:noProof/>
        </w:rPr>
        <w:t>Členské štáty EÚ27 by mohli okrem iného zvážiť možnosť zabezpečiť kontinuálne uplatňovanie zásady sčítavania aj na obdobia práce, poistenia a pobytu týchto osôb v Spojenom kráľovs</w:t>
      </w:r>
      <w:r>
        <w:rPr>
          <w:noProof/>
        </w:rPr>
        <w:t>tve po vystúpení. Okrem toho by členské štáty EÚ27 mohli pod podmienkou reciprocity umožniť prístup k zdravotnej starostlivosti štátnym príslušníkom Spojeného kráľovstva, ktorí sú poistení v Spojenom kráľovstve, ale majú pobyt na ich území.</w:t>
      </w:r>
    </w:p>
    <w:p w:rsidR="00B97A19" w:rsidRDefault="00546ED9">
      <w:pPr>
        <w:pStyle w:val="Heading1"/>
        <w:rPr>
          <w:noProof/>
        </w:rPr>
      </w:pPr>
      <w:r>
        <w:rPr>
          <w:noProof/>
        </w:rPr>
        <w:t>Ďalšie informác</w:t>
      </w:r>
      <w:r>
        <w:rPr>
          <w:noProof/>
        </w:rPr>
        <w:t>ie</w:t>
      </w:r>
    </w:p>
    <w:p w:rsidR="00B97A19" w:rsidRDefault="00546ED9">
      <w:pPr>
        <w:pStyle w:val="Text1"/>
        <w:ind w:left="0"/>
        <w:rPr>
          <w:noProof/>
        </w:rPr>
      </w:pPr>
      <w:r>
        <w:rPr>
          <w:noProof/>
        </w:rPr>
        <w:t>Subjekty verejného sektora a zainteresované strany môžu nájsť ďalšie informácie o vplyve neriadeného vystúpenia Spojeného kráľovstva na právo občanov na pobyt a nároky na sociálne zabezpečenie na tomto webovom sídle Komisie:</w:t>
      </w:r>
    </w:p>
    <w:p w:rsidR="00B97A19" w:rsidRDefault="00546ED9">
      <w:pPr>
        <w:pStyle w:val="Text1"/>
        <w:ind w:left="0"/>
        <w:rPr>
          <w:noProof/>
        </w:rPr>
      </w:pPr>
      <w:hyperlink r:id="rId22">
        <w:r>
          <w:rPr>
            <w:rStyle w:val="Hyperlink"/>
            <w:noProof/>
            <w:color w:val="000000"/>
          </w:rPr>
          <w:t>https://ec.europa.eu/info/brexit/brexit-preparedness/preparedness-notices_en</w:t>
        </w:r>
      </w:hyperlink>
    </w:p>
    <w:sectPr w:rsidR="00B97A1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020" w:right="1701" w:bottom="1020" w:left="1587" w:header="601" w:footer="10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19" w:rsidRDefault="00546ED9">
      <w:pPr>
        <w:spacing w:after="0"/>
      </w:pPr>
      <w:r>
        <w:separator/>
      </w:r>
    </w:p>
  </w:endnote>
  <w:endnote w:type="continuationSeparator" w:id="0">
    <w:p w:rsidR="00B97A19" w:rsidRDefault="00546ED9">
      <w:pPr>
        <w:spacing w:after="0"/>
      </w:pPr>
      <w:r>
        <w:continuationSeparator/>
      </w:r>
    </w:p>
  </w:endnote>
  <w:endnote w:type="continuationNotice" w:id="1">
    <w:p w:rsidR="00B97A19" w:rsidRDefault="00B97A1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A19" w:rsidRDefault="00B97A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A19" w:rsidRDefault="00546ED9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A19" w:rsidRDefault="00B97A19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A19" w:rsidRDefault="00546ED9">
    <w:pPr>
      <w:pStyle w:val="FooterLi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A19" w:rsidRDefault="00546ED9">
    <w:pPr>
      <w:pStyle w:val="FooterLine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A19" w:rsidRDefault="00B97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19" w:rsidRDefault="00546ED9">
      <w:pPr>
        <w:spacing w:after="0"/>
      </w:pPr>
      <w:r>
        <w:separator/>
      </w:r>
    </w:p>
  </w:footnote>
  <w:footnote w:type="continuationSeparator" w:id="0">
    <w:p w:rsidR="00B97A19" w:rsidRDefault="00546ED9">
      <w:pPr>
        <w:spacing w:after="0"/>
      </w:pPr>
      <w:r>
        <w:continuationSeparator/>
      </w:r>
    </w:p>
  </w:footnote>
  <w:footnote w:type="continuationNotice" w:id="1">
    <w:p w:rsidR="00B97A19" w:rsidRDefault="00B97A19">
      <w:pPr>
        <w:spacing w:after="0"/>
      </w:pPr>
    </w:p>
  </w:footnote>
  <w:footnote w:id="2">
    <w:p w:rsidR="00B97A19" w:rsidRDefault="00546ED9">
      <w:pPr>
        <w:pStyle w:val="FootnoteText"/>
        <w:spacing w:after="0"/>
        <w:ind w:left="720" w:hanging="720"/>
      </w:pPr>
      <w:r>
        <w:rPr>
          <w:vertAlign w:val="superscript"/>
        </w:rPr>
        <w:footnoteRef/>
      </w:r>
      <w:r>
        <w:t xml:space="preserve"> </w:t>
      </w:r>
      <w:r>
        <w:tab/>
      </w:r>
      <w:r>
        <w:rPr>
          <w:spacing w:val="-2"/>
        </w:rPr>
        <w:t xml:space="preserve">Rozhodnutie </w:t>
      </w:r>
      <w:r>
        <w:rPr>
          <w:spacing w:val="-2"/>
        </w:rPr>
        <w:t>Európskej rady (EÚ) 2019/476 prijaté po dohode so Spojeným kráľovstvom z 22. marca 2019, ktorým sa predlžuje lehota podľa článku 50 ods. 3 Zmluvy o EÚ (Ú. v. EÚ L 80I, 22.3.2019, s. 1).</w:t>
      </w:r>
    </w:p>
  </w:footnote>
  <w:footnote w:id="3">
    <w:p w:rsidR="00B97A19" w:rsidRDefault="00546ED9">
      <w:pPr>
        <w:pStyle w:val="FootnoteText"/>
        <w:spacing w:after="0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tab/>
        <w:t>Pojem „štátni príslušníci Spojeného kráľovstva“ treba chápať ako po</w:t>
      </w:r>
      <w:r>
        <w:t>jem zahŕňajúci aj ich rodinných príslušníkov z tretích krajín, ktorí už v čase vystúpenia majú pobyt v príslušnom hostiteľskom štáte.</w:t>
      </w:r>
    </w:p>
  </w:footnote>
  <w:footnote w:id="4">
    <w:p w:rsidR="00B97A19" w:rsidRDefault="00546ED9">
      <w:pPr>
        <w:pStyle w:val="FootnoteText"/>
        <w:spacing w:after="0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tab/>
        <w:t>Štátni príslušníci Spojeného kráľovstva, ktorí sú zároveň štátnymi príslušníkmi niektorého členského štátu EÚ, zostávaj</w:t>
      </w:r>
      <w:r>
        <w:t>ú občanmi EÚ a v plnej miere si zachovávajú právo na voľný pohyb.</w:t>
      </w:r>
    </w:p>
  </w:footnote>
  <w:footnote w:id="5">
    <w:p w:rsidR="00B97A19" w:rsidRDefault="00546ED9">
      <w:pPr>
        <w:pStyle w:val="FootnoteText"/>
        <w:spacing w:after="0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tab/>
        <w:t>https://ec.europa.eu/info/brexit/brexit-preparedness/residence-rights-uk-nationals-eu-member-states_en</w:t>
      </w:r>
    </w:p>
  </w:footnote>
  <w:footnote w:id="6">
    <w:p w:rsidR="00B97A19" w:rsidRDefault="00546ED9">
      <w:pPr>
        <w:pStyle w:val="FootnoteText"/>
        <w:spacing w:after="0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tab/>
        <w:t>Takmer všetky členské štáty sú v kontakte s britskými veľvyslanectvami a konzulát</w:t>
      </w:r>
      <w:r>
        <w:t>mi. Niektoré komunikujú aj prostredníctvom sociálnych médií a webových stránok venovaných problematike pobytu. Iné vydávajú letáky; zriaďujú horúce linky pre brexit; obracajú sa na mimovládne organizácie a organizácie zamestnávateľov. Niektoré členské štát</w:t>
      </w:r>
      <w:r>
        <w:t>y dokonca oslovujú jednotlivých občanov Spojeného kráľovstva, ktorí sa zdržiavajú na ich území.</w:t>
      </w:r>
    </w:p>
  </w:footnote>
  <w:footnote w:id="7">
    <w:p w:rsidR="00B97A19" w:rsidRDefault="00546ED9">
      <w:pPr>
        <w:pStyle w:val="FootnoteText"/>
        <w:spacing w:after="0"/>
        <w:ind w:left="720" w:hanging="720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tab/>
        <w:t>Smernica Európskeho parlamentu a Rady 2004/38/ES z 29. apríla 2004 o práve občanov Únie a ich rodinných príslušníkov voľne sa pohybovať a zdržiavať sa v rámc</w:t>
      </w:r>
      <w:r>
        <w:t>i územia členských štátov, ktorá mení a dopĺňa nariadenie (EHS) 1612/68 a ruší smernice 64/221/EHS, 68/360/EHS, 72/194/EHS, 73/148/EHS, 75/34/EHS, 75/35/EHS, 90/364/EHS, 90/365/EHS a 93/96/EHS (Ú. v. EÚ L 158, 30.4.2004, s. 77).</w:t>
      </w:r>
    </w:p>
  </w:footnote>
  <w:footnote w:id="8">
    <w:p w:rsidR="00B97A19" w:rsidRDefault="00546ED9">
      <w:pPr>
        <w:pStyle w:val="FootnoteText"/>
        <w:spacing w:after="0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tab/>
        <w:t>Smernica Rady 2003/109/E</w:t>
      </w:r>
      <w:r>
        <w:t xml:space="preserve">S z 25. novembra 2003 o právnom postavení štátnych príslušníkov tretích krajín, ktoré sú osobami s dlhodobým pobytom (Ú. v. EÚ L 16, 23.1.2004, s. 44). Táto smernica sa neuplatňuje v Írsku ani Dánsku. </w:t>
      </w:r>
    </w:p>
  </w:footnote>
  <w:footnote w:id="9">
    <w:p w:rsidR="00B97A19" w:rsidRDefault="00546ED9">
      <w:pPr>
        <w:pStyle w:val="FootnoteText"/>
        <w:spacing w:after="0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spacing w:val="-2"/>
        </w:rPr>
        <w:t>Najnovší prehľad vykonávania členskými štátmi je uv</w:t>
      </w:r>
      <w:r>
        <w:rPr>
          <w:spacing w:val="-2"/>
        </w:rPr>
        <w:t>edený v správe Komisie Európskemu parlamentu a Rade z 29. marca 2019 o vykonávaní smernice 2003/109/ES o právnom postavení štátnych príslušníkov tretích krajín, ktoré sú osobami s dlhodobým pobytom [COM(2019) 161 final].</w:t>
      </w:r>
    </w:p>
  </w:footnote>
  <w:footnote w:id="10">
    <w:p w:rsidR="00B97A19" w:rsidRDefault="00546ED9">
      <w:pPr>
        <w:pStyle w:val="FootnoteText"/>
        <w:spacing w:after="0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tab/>
        <w:t>Pozri kapitolu III smernice 2003</w:t>
      </w:r>
      <w:r>
        <w:t>/109/ES (články 14 až 23).</w:t>
      </w:r>
    </w:p>
  </w:footnote>
  <w:footnote w:id="11">
    <w:p w:rsidR="00B97A19" w:rsidRDefault="00546ED9">
      <w:pPr>
        <w:pStyle w:val="FootnoteText"/>
        <w:spacing w:after="0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tab/>
        <w:t>Oznámenie Komisie z 13. novembra 2018 s názvom „Príprava na vystúpenie Spojeného kráľovstva z Európskej únie 30. marca 2019: krízový akčný plán [COM(2018) 880 final].</w:t>
      </w:r>
    </w:p>
  </w:footnote>
  <w:footnote w:id="12">
    <w:p w:rsidR="00B97A19" w:rsidRDefault="00546ED9">
      <w:pPr>
        <w:pStyle w:val="FootnoteText"/>
        <w:spacing w:after="0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tab/>
        <w:t>Treba poznamenať, že britskí štátni príslušníci, ktorí p</w:t>
      </w:r>
      <w:r>
        <w:t>odľa právnych predpisov EÚ nemali právo na voľný pohyb, už boli od vízovej povinnosti oslobodení.</w:t>
      </w:r>
    </w:p>
  </w:footnote>
  <w:footnote w:id="13">
    <w:p w:rsidR="00B97A19" w:rsidRDefault="00546ED9">
      <w:pPr>
        <w:pStyle w:val="FootnoteText"/>
        <w:spacing w:after="0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Zmena nariadenia Európskeho parlamentu a Rady (EÚ) 2018/1806 zo 14. novembra 2018 uvádzajúceho zoznam tretích krajín, ktorých štátni príslušníci musia mať </w:t>
      </w:r>
      <w:r>
        <w:t>víza pri prekračovaní vonkajších hraníc členských štátov a krajín, ktorých štátni príslušníci sú oslobodení od tejto povinnosti. Nové znenie sa formálne prijme v najbližších dňoch.</w:t>
      </w:r>
    </w:p>
  </w:footnote>
  <w:footnote w:id="14">
    <w:p w:rsidR="00B97A19" w:rsidRDefault="00546ED9">
      <w:pPr>
        <w:pStyle w:val="FootnoteText"/>
        <w:spacing w:after="0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Imigračný portál EÚ: </w:t>
      </w:r>
      <w:hyperlink r:id="rId1" w:history="1">
        <w:r>
          <w:rPr>
            <w:rStyle w:val="Hyperlink"/>
          </w:rPr>
          <w:t>h</w:t>
        </w:r>
        <w:r>
          <w:rPr>
            <w:rStyle w:val="Hyperlink"/>
          </w:rPr>
          <w:t>ttps://ec.europa.eu/immigration/</w:t>
        </w:r>
      </w:hyperlink>
      <w:r>
        <w:t xml:space="preserve"> </w:t>
      </w:r>
    </w:p>
  </w:footnote>
  <w:footnote w:id="15">
    <w:p w:rsidR="00B97A19" w:rsidRDefault="00546ED9">
      <w:pPr>
        <w:pStyle w:val="FootnoteText"/>
        <w:spacing w:after="0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tab/>
        <w:t>Existujú rôzne formy pracovnej migrácie a na každú sa vzťahujú iné pravidlá.</w:t>
      </w:r>
    </w:p>
  </w:footnote>
  <w:footnote w:id="16">
    <w:p w:rsidR="00B97A19" w:rsidRDefault="00546ED9">
      <w:pPr>
        <w:pStyle w:val="FootnoteText"/>
        <w:spacing w:after="0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Politický dokument o právach občanov v prípade brexitu bez dohody (vydaný 6. decembra 2018; naposledy aktualizovaný 28. marca 2019), pozri </w:t>
      </w:r>
      <w:hyperlink r:id="rId2">
        <w:r>
          <w:rPr>
            <w:rStyle w:val="Hyperlink"/>
          </w:rPr>
          <w:t>https://www.gov.uk/government/publications/policy-paper-on-citizens-rights-in-the-event-of-a-no-deal-brexit</w:t>
        </w:r>
      </w:hyperlink>
      <w:r>
        <w:t>; Politický dokument o</w:t>
      </w:r>
      <w:r>
        <w:t xml:space="preserve"> imigrácii od 12. apríla 2019 v prípade vystúpenia bez dohody (uverejnený 28. januára 2019), pozri </w:t>
      </w:r>
      <w:hyperlink r:id="rId3">
        <w:r>
          <w:rPr>
            <w:rStyle w:val="Hyperlink"/>
          </w:rPr>
          <w:t>https://www.gov.uk/government/publications/eu-immigration-after-free-movement-ends-if-theres-no-deal/immigration-from-30-march-2019-if-there-is-no-deal</w:t>
        </w:r>
      </w:hyperlink>
      <w:r>
        <w:t xml:space="preserve"> </w:t>
      </w:r>
    </w:p>
  </w:footnote>
  <w:footnote w:id="17">
    <w:p w:rsidR="00B97A19" w:rsidRDefault="00546ED9">
      <w:pPr>
        <w:pStyle w:val="FootnoteText"/>
        <w:spacing w:after="0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4">
        <w:r>
          <w:rPr>
            <w:rStyle w:val="Hyperlink"/>
          </w:rPr>
          <w:t>https://www.gov.uk/eusettledstatus</w:t>
        </w:r>
      </w:hyperlink>
      <w:r>
        <w:t xml:space="preserve"> </w:t>
      </w:r>
    </w:p>
  </w:footnote>
  <w:footnote w:id="18">
    <w:p w:rsidR="00B97A19" w:rsidRDefault="00546ED9">
      <w:pPr>
        <w:pStyle w:val="FootnoteText"/>
        <w:spacing w:after="0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Pozri stránku </w:t>
      </w:r>
      <w:hyperlink r:id="rId5">
        <w:r>
          <w:rPr>
            <w:rStyle w:val="Hyperlink"/>
          </w:rPr>
          <w:t>www.eurights.uk</w:t>
        </w:r>
      </w:hyperlink>
      <w:r>
        <w:t xml:space="preserve">  </w:t>
      </w:r>
    </w:p>
  </w:footnote>
  <w:footnote w:id="19">
    <w:p w:rsidR="00B97A19" w:rsidRDefault="00546ED9">
      <w:pPr>
        <w:pStyle w:val="FootnoteText"/>
        <w:spacing w:after="0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tab/>
        <w:t>Nariadenie Európskeho parlamentu a Rady (EÚ) 2019/500 z 25. marca 2019, ktorým sa stanovujú krízové opatrenia v oblasti koordinácie systémo</w:t>
      </w:r>
      <w:r>
        <w:t>v sociálneho zabezpečenia v nadväznosti na vystúpenie Spojeného kráľovstva z Únie (Ú. v. EÚ L 85I, 27.3.2019, s. 35).</w:t>
      </w:r>
    </w:p>
  </w:footnote>
  <w:footnote w:id="20">
    <w:p w:rsidR="00B97A19" w:rsidRDefault="00546ED9">
      <w:pPr>
        <w:pStyle w:val="FootnoteText"/>
        <w:spacing w:after="0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Pozri návrh usmernenia útvarov Komisie: Spoločný krízový prístup pre BREXIT na úrovni EÚ27 v prípade scenára bez dohody („jednostranný </w:t>
      </w:r>
      <w:r>
        <w:t>koordinovaný krízový prístup“), prerokovaný na technickom seminári odborníkov 20. decembra 2018.</w:t>
      </w:r>
    </w:p>
  </w:footnote>
  <w:footnote w:id="21">
    <w:p w:rsidR="00B97A19" w:rsidRDefault="00546ED9">
      <w:pPr>
        <w:pStyle w:val="FootnoteText"/>
        <w:spacing w:after="0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tab/>
        <w:t>Prístup sa vzťahuje aj na osoby bez štátnej príslušnosti a utečencov v podobnej situácii, ako aj na rodinných príslušníkov a pozostalých po týchto kategóriá</w:t>
      </w:r>
      <w:r>
        <w:t xml:space="preserve">ch osôb. </w:t>
      </w:r>
    </w:p>
    <w:p w:rsidR="00B97A19" w:rsidRDefault="00546ED9">
      <w:pPr>
        <w:pStyle w:val="FootnoteText"/>
        <w:spacing w:after="0"/>
        <w:ind w:left="720" w:firstLine="0"/>
        <w:rPr>
          <w:rFonts w:ascii="Calibri" w:hAnsi="Calibri"/>
        </w:rPr>
      </w:pPr>
      <w:r>
        <w:t>Týmto prístupom sa uplatňovanie rozšíri aj na štátnych príslušníkov tretích krajín, na ktorých sa pred dátumom vystúpenia vzťahuje alebo vzťahovalo nariadenie (EÚ) č. 1231/2010 alebo nariadenie (ES) č. 859/2003, a na ich rodinných príslušníkov a </w:t>
      </w:r>
      <w:r>
        <w:t>pozostalých, pokiaľ ide o ich nárok, ktorý bol nadobudnutý alebo bude nadobudnutý v súvislosti so situáciami, ktoré sa týkajú Spojeného kráľovstva pred vystúpením. To znamená, že štátni príslušníci tretích krajín, ktorí sa pred dátumom vystúpenia nachádzal</w:t>
      </w:r>
      <w:r>
        <w:t>i vo vnútroúnijnej cezhraničnej situácii zahŕňajúcej Spojené kráľovstvo, ako aj ich rodinní príslušníci a pozostalí, by si zachovali svoje nároky v členských štátoch EÚ27 v súvislosti s dosiahnutými obdobiami alebo skutočnosťami či udalosťami, ku ktorým do</w:t>
      </w:r>
      <w:r>
        <w:t>šlo pred dátumom vystúpenia. Nariadenie (EÚ) č. 1231/2010 sa nevzťahuje na Dánsko.</w:t>
      </w:r>
    </w:p>
  </w:footnote>
  <w:footnote w:id="22">
    <w:p w:rsidR="00B97A19" w:rsidRDefault="00546ED9">
      <w:pPr>
        <w:pStyle w:val="FootnoteText"/>
        <w:spacing w:after="0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Ako sa uvádza v návrhu usmernenia (pozri poznámku pod čiarou </w:t>
      </w:r>
      <w:r>
        <w:fldChar w:fldCharType="begin"/>
      </w:r>
      <w:r>
        <w:instrText xml:space="preserve"> NOTEREF _Ref5702974 \h </w:instrText>
      </w:r>
      <w:r>
        <w:fldChar w:fldCharType="separate"/>
      </w:r>
      <w:r>
        <w:t>19</w:t>
      </w:r>
      <w:r>
        <w:fldChar w:fldCharType="end"/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A19" w:rsidRDefault="00B97A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A19" w:rsidRDefault="00B97A19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A19" w:rsidRDefault="00B97A19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A19" w:rsidRDefault="00B97A1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A19" w:rsidRDefault="00B97A1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8396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7A19" w:rsidRDefault="00546ED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7A19" w:rsidRDefault="00B97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00F7"/>
    <w:multiLevelType w:val="multilevel"/>
    <w:tmpl w:val="AA6A57FA"/>
    <w:name w:val="ListDash4Numbering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  <w:lvl w:ilvl="1">
      <w:start w:val="1"/>
      <w:numFmt w:val="bullet"/>
      <w:pStyle w:val="ListDash4Level2"/>
      <w:lvlText w:val="–"/>
      <w:lvlJc w:val="left"/>
      <w:pPr>
        <w:tabs>
          <w:tab w:val="num" w:pos="1769"/>
        </w:tabs>
        <w:ind w:left="1769" w:hanging="284"/>
      </w:pPr>
      <w:rPr>
        <w:rFonts w:ascii="Times New Roman" w:hAnsi="Times New Roman"/>
      </w:rPr>
    </w:lvl>
    <w:lvl w:ilvl="2">
      <w:start w:val="1"/>
      <w:numFmt w:val="bullet"/>
      <w:pStyle w:val="ListDash4Level3"/>
      <w:lvlText w:val="–"/>
      <w:lvlJc w:val="left"/>
      <w:pPr>
        <w:tabs>
          <w:tab w:val="num" w:pos="2052"/>
        </w:tabs>
        <w:ind w:left="2052" w:hanging="283"/>
      </w:pPr>
      <w:rPr>
        <w:rFonts w:ascii="Times New Roman" w:hAnsi="Times New Roman"/>
      </w:rPr>
    </w:lvl>
    <w:lvl w:ilvl="3">
      <w:start w:val="1"/>
      <w:numFmt w:val="bullet"/>
      <w:pStyle w:val="ListDash4Level4"/>
      <w:lvlText w:val="–"/>
      <w:lvlJc w:val="left"/>
      <w:pPr>
        <w:tabs>
          <w:tab w:val="num" w:pos="2336"/>
        </w:tabs>
        <w:ind w:left="2336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EFB7115"/>
    <w:multiLevelType w:val="multilevel"/>
    <w:tmpl w:val="A24EFF48"/>
    <w:name w:val="ListNumber3Numbering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120B7201"/>
    <w:multiLevelType w:val="multilevel"/>
    <w:tmpl w:val="47DE5BAC"/>
    <w:name w:val="ListNumberNumbering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1262685D"/>
    <w:multiLevelType w:val="multilevel"/>
    <w:tmpl w:val="943EA59E"/>
    <w:name w:val="ListBullet4Numbering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  <w:lvl w:ilvl="1">
      <w:start w:val="1"/>
      <w:numFmt w:val="bullet"/>
      <w:pStyle w:val="ListBullet4Level2"/>
      <w:lvlText w:val=""/>
      <w:lvlJc w:val="left"/>
      <w:pPr>
        <w:tabs>
          <w:tab w:val="num" w:pos="1769"/>
        </w:tabs>
        <w:ind w:left="1769" w:hanging="284"/>
      </w:pPr>
      <w:rPr>
        <w:rFonts w:ascii="Symbol" w:hAnsi="Symbol"/>
      </w:rPr>
    </w:lvl>
    <w:lvl w:ilvl="2">
      <w:start w:val="1"/>
      <w:numFmt w:val="bullet"/>
      <w:pStyle w:val="ListBullet4Level3"/>
      <w:lvlText w:val=""/>
      <w:lvlJc w:val="left"/>
      <w:pPr>
        <w:tabs>
          <w:tab w:val="num" w:pos="2052"/>
        </w:tabs>
        <w:ind w:left="2052" w:hanging="283"/>
      </w:pPr>
      <w:rPr>
        <w:rFonts w:ascii="Symbol" w:hAnsi="Symbol"/>
      </w:rPr>
    </w:lvl>
    <w:lvl w:ilvl="3">
      <w:start w:val="1"/>
      <w:numFmt w:val="bullet"/>
      <w:pStyle w:val="ListBullet4Level4"/>
      <w:lvlText w:val=""/>
      <w:lvlJc w:val="left"/>
      <w:pPr>
        <w:tabs>
          <w:tab w:val="num" w:pos="2336"/>
        </w:tabs>
        <w:ind w:left="2336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143D0A16"/>
    <w:multiLevelType w:val="multilevel"/>
    <w:tmpl w:val="4DBCAA4C"/>
    <w:name w:val="ListBullet3Numbering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  <w:lvl w:ilvl="1">
      <w:start w:val="1"/>
      <w:numFmt w:val="bullet"/>
      <w:pStyle w:val="ListBullet3Level2"/>
      <w:lvlText w:val=""/>
      <w:lvlJc w:val="left"/>
      <w:pPr>
        <w:tabs>
          <w:tab w:val="num" w:pos="1769"/>
        </w:tabs>
        <w:ind w:left="1769" w:hanging="284"/>
      </w:pPr>
      <w:rPr>
        <w:rFonts w:ascii="Symbol" w:hAnsi="Symbol"/>
      </w:rPr>
    </w:lvl>
    <w:lvl w:ilvl="2">
      <w:start w:val="1"/>
      <w:numFmt w:val="bullet"/>
      <w:pStyle w:val="ListBullet3Level3"/>
      <w:lvlText w:val=""/>
      <w:lvlJc w:val="left"/>
      <w:pPr>
        <w:tabs>
          <w:tab w:val="num" w:pos="2052"/>
        </w:tabs>
        <w:ind w:left="2052" w:hanging="283"/>
      </w:pPr>
      <w:rPr>
        <w:rFonts w:ascii="Symbol" w:hAnsi="Symbol"/>
      </w:rPr>
    </w:lvl>
    <w:lvl w:ilvl="3">
      <w:start w:val="1"/>
      <w:numFmt w:val="bullet"/>
      <w:pStyle w:val="ListBullet3Level4"/>
      <w:lvlText w:val=""/>
      <w:lvlJc w:val="left"/>
      <w:pPr>
        <w:tabs>
          <w:tab w:val="num" w:pos="2336"/>
        </w:tabs>
        <w:ind w:left="2336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5" w15:restartNumberingAfterBreak="0">
    <w:nsid w:val="172F0AC5"/>
    <w:multiLevelType w:val="multilevel"/>
    <w:tmpl w:val="A96C1276"/>
    <w:name w:val="ListNumber2Numbering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6" w15:restartNumberingAfterBreak="0">
    <w:nsid w:val="1C7B624F"/>
    <w:multiLevelType w:val="multilevel"/>
    <w:tmpl w:val="92D2269A"/>
    <w:name w:val="ListDash2Numbering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  <w:lvl w:ilvl="1">
      <w:start w:val="1"/>
      <w:numFmt w:val="bullet"/>
      <w:pStyle w:val="ListDash2Level2"/>
      <w:lvlText w:val="–"/>
      <w:lvlJc w:val="left"/>
      <w:pPr>
        <w:tabs>
          <w:tab w:val="num" w:pos="1769"/>
        </w:tabs>
        <w:ind w:left="1769" w:hanging="284"/>
      </w:pPr>
      <w:rPr>
        <w:rFonts w:ascii="Times New Roman" w:hAnsi="Times New Roman"/>
      </w:rPr>
    </w:lvl>
    <w:lvl w:ilvl="2">
      <w:start w:val="1"/>
      <w:numFmt w:val="bullet"/>
      <w:pStyle w:val="ListDash2Level3"/>
      <w:lvlText w:val="–"/>
      <w:lvlJc w:val="left"/>
      <w:pPr>
        <w:tabs>
          <w:tab w:val="num" w:pos="2052"/>
        </w:tabs>
        <w:ind w:left="2052" w:hanging="283"/>
      </w:pPr>
      <w:rPr>
        <w:rFonts w:ascii="Times New Roman" w:hAnsi="Times New Roman"/>
      </w:rPr>
    </w:lvl>
    <w:lvl w:ilvl="3">
      <w:start w:val="1"/>
      <w:numFmt w:val="bullet"/>
      <w:pStyle w:val="ListDash2Level4"/>
      <w:lvlText w:val="–"/>
      <w:lvlJc w:val="left"/>
      <w:pPr>
        <w:tabs>
          <w:tab w:val="num" w:pos="2336"/>
        </w:tabs>
        <w:ind w:left="2336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7" w15:restartNumberingAfterBreak="0">
    <w:nsid w:val="1F953E62"/>
    <w:multiLevelType w:val="hybridMultilevel"/>
    <w:tmpl w:val="D6FE6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0564E"/>
    <w:multiLevelType w:val="hybridMultilevel"/>
    <w:tmpl w:val="5C689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DFDF8"/>
    <w:multiLevelType w:val="multilevel"/>
    <w:tmpl w:val="40686314"/>
    <w:name w:val="ListBullet2Numbering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  <w:lvl w:ilvl="1">
      <w:start w:val="1"/>
      <w:numFmt w:val="bullet"/>
      <w:pStyle w:val="ListBullet2Level2"/>
      <w:lvlText w:val=""/>
      <w:lvlJc w:val="left"/>
      <w:pPr>
        <w:tabs>
          <w:tab w:val="num" w:pos="1769"/>
        </w:tabs>
        <w:ind w:left="1769" w:hanging="284"/>
      </w:pPr>
      <w:rPr>
        <w:rFonts w:ascii="Symbol" w:hAnsi="Symbol"/>
      </w:rPr>
    </w:lvl>
    <w:lvl w:ilvl="2">
      <w:start w:val="1"/>
      <w:numFmt w:val="bullet"/>
      <w:pStyle w:val="ListBullet2Level3"/>
      <w:lvlText w:val=""/>
      <w:lvlJc w:val="left"/>
      <w:pPr>
        <w:tabs>
          <w:tab w:val="num" w:pos="2052"/>
        </w:tabs>
        <w:ind w:left="2052" w:hanging="283"/>
      </w:pPr>
      <w:rPr>
        <w:rFonts w:ascii="Symbol" w:hAnsi="Symbol"/>
      </w:rPr>
    </w:lvl>
    <w:lvl w:ilvl="3">
      <w:start w:val="1"/>
      <w:numFmt w:val="bullet"/>
      <w:pStyle w:val="ListBullet2Level4"/>
      <w:lvlText w:val=""/>
      <w:lvlJc w:val="left"/>
      <w:pPr>
        <w:tabs>
          <w:tab w:val="num" w:pos="2336"/>
        </w:tabs>
        <w:ind w:left="2336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0" w15:restartNumberingAfterBreak="0">
    <w:nsid w:val="2D293CE3"/>
    <w:multiLevelType w:val="multilevel"/>
    <w:tmpl w:val="BB2C0B9C"/>
    <w:name w:val="LegalNumParNumbering"/>
    <w:lvl w:ilvl="0">
      <w:start w:val="1"/>
      <w:numFmt w:val="decimal"/>
      <w:pStyle w:val="LegalNumPar"/>
      <w:lvlText w:val="%1."/>
      <w:lvlJc w:val="left"/>
      <w:pPr>
        <w:tabs>
          <w:tab w:val="num" w:pos="476"/>
        </w:tabs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tabs>
          <w:tab w:val="num" w:pos="952"/>
        </w:tabs>
        <w:ind w:left="952" w:hanging="476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tabs>
          <w:tab w:val="num" w:pos="1429"/>
        </w:tabs>
        <w:ind w:left="1429" w:hanging="477"/>
      </w:pPr>
      <w:rPr>
        <w:rFonts w:hint="default"/>
      </w:rPr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1" w15:restartNumberingAfterBreak="0">
    <w:nsid w:val="36324F1E"/>
    <w:multiLevelType w:val="multilevel"/>
    <w:tmpl w:val="34A4EF2A"/>
    <w:name w:val="ListDash3Numbering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  <w:lvl w:ilvl="1">
      <w:start w:val="1"/>
      <w:numFmt w:val="bullet"/>
      <w:pStyle w:val="ListDash3Level2"/>
      <w:lvlText w:val="–"/>
      <w:lvlJc w:val="left"/>
      <w:pPr>
        <w:tabs>
          <w:tab w:val="num" w:pos="1769"/>
        </w:tabs>
        <w:ind w:left="1769" w:hanging="284"/>
      </w:pPr>
      <w:rPr>
        <w:rFonts w:ascii="Times New Roman" w:hAnsi="Times New Roman"/>
      </w:rPr>
    </w:lvl>
    <w:lvl w:ilvl="2">
      <w:start w:val="1"/>
      <w:numFmt w:val="bullet"/>
      <w:pStyle w:val="ListDash3Level3"/>
      <w:lvlText w:val="–"/>
      <w:lvlJc w:val="left"/>
      <w:pPr>
        <w:tabs>
          <w:tab w:val="num" w:pos="2052"/>
        </w:tabs>
        <w:ind w:left="2052" w:hanging="283"/>
      </w:pPr>
      <w:rPr>
        <w:rFonts w:ascii="Times New Roman" w:hAnsi="Times New Roman"/>
      </w:rPr>
    </w:lvl>
    <w:lvl w:ilvl="3">
      <w:start w:val="1"/>
      <w:numFmt w:val="bullet"/>
      <w:pStyle w:val="ListDash3Level4"/>
      <w:lvlText w:val="–"/>
      <w:lvlJc w:val="left"/>
      <w:pPr>
        <w:tabs>
          <w:tab w:val="num" w:pos="2336"/>
        </w:tabs>
        <w:ind w:left="2336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2" w15:restartNumberingAfterBreak="0">
    <w:nsid w:val="37CB1E1C"/>
    <w:multiLevelType w:val="multilevel"/>
    <w:tmpl w:val="448653B4"/>
    <w:name w:val="ListDash1Numbering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  <w:lvl w:ilvl="1">
      <w:start w:val="1"/>
      <w:numFmt w:val="bullet"/>
      <w:pStyle w:val="ListDash1Level2"/>
      <w:lvlText w:val="–"/>
      <w:lvlJc w:val="left"/>
      <w:pPr>
        <w:tabs>
          <w:tab w:val="num" w:pos="1049"/>
        </w:tabs>
        <w:ind w:left="1049" w:hanging="284"/>
      </w:pPr>
      <w:rPr>
        <w:rFonts w:ascii="Times New Roman" w:hAnsi="Times New Roman"/>
      </w:rPr>
    </w:lvl>
    <w:lvl w:ilvl="2">
      <w:start w:val="1"/>
      <w:numFmt w:val="bullet"/>
      <w:pStyle w:val="ListDash1Level3"/>
      <w:lvlText w:val="–"/>
      <w:lvlJc w:val="left"/>
      <w:pPr>
        <w:tabs>
          <w:tab w:val="num" w:pos="1332"/>
        </w:tabs>
        <w:ind w:left="1332" w:hanging="283"/>
      </w:pPr>
      <w:rPr>
        <w:rFonts w:ascii="Times New Roman" w:hAnsi="Times New Roman"/>
      </w:rPr>
    </w:lvl>
    <w:lvl w:ilvl="3">
      <w:start w:val="1"/>
      <w:numFmt w:val="bullet"/>
      <w:pStyle w:val="ListDash1Level4"/>
      <w:lvlText w:val="–"/>
      <w:lvlJc w:val="left"/>
      <w:pPr>
        <w:tabs>
          <w:tab w:val="num" w:pos="1616"/>
        </w:tabs>
        <w:ind w:left="1616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3" w15:restartNumberingAfterBreak="0">
    <w:nsid w:val="3A7730C4"/>
    <w:multiLevelType w:val="multilevel"/>
    <w:tmpl w:val="0D189DCC"/>
    <w:name w:val="ListBullet1Numbering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  <w:lvl w:ilvl="1">
      <w:start w:val="1"/>
      <w:numFmt w:val="bullet"/>
      <w:pStyle w:val="ListBullet1Level2"/>
      <w:lvlText w:val=""/>
      <w:lvlJc w:val="left"/>
      <w:pPr>
        <w:tabs>
          <w:tab w:val="num" w:pos="1049"/>
        </w:tabs>
        <w:ind w:left="1049" w:hanging="284"/>
      </w:pPr>
      <w:rPr>
        <w:rFonts w:ascii="Symbol" w:hAnsi="Symbol"/>
      </w:rPr>
    </w:lvl>
    <w:lvl w:ilvl="2">
      <w:start w:val="1"/>
      <w:numFmt w:val="bullet"/>
      <w:pStyle w:val="ListBullet1Level3"/>
      <w:lvlText w:val=""/>
      <w:lvlJc w:val="left"/>
      <w:pPr>
        <w:tabs>
          <w:tab w:val="num" w:pos="1332"/>
        </w:tabs>
        <w:ind w:left="1332" w:hanging="283"/>
      </w:pPr>
      <w:rPr>
        <w:rFonts w:ascii="Symbol" w:hAnsi="Symbol"/>
      </w:rPr>
    </w:lvl>
    <w:lvl w:ilvl="3">
      <w:start w:val="1"/>
      <w:numFmt w:val="bullet"/>
      <w:pStyle w:val="ListBullet1Level4"/>
      <w:lvlText w:val=""/>
      <w:lvlJc w:val="left"/>
      <w:pPr>
        <w:tabs>
          <w:tab w:val="num" w:pos="1616"/>
        </w:tabs>
        <w:ind w:left="1616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4" w15:restartNumberingAfterBreak="0">
    <w:nsid w:val="429E662A"/>
    <w:multiLevelType w:val="multilevel"/>
    <w:tmpl w:val="2FC8873C"/>
    <w:name w:val="ListNumber1Numbering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5" w15:restartNumberingAfterBreak="0">
    <w:nsid w:val="43B708D7"/>
    <w:multiLevelType w:val="multilevel"/>
    <w:tmpl w:val="14D69CFA"/>
    <w:styleLink w:val="ImportedStyle1"/>
    <w:lvl w:ilvl="0">
      <w:start w:val="1"/>
      <w:numFmt w:val="decimal"/>
      <w:lvlText w:val="%1."/>
      <w:lvlJc w:val="left"/>
      <w:pPr>
        <w:ind w:left="48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77" w:hanging="6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922" w:hanging="83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9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38" w:hanging="9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838" w:hanging="9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838" w:hanging="9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838" w:hanging="9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838" w:hanging="9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6D225CF"/>
    <w:multiLevelType w:val="hybridMultilevel"/>
    <w:tmpl w:val="4678B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77C97"/>
    <w:multiLevelType w:val="multilevel"/>
    <w:tmpl w:val="14D69CFA"/>
    <w:numStyleLink w:val="ImportedStyle1"/>
  </w:abstractNum>
  <w:abstractNum w:abstractNumId="18" w15:restartNumberingAfterBreak="0">
    <w:nsid w:val="4E1A982C"/>
    <w:multiLevelType w:val="multilevel"/>
    <w:tmpl w:val="625CE4A4"/>
    <w:name w:val="ListBulletNumbering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pStyle w:val="ListBulletLevel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/>
      </w:rPr>
    </w:lvl>
    <w:lvl w:ilvl="2">
      <w:start w:val="1"/>
      <w:numFmt w:val="bullet"/>
      <w:pStyle w:val="ListBulletLevel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pStyle w:val="ListBulletLevel4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9" w15:restartNumberingAfterBreak="0">
    <w:nsid w:val="5072619B"/>
    <w:multiLevelType w:val="multilevel"/>
    <w:tmpl w:val="99A4CB20"/>
    <w:name w:val="ListDashNumbering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start w:val="1"/>
      <w:numFmt w:val="bullet"/>
      <w:pStyle w:val="ListDashLevel2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</w:rPr>
    </w:lvl>
    <w:lvl w:ilvl="2">
      <w:start w:val="1"/>
      <w:numFmt w:val="bullet"/>
      <w:pStyle w:val="ListDashLevel3"/>
      <w:lvlText w:val="–"/>
      <w:lvlJc w:val="left"/>
      <w:pPr>
        <w:tabs>
          <w:tab w:val="num" w:pos="850"/>
        </w:tabs>
        <w:ind w:left="850" w:hanging="283"/>
      </w:pPr>
      <w:rPr>
        <w:rFonts w:ascii="Times New Roman" w:hAnsi="Times New Roman"/>
      </w:rPr>
    </w:lvl>
    <w:lvl w:ilvl="3">
      <w:start w:val="1"/>
      <w:numFmt w:val="bullet"/>
      <w:pStyle w:val="ListDashLevel4"/>
      <w:lvlText w:val="–"/>
      <w:lvlJc w:val="left"/>
      <w:pPr>
        <w:tabs>
          <w:tab w:val="num" w:pos="1134"/>
        </w:tabs>
        <w:ind w:left="1134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0" w15:restartNumberingAfterBreak="0">
    <w:nsid w:val="6977472E"/>
    <w:multiLevelType w:val="multilevel"/>
    <w:tmpl w:val="F47CD8F4"/>
    <w:name w:val="ListNumber4Numbering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1" w15:restartNumberingAfterBreak="0">
    <w:nsid w:val="7C65145E"/>
    <w:multiLevelType w:val="multilevel"/>
    <w:tmpl w:val="B2AE485C"/>
    <w:name w:val="EurolookHeading"/>
    <w:lvl w:ilvl="0">
      <w:start w:val="1"/>
      <w:numFmt w:val="decimal"/>
      <w:pStyle w:val="Heading1"/>
      <w:lvlText w:val="%1."/>
      <w:lvlJc w:val="left"/>
      <w:pPr>
        <w:tabs>
          <w:tab w:val="num" w:pos="482"/>
        </w:tabs>
        <w:ind w:left="482" w:hanging="48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2"/>
        </w:tabs>
        <w:ind w:left="1202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2"/>
        </w:tabs>
        <w:ind w:left="1922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2"/>
        </w:tabs>
        <w:ind w:left="1922" w:hanging="72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880"/>
        </w:tabs>
        <w:ind w:left="3838" w:hanging="958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880"/>
        </w:tabs>
        <w:ind w:left="3838" w:hanging="958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2880"/>
        </w:tabs>
        <w:ind w:left="3838" w:hanging="958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2880"/>
        </w:tabs>
        <w:ind w:left="3838" w:hanging="958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2880"/>
        </w:tabs>
        <w:ind w:left="3838" w:hanging="958"/>
      </w:pPr>
    </w:lvl>
  </w:abstractNum>
  <w:abstractNum w:abstractNumId="22" w15:restartNumberingAfterBreak="0">
    <w:nsid w:val="7C651460"/>
    <w:multiLevelType w:val="multilevel"/>
    <w:tmpl w:val="DCAA060D"/>
    <w:name w:val="AnnexHeading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18"/>
  </w:num>
  <w:num w:numId="4">
    <w:abstractNumId w:val="13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4"/>
  </w:num>
  <w:num w:numId="10">
    <w:abstractNumId w:val="5"/>
  </w:num>
  <w:num w:numId="11">
    <w:abstractNumId w:val="1"/>
  </w:num>
  <w:num w:numId="12">
    <w:abstractNumId w:val="20"/>
  </w:num>
  <w:num w:numId="13">
    <w:abstractNumId w:val="19"/>
  </w:num>
  <w:num w:numId="14">
    <w:abstractNumId w:val="12"/>
  </w:num>
  <w:num w:numId="15">
    <w:abstractNumId w:val="6"/>
  </w:num>
  <w:num w:numId="16">
    <w:abstractNumId w:val="11"/>
  </w:num>
  <w:num w:numId="17">
    <w:abstractNumId w:val="0"/>
  </w:num>
  <w:num w:numId="18">
    <w:abstractNumId w:val="22"/>
  </w:num>
  <w:num w:numId="19">
    <w:abstractNumId w:val="15"/>
  </w:num>
  <w:num w:numId="20">
    <w:abstractNumId w:val="17"/>
  </w:num>
  <w:num w:numId="21">
    <w:abstractNumId w:val="16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k"/>
    <w:docVar w:name="LW_ANNEX_NBR_FIRST" w:val="2"/>
    <w:docVar w:name="LW_ANNEX_NBR_LAST" w:val="2"/>
    <w:docVar w:name="LW_ANNEX_UNIQUE" w:val="0"/>
    <w:docVar w:name="LW_CORRIGENDUM" w:val="&lt;UNUSED&gt;"/>
    <w:docVar w:name="LW_COVERPAGE_EXISTS" w:val="True"/>
    <w:docVar w:name="LW_COVERPAGE_GUID" w:val="D52D748A-A188-4738-9FB4-F5CF084DDF5C"/>
    <w:docVar w:name="LW_COVERPAGE_TYPE" w:val="1"/>
    <w:docVar w:name="LW_CROSSREFERENCE" w:val="&lt;UNUSED&gt;"/>
    <w:docVar w:name="LW_DocType" w:val="EUROLOOK"/>
    <w:docVar w:name="LW_EMISSION" w:val="10. 4. 2019"/>
    <w:docVar w:name="LW_EMISSION_ISODATE" w:val="2019-04-10"/>
    <w:docVar w:name="LW_EMISSION_LOCATION" w:val="BRX"/>
    <w:docVar w:name="LW_EMISSION_PREFIX" w:val="V Bruseli"/>
    <w:docVar w:name="LW_EMISSION_SUFFIX" w:val=" "/>
    <w:docVar w:name="LW_ID_DOCTYPE_NONLW" w:val="CP-039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.CP" w:val="Vyrovnanie sa s dôsledkami vystúpenia Spojeného krá\u318?ovstva z Únie bez dohody: koordinovaný prístup Únie_x000b__x000b_Policajná a justi\u269?ná spolupráca v trestných veciach:_x000b_koordinovaný prístup v prípade vystúpenia Spojeného krá\u318?ovstva z Únie bez dohody"/>
    <w:docVar w:name="LW_PART_NBR" w:val="1"/>
    <w:docVar w:name="LW_PART_NBR_TOTAL" w:val="1"/>
    <w:docVar w:name="LW_REF.INST.NEW" w:val="COM"/>
    <w:docVar w:name="LW_REF.INST.NEW_ADOPTED" w:val="final"/>
    <w:docVar w:name="LW_REF.INST.NEW_TEXT" w:val="(2019) 19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PRÍLOHA_x000b_"/>
    <w:docVar w:name="LW_TYPEACTEPRINCIPAL.CP" w:val="OZNÁMENIU KOMISIE EURÓPSKEMU PARLAMENTU, EURÓPSKEJ RADE, RADE, EURÓPSKEJ CENTRÁLNEJ BANKE, EURÓPSKEMU HOSPODÁRSKEMU A SOCIÁLNEMU VÝBORU, VÝBORU REGIÓNOV A EURÓPSKEJ INVESTI\u268?NEJ BANKE"/>
  </w:docVars>
  <w:rsids>
    <w:rsidRoot w:val="00B97A19"/>
    <w:rsid w:val="00546ED9"/>
    <w:rsid w:val="00B9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E836189-3BEF-4006-A5A9-AE7E8B95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sk-SK" w:eastAsia="sk-SK" w:bidi="sk-SK"/>
      </w:rPr>
    </w:rPrDefault>
    <w:pPrDefault/>
  </w:docDefaults>
  <w:latentStyles w:defLockedState="1" w:defUIPriority="0" w:defSemiHidden="0" w:defUnhideWhenUsed="0" w:defQFormat="0" w:count="371">
    <w:lsdException w:name="Normal" w:uiPriority="90" w:qFormat="1"/>
    <w:lsdException w:name="heading 1" w:uiPriority="90" w:qFormat="1"/>
    <w:lsdException w:name="heading 2" w:uiPriority="90" w:qFormat="1"/>
    <w:lsdException w:name="heading 3" w:uiPriority="90" w:qFormat="1"/>
    <w:lsdException w:name="heading 4" w:uiPriority="90" w:qFormat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99" w:unhideWhenUsed="1"/>
    <w:lsdException w:name="toc 4" w:semiHidden="1" w:uiPriority="9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nhideWhenUsed="1"/>
    <w:lsdException w:name="index heading" w:semiHidden="1" w:unhideWhenUsed="1"/>
    <w:lsdException w:name="caption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90" w:unhideWhenUsed="1" w:qFormat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/>
    <w:lsdException w:name="List Bullet 3" w:unhideWhenUsed="1"/>
    <w:lsdException w:name="List Bullet 4" w:unhideWhenUsed="1"/>
    <w:lsdException w:name="List Bullet 5" w:semiHidden="1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90"/>
    <w:qFormat/>
    <w:pPr>
      <w:spacing w:after="240"/>
      <w:jc w:val="both"/>
    </w:pPr>
  </w:style>
  <w:style w:type="paragraph" w:styleId="Heading1">
    <w:name w:val="heading 1"/>
    <w:basedOn w:val="Normal"/>
    <w:next w:val="Text1"/>
    <w:uiPriority w:val="90"/>
    <w:qFormat/>
    <w:pPr>
      <w:keepNext/>
      <w:numPr>
        <w:numId w:val="2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uiPriority w:val="90"/>
    <w:qFormat/>
    <w:pPr>
      <w:keepNext/>
      <w:numPr>
        <w:ilvl w:val="1"/>
        <w:numId w:val="2"/>
      </w:numPr>
      <w:outlineLvl w:val="1"/>
    </w:pPr>
    <w:rPr>
      <w:b/>
    </w:rPr>
  </w:style>
  <w:style w:type="paragraph" w:styleId="Heading3">
    <w:name w:val="heading 3"/>
    <w:basedOn w:val="Normal"/>
    <w:next w:val="Text3"/>
    <w:uiPriority w:val="90"/>
    <w:qFormat/>
    <w:pPr>
      <w:keepNext/>
      <w:numPr>
        <w:ilvl w:val="2"/>
        <w:numId w:val="2"/>
      </w:numPr>
      <w:outlineLvl w:val="2"/>
    </w:pPr>
    <w:rPr>
      <w:i/>
    </w:rPr>
  </w:style>
  <w:style w:type="paragraph" w:styleId="Heading4">
    <w:name w:val="heading 4"/>
    <w:basedOn w:val="Normal"/>
    <w:next w:val="Text4"/>
    <w:uiPriority w:val="90"/>
    <w:qFormat/>
    <w:pPr>
      <w:keepNext/>
      <w:numPr>
        <w:ilvl w:val="3"/>
        <w:numId w:val="2"/>
      </w:numPr>
      <w:outlineLvl w:val="3"/>
    </w:pPr>
  </w:style>
  <w:style w:type="paragraph" w:styleId="Heading5">
    <w:name w:val="heading 5"/>
    <w:basedOn w:val="Normal"/>
    <w:next w:val="Normal"/>
    <w:semiHidden/>
    <w:pPr>
      <w:keepNext/>
      <w:numPr>
        <w:ilvl w:val="4"/>
        <w:numId w:val="2"/>
      </w:numPr>
      <w:outlineLvl w:val="4"/>
    </w:pPr>
  </w:style>
  <w:style w:type="paragraph" w:styleId="Heading6">
    <w:name w:val="heading 6"/>
    <w:basedOn w:val="Normal"/>
    <w:next w:val="Normal"/>
    <w:semiHidden/>
    <w:pPr>
      <w:keepNext/>
      <w:numPr>
        <w:ilvl w:val="5"/>
        <w:numId w:val="2"/>
      </w:numPr>
      <w:outlineLvl w:val="5"/>
    </w:pPr>
  </w:style>
  <w:style w:type="paragraph" w:styleId="Heading7">
    <w:name w:val="heading 7"/>
    <w:basedOn w:val="Normal"/>
    <w:next w:val="Normal"/>
    <w:semiHidden/>
    <w:pPr>
      <w:keepNext/>
      <w:numPr>
        <w:ilvl w:val="6"/>
        <w:numId w:val="2"/>
      </w:numPr>
      <w:outlineLvl w:val="6"/>
    </w:pPr>
  </w:style>
  <w:style w:type="paragraph" w:styleId="Heading8">
    <w:name w:val="heading 8"/>
    <w:basedOn w:val="Normal"/>
    <w:next w:val="Normal"/>
    <w:semiHidden/>
    <w:pPr>
      <w:keepNext/>
      <w:numPr>
        <w:ilvl w:val="7"/>
        <w:numId w:val="2"/>
      </w:numPr>
      <w:outlineLvl w:val="7"/>
    </w:pPr>
  </w:style>
  <w:style w:type="paragraph" w:styleId="Heading9">
    <w:name w:val="heading 9"/>
    <w:basedOn w:val="Normal"/>
    <w:next w:val="Normal"/>
    <w:semiHidden/>
    <w:pPr>
      <w:keepNext/>
      <w:numPr>
        <w:ilvl w:val="8"/>
        <w:numId w:val="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rossReference">
    <w:name w:val="Cross Reference"/>
    <w:basedOn w:val="DefaultParagraphFont"/>
    <w:uiPriority w:val="99"/>
    <w:rPr>
      <w:i/>
    </w:rPr>
  </w:style>
  <w:style w:type="character" w:customStyle="1" w:styleId="MarkingText">
    <w:name w:val="MarkingText"/>
    <w:semiHidden/>
    <w:rPr>
      <w:i/>
      <w:sz w:val="28"/>
    </w:rPr>
  </w:style>
  <w:style w:type="character" w:customStyle="1" w:styleId="MarkingLabel">
    <w:name w:val="MarkingLabel"/>
    <w:semiHidden/>
    <w:rPr>
      <w:b/>
      <w:caps/>
      <w:sz w:val="28"/>
    </w:rPr>
  </w:style>
  <w:style w:type="character" w:customStyle="1" w:styleId="BodyPlaceholderText">
    <w:name w:val="BodyPlaceholderText"/>
    <w:basedOn w:val="PlaceholderText"/>
    <w:uiPriority w:val="1"/>
    <w:semiHidden/>
    <w:rPr>
      <w:color w:val="3366CC"/>
    </w:rPr>
  </w:style>
  <w:style w:type="character" w:styleId="PlaceholderText">
    <w:name w:val="Placeholder Text"/>
    <w:basedOn w:val="DefaultParagraphFont"/>
    <w:uiPriority w:val="99"/>
    <w:semiHidden/>
    <w:rPr>
      <w:color w:val="2C8F6C"/>
    </w:rPr>
  </w:style>
  <w:style w:type="paragraph" w:customStyle="1" w:styleId="LegalNumPar3">
    <w:name w:val="LegalNumPar3"/>
    <w:basedOn w:val="Normal"/>
    <w:pPr>
      <w:numPr>
        <w:ilvl w:val="2"/>
        <w:numId w:val="1"/>
      </w:numPr>
      <w:spacing w:line="360" w:lineRule="auto"/>
      <w:jc w:val="left"/>
    </w:pPr>
  </w:style>
  <w:style w:type="paragraph" w:customStyle="1" w:styleId="LegalNumPar2">
    <w:name w:val="LegalNumPar2"/>
    <w:basedOn w:val="Normal"/>
    <w:pPr>
      <w:numPr>
        <w:ilvl w:val="1"/>
        <w:numId w:val="1"/>
      </w:numPr>
      <w:spacing w:line="360" w:lineRule="auto"/>
      <w:jc w:val="left"/>
    </w:pPr>
  </w:style>
  <w:style w:type="paragraph" w:customStyle="1" w:styleId="LegalNumPar">
    <w:name w:val="LegalNumPar"/>
    <w:basedOn w:val="Normal"/>
    <w:uiPriority w:val="90"/>
    <w:qFormat/>
    <w:pPr>
      <w:numPr>
        <w:numId w:val="1"/>
      </w:numPr>
      <w:spacing w:line="360" w:lineRule="auto"/>
      <w:jc w:val="left"/>
    </w:pPr>
  </w:style>
  <w:style w:type="paragraph" w:customStyle="1" w:styleId="Marking">
    <w:name w:val="Marking"/>
    <w:basedOn w:val="Normal"/>
    <w:pPr>
      <w:spacing w:line="276" w:lineRule="auto"/>
      <w:contextualSpacing/>
      <w:jc w:val="right"/>
    </w:pPr>
    <w:rPr>
      <w:sz w:val="28"/>
    </w:rPr>
  </w:style>
  <w:style w:type="paragraph" w:customStyle="1" w:styleId="ListNumber4Level4">
    <w:name w:val="List Number 4 (Level 4)"/>
    <w:basedOn w:val="Text4"/>
    <w:semiHidden/>
    <w:unhideWhenUsed/>
    <w:pPr>
      <w:numPr>
        <w:ilvl w:val="3"/>
        <w:numId w:val="12"/>
      </w:numPr>
    </w:pPr>
  </w:style>
  <w:style w:type="paragraph" w:customStyle="1" w:styleId="ListNumber4Level3">
    <w:name w:val="List Number 4 (Level 3)"/>
    <w:basedOn w:val="Text4"/>
    <w:semiHidden/>
    <w:unhideWhenUsed/>
    <w:pPr>
      <w:numPr>
        <w:ilvl w:val="2"/>
        <w:numId w:val="12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2"/>
      </w:numPr>
    </w:pPr>
  </w:style>
  <w:style w:type="paragraph" w:styleId="ListNumber4">
    <w:name w:val="List Number 4"/>
    <w:basedOn w:val="Text4"/>
    <w:pPr>
      <w:numPr>
        <w:numId w:val="12"/>
      </w:numPr>
    </w:pPr>
  </w:style>
  <w:style w:type="paragraph" w:customStyle="1" w:styleId="ListNumber3Level4">
    <w:name w:val="List Number 3 (Level 4)"/>
    <w:basedOn w:val="Text3"/>
    <w:semiHidden/>
    <w:unhideWhenUsed/>
    <w:pPr>
      <w:numPr>
        <w:ilvl w:val="3"/>
        <w:numId w:val="11"/>
      </w:numPr>
    </w:pPr>
  </w:style>
  <w:style w:type="paragraph" w:customStyle="1" w:styleId="ListNumber3Level3">
    <w:name w:val="List Number 3 (Level 3)"/>
    <w:basedOn w:val="Text3"/>
    <w:semiHidden/>
    <w:unhideWhenUsed/>
    <w:pPr>
      <w:numPr>
        <w:ilvl w:val="2"/>
        <w:numId w:val="11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1"/>
      </w:numPr>
    </w:pPr>
  </w:style>
  <w:style w:type="paragraph" w:styleId="ListNumber3">
    <w:name w:val="List Number 3"/>
    <w:basedOn w:val="Text3"/>
    <w:pPr>
      <w:numPr>
        <w:numId w:val="11"/>
      </w:numPr>
    </w:pPr>
  </w:style>
  <w:style w:type="paragraph" w:customStyle="1" w:styleId="ListNumber2Level4">
    <w:name w:val="List Number 2 (Level 4)"/>
    <w:basedOn w:val="Text2"/>
    <w:semiHidden/>
    <w:unhideWhenUsed/>
    <w:pPr>
      <w:numPr>
        <w:ilvl w:val="3"/>
        <w:numId w:val="10"/>
      </w:numPr>
    </w:pPr>
  </w:style>
  <w:style w:type="paragraph" w:customStyle="1" w:styleId="ListNumber2Level3">
    <w:name w:val="List Number 2 (Level 3)"/>
    <w:basedOn w:val="Text2"/>
    <w:semiHidden/>
    <w:unhideWhenUsed/>
    <w:pPr>
      <w:numPr>
        <w:ilvl w:val="2"/>
        <w:numId w:val="10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0"/>
      </w:numPr>
    </w:pPr>
  </w:style>
  <w:style w:type="paragraph" w:styleId="ListNumber2">
    <w:name w:val="List Number 2"/>
    <w:basedOn w:val="Text2"/>
    <w:pPr>
      <w:numPr>
        <w:numId w:val="10"/>
      </w:numPr>
    </w:pPr>
  </w:style>
  <w:style w:type="paragraph" w:customStyle="1" w:styleId="ListNumber1Level4">
    <w:name w:val="List Number 1 (Level 4)"/>
    <w:basedOn w:val="Text1"/>
    <w:semiHidden/>
    <w:unhideWhenUsed/>
    <w:pPr>
      <w:numPr>
        <w:ilvl w:val="3"/>
        <w:numId w:val="9"/>
      </w:numPr>
    </w:pPr>
  </w:style>
  <w:style w:type="paragraph" w:customStyle="1" w:styleId="ListNumber1Level3">
    <w:name w:val="List Number 1 (Level 3)"/>
    <w:basedOn w:val="Text1"/>
    <w:semiHidden/>
    <w:unhideWhenUsed/>
    <w:pPr>
      <w:numPr>
        <w:ilvl w:val="2"/>
        <w:numId w:val="9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9"/>
      </w:numPr>
    </w:pPr>
  </w:style>
  <w:style w:type="paragraph" w:customStyle="1" w:styleId="ListNumber1">
    <w:name w:val="List Number 1"/>
    <w:basedOn w:val="Text1"/>
    <w:pPr>
      <w:numPr>
        <w:numId w:val="9"/>
      </w:numPr>
    </w:pPr>
  </w:style>
  <w:style w:type="paragraph" w:customStyle="1" w:styleId="ListNumberLevel4">
    <w:name w:val="List Number (Level 4)"/>
    <w:basedOn w:val="Normal"/>
    <w:semiHidden/>
    <w:unhideWhenUsed/>
    <w:pPr>
      <w:numPr>
        <w:ilvl w:val="3"/>
        <w:numId w:val="8"/>
      </w:numPr>
    </w:pPr>
  </w:style>
  <w:style w:type="paragraph" w:customStyle="1" w:styleId="ListNumberLevel3">
    <w:name w:val="List Number (Level 3)"/>
    <w:basedOn w:val="Normal"/>
    <w:semiHidden/>
    <w:unhideWhenUsed/>
    <w:pPr>
      <w:numPr>
        <w:ilvl w:val="2"/>
        <w:numId w:val="8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8"/>
      </w:numPr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customStyle="1" w:styleId="ListDash4Level4">
    <w:name w:val="List Dash 4 (Level 4)"/>
    <w:basedOn w:val="Text4"/>
    <w:semiHidden/>
    <w:unhideWhenUsed/>
    <w:pPr>
      <w:numPr>
        <w:ilvl w:val="3"/>
        <w:numId w:val="17"/>
      </w:numPr>
    </w:pPr>
  </w:style>
  <w:style w:type="paragraph" w:customStyle="1" w:styleId="ListDash4Level3">
    <w:name w:val="List Dash 4 (Level 3)"/>
    <w:basedOn w:val="Text4"/>
    <w:semiHidden/>
    <w:unhideWhenUsed/>
    <w:pPr>
      <w:numPr>
        <w:ilvl w:val="2"/>
        <w:numId w:val="17"/>
      </w:numPr>
    </w:pPr>
  </w:style>
  <w:style w:type="paragraph" w:customStyle="1" w:styleId="ListDash4Level2">
    <w:name w:val="List Dash 4 (Level 2)"/>
    <w:basedOn w:val="Text4"/>
    <w:pPr>
      <w:numPr>
        <w:ilvl w:val="1"/>
        <w:numId w:val="17"/>
      </w:numPr>
    </w:pPr>
  </w:style>
  <w:style w:type="paragraph" w:customStyle="1" w:styleId="ListDash4">
    <w:name w:val="List Dash 4"/>
    <w:basedOn w:val="Text4"/>
    <w:pPr>
      <w:numPr>
        <w:numId w:val="17"/>
      </w:numPr>
    </w:pPr>
  </w:style>
  <w:style w:type="paragraph" w:customStyle="1" w:styleId="ListDash3Level4">
    <w:name w:val="List Dash 3 (Level 4)"/>
    <w:basedOn w:val="Text3"/>
    <w:semiHidden/>
    <w:unhideWhenUsed/>
    <w:pPr>
      <w:numPr>
        <w:ilvl w:val="3"/>
        <w:numId w:val="16"/>
      </w:numPr>
    </w:pPr>
  </w:style>
  <w:style w:type="paragraph" w:customStyle="1" w:styleId="ListDash3Level3">
    <w:name w:val="List Dash 3 (Level 3)"/>
    <w:basedOn w:val="Text3"/>
    <w:semiHidden/>
    <w:unhideWhenUsed/>
    <w:pPr>
      <w:numPr>
        <w:ilvl w:val="2"/>
        <w:numId w:val="16"/>
      </w:numPr>
    </w:pPr>
  </w:style>
  <w:style w:type="paragraph" w:customStyle="1" w:styleId="ListDash3Level2">
    <w:name w:val="List Dash 3 (Level 2)"/>
    <w:basedOn w:val="Text3"/>
    <w:pPr>
      <w:numPr>
        <w:ilvl w:val="1"/>
        <w:numId w:val="16"/>
      </w:numPr>
    </w:pPr>
  </w:style>
  <w:style w:type="paragraph" w:customStyle="1" w:styleId="ListDash3">
    <w:name w:val="List Dash 3"/>
    <w:basedOn w:val="Text3"/>
    <w:pPr>
      <w:numPr>
        <w:numId w:val="16"/>
      </w:numPr>
    </w:pPr>
  </w:style>
  <w:style w:type="paragraph" w:customStyle="1" w:styleId="ListDash2Level4">
    <w:name w:val="List Dash 2 (Level 4)"/>
    <w:basedOn w:val="Text2"/>
    <w:semiHidden/>
    <w:unhideWhenUsed/>
    <w:pPr>
      <w:numPr>
        <w:ilvl w:val="3"/>
        <w:numId w:val="15"/>
      </w:numPr>
    </w:pPr>
  </w:style>
  <w:style w:type="paragraph" w:customStyle="1" w:styleId="ListDash2Level3">
    <w:name w:val="List Dash 2 (Level 3)"/>
    <w:basedOn w:val="Text2"/>
    <w:semiHidden/>
    <w:unhideWhenUsed/>
    <w:pPr>
      <w:numPr>
        <w:ilvl w:val="2"/>
        <w:numId w:val="15"/>
      </w:numPr>
    </w:pPr>
  </w:style>
  <w:style w:type="paragraph" w:customStyle="1" w:styleId="ListDash2Level2">
    <w:name w:val="List Dash 2 (Level 2)"/>
    <w:basedOn w:val="Text2"/>
    <w:pPr>
      <w:numPr>
        <w:ilvl w:val="1"/>
        <w:numId w:val="15"/>
      </w:numPr>
    </w:pPr>
  </w:style>
  <w:style w:type="paragraph" w:customStyle="1" w:styleId="ListDash2">
    <w:name w:val="List Dash 2"/>
    <w:basedOn w:val="Text2"/>
    <w:pPr>
      <w:numPr>
        <w:numId w:val="15"/>
      </w:numPr>
    </w:pPr>
  </w:style>
  <w:style w:type="paragraph" w:customStyle="1" w:styleId="ListDash1Level4">
    <w:name w:val="List Dash 1 (Level 4)"/>
    <w:basedOn w:val="Text1"/>
    <w:semiHidden/>
    <w:unhideWhenUsed/>
    <w:pPr>
      <w:numPr>
        <w:ilvl w:val="3"/>
        <w:numId w:val="14"/>
      </w:numPr>
    </w:pPr>
  </w:style>
  <w:style w:type="paragraph" w:customStyle="1" w:styleId="ListDash1Level3">
    <w:name w:val="List Dash 1 (Level 3)"/>
    <w:basedOn w:val="Text1"/>
    <w:semiHidden/>
    <w:unhideWhenUsed/>
    <w:pPr>
      <w:numPr>
        <w:ilvl w:val="2"/>
        <w:numId w:val="14"/>
      </w:numPr>
    </w:pPr>
  </w:style>
  <w:style w:type="paragraph" w:customStyle="1" w:styleId="ListDash1Level2">
    <w:name w:val="List Dash 1 (Level 2)"/>
    <w:basedOn w:val="Text1"/>
    <w:pPr>
      <w:numPr>
        <w:ilvl w:val="1"/>
        <w:numId w:val="14"/>
      </w:numPr>
    </w:pPr>
  </w:style>
  <w:style w:type="paragraph" w:customStyle="1" w:styleId="ListDash1">
    <w:name w:val="List Dash 1"/>
    <w:basedOn w:val="Text1"/>
    <w:pPr>
      <w:numPr>
        <w:numId w:val="14"/>
      </w:numPr>
    </w:pPr>
  </w:style>
  <w:style w:type="paragraph" w:customStyle="1" w:styleId="ListDashLevel4">
    <w:name w:val="List Dash (Level 4)"/>
    <w:basedOn w:val="Normal"/>
    <w:semiHidden/>
    <w:unhideWhenUsed/>
    <w:pPr>
      <w:numPr>
        <w:ilvl w:val="3"/>
        <w:numId w:val="13"/>
      </w:numPr>
    </w:pPr>
  </w:style>
  <w:style w:type="paragraph" w:customStyle="1" w:styleId="ListDashLevel3">
    <w:name w:val="List Dash (Level 3)"/>
    <w:basedOn w:val="Normal"/>
    <w:semiHidden/>
    <w:unhideWhenUsed/>
    <w:pPr>
      <w:numPr>
        <w:ilvl w:val="2"/>
        <w:numId w:val="13"/>
      </w:numPr>
    </w:pPr>
  </w:style>
  <w:style w:type="paragraph" w:customStyle="1" w:styleId="ListDashLevel2">
    <w:name w:val="List Dash (Level 2)"/>
    <w:basedOn w:val="Normal"/>
    <w:pPr>
      <w:numPr>
        <w:ilvl w:val="1"/>
        <w:numId w:val="13"/>
      </w:numPr>
    </w:pPr>
  </w:style>
  <w:style w:type="paragraph" w:customStyle="1" w:styleId="ListDash">
    <w:name w:val="List Dash"/>
    <w:basedOn w:val="Normal"/>
    <w:pPr>
      <w:numPr>
        <w:numId w:val="13"/>
      </w:numPr>
    </w:pPr>
  </w:style>
  <w:style w:type="paragraph" w:customStyle="1" w:styleId="ListBullet4Level4">
    <w:name w:val="List Bullet 4 (Level 4)"/>
    <w:basedOn w:val="Text4"/>
    <w:semiHidden/>
    <w:unhideWhenUsed/>
    <w:pPr>
      <w:numPr>
        <w:ilvl w:val="3"/>
        <w:numId w:val="7"/>
      </w:numPr>
    </w:pPr>
  </w:style>
  <w:style w:type="paragraph" w:customStyle="1" w:styleId="ListBullet4Level3">
    <w:name w:val="List Bullet 4 (Level 3)"/>
    <w:basedOn w:val="Text4"/>
    <w:semiHidden/>
    <w:unhideWhenUsed/>
    <w:pPr>
      <w:numPr>
        <w:ilvl w:val="2"/>
        <w:numId w:val="7"/>
      </w:numPr>
    </w:pPr>
  </w:style>
  <w:style w:type="paragraph" w:customStyle="1" w:styleId="ListBullet4Level2">
    <w:name w:val="List Bullet 4 (Level 2)"/>
    <w:basedOn w:val="Text4"/>
    <w:pPr>
      <w:numPr>
        <w:ilvl w:val="1"/>
        <w:numId w:val="7"/>
      </w:numPr>
    </w:pPr>
  </w:style>
  <w:style w:type="paragraph" w:styleId="ListBullet4">
    <w:name w:val="List Bullet 4"/>
    <w:basedOn w:val="Text4"/>
    <w:pPr>
      <w:numPr>
        <w:numId w:val="7"/>
      </w:numPr>
    </w:pPr>
  </w:style>
  <w:style w:type="paragraph" w:customStyle="1" w:styleId="ListBullet3Level4">
    <w:name w:val="List Bullet 3 (Level 4)"/>
    <w:basedOn w:val="Text3"/>
    <w:semiHidden/>
    <w:unhideWhenUsed/>
    <w:pPr>
      <w:numPr>
        <w:ilvl w:val="3"/>
        <w:numId w:val="6"/>
      </w:numPr>
    </w:pPr>
  </w:style>
  <w:style w:type="paragraph" w:customStyle="1" w:styleId="ListBullet3Level3">
    <w:name w:val="List Bullet 3 (Level 3)"/>
    <w:basedOn w:val="Text3"/>
    <w:semiHidden/>
    <w:unhideWhenUsed/>
    <w:pPr>
      <w:numPr>
        <w:ilvl w:val="2"/>
        <w:numId w:val="6"/>
      </w:numPr>
    </w:pPr>
  </w:style>
  <w:style w:type="paragraph" w:customStyle="1" w:styleId="ListBullet3Level2">
    <w:name w:val="List Bullet 3 (Level 2)"/>
    <w:basedOn w:val="Text3"/>
    <w:pPr>
      <w:numPr>
        <w:ilvl w:val="1"/>
        <w:numId w:val="6"/>
      </w:numPr>
    </w:pPr>
  </w:style>
  <w:style w:type="paragraph" w:styleId="ListBullet3">
    <w:name w:val="List Bullet 3"/>
    <w:basedOn w:val="Text3"/>
    <w:pPr>
      <w:numPr>
        <w:numId w:val="6"/>
      </w:numPr>
    </w:pPr>
  </w:style>
  <w:style w:type="paragraph" w:customStyle="1" w:styleId="ListBullet2Level4">
    <w:name w:val="List Bullet 2 (Level 4)"/>
    <w:basedOn w:val="Text2"/>
    <w:semiHidden/>
    <w:unhideWhenUsed/>
    <w:pPr>
      <w:numPr>
        <w:ilvl w:val="3"/>
        <w:numId w:val="5"/>
      </w:numPr>
    </w:pPr>
  </w:style>
  <w:style w:type="paragraph" w:customStyle="1" w:styleId="ListBullet2Level3">
    <w:name w:val="List Bullet 2 (Level 3)"/>
    <w:basedOn w:val="Text2"/>
    <w:semiHidden/>
    <w:unhideWhenUsed/>
    <w:pPr>
      <w:numPr>
        <w:ilvl w:val="2"/>
        <w:numId w:val="5"/>
      </w:numPr>
    </w:pPr>
  </w:style>
  <w:style w:type="paragraph" w:customStyle="1" w:styleId="ListBullet2Level2">
    <w:name w:val="List Bullet 2 (Level 2)"/>
    <w:basedOn w:val="Text2"/>
    <w:pPr>
      <w:numPr>
        <w:ilvl w:val="1"/>
        <w:numId w:val="5"/>
      </w:numPr>
    </w:pPr>
  </w:style>
  <w:style w:type="paragraph" w:styleId="ListBullet2">
    <w:name w:val="List Bullet 2"/>
    <w:basedOn w:val="Text2"/>
    <w:pPr>
      <w:numPr>
        <w:numId w:val="5"/>
      </w:numPr>
    </w:pPr>
  </w:style>
  <w:style w:type="paragraph" w:customStyle="1" w:styleId="ListBullet1Level4">
    <w:name w:val="List Bullet 1 (Level 4)"/>
    <w:basedOn w:val="Text1"/>
    <w:semiHidden/>
    <w:unhideWhenUsed/>
    <w:pPr>
      <w:numPr>
        <w:ilvl w:val="3"/>
        <w:numId w:val="4"/>
      </w:numPr>
    </w:pPr>
  </w:style>
  <w:style w:type="paragraph" w:customStyle="1" w:styleId="ListBullet1Level3">
    <w:name w:val="List Bullet 1 (Level 3)"/>
    <w:basedOn w:val="Text1"/>
    <w:semiHidden/>
    <w:unhideWhenUsed/>
    <w:pPr>
      <w:numPr>
        <w:ilvl w:val="2"/>
        <w:numId w:val="4"/>
      </w:numPr>
    </w:pPr>
  </w:style>
  <w:style w:type="paragraph" w:customStyle="1" w:styleId="ListBullet1Level2">
    <w:name w:val="List Bullet 1 (Level 2)"/>
    <w:basedOn w:val="Text1"/>
    <w:pPr>
      <w:numPr>
        <w:ilvl w:val="1"/>
        <w:numId w:val="4"/>
      </w:numPr>
    </w:pPr>
  </w:style>
  <w:style w:type="paragraph" w:customStyle="1" w:styleId="ListBullet1">
    <w:name w:val="List Bullet 1"/>
    <w:basedOn w:val="Text1"/>
    <w:pPr>
      <w:numPr>
        <w:numId w:val="4"/>
      </w:numPr>
    </w:pPr>
  </w:style>
  <w:style w:type="paragraph" w:customStyle="1" w:styleId="ListBulletLevel4">
    <w:name w:val="List Bullet (Level 4)"/>
    <w:basedOn w:val="Text1"/>
    <w:semiHidden/>
    <w:unhideWhenUsed/>
    <w:pPr>
      <w:numPr>
        <w:ilvl w:val="3"/>
        <w:numId w:val="3"/>
      </w:numPr>
    </w:pPr>
  </w:style>
  <w:style w:type="paragraph" w:customStyle="1" w:styleId="ListBulletLevel3">
    <w:name w:val="List Bullet (Level 3)"/>
    <w:basedOn w:val="Text1"/>
    <w:semiHidden/>
    <w:unhideWhenUsed/>
    <w:pPr>
      <w:numPr>
        <w:ilvl w:val="2"/>
        <w:numId w:val="3"/>
      </w:numPr>
    </w:pPr>
  </w:style>
  <w:style w:type="paragraph" w:customStyle="1" w:styleId="ListBulletLevel2">
    <w:name w:val="List Bullet (Level 2)"/>
    <w:basedOn w:val="Text1"/>
    <w:pPr>
      <w:numPr>
        <w:ilvl w:val="1"/>
        <w:numId w:val="3"/>
      </w:numPr>
    </w:pPr>
  </w:style>
  <w:style w:type="paragraph" w:styleId="ListBullet">
    <w:name w:val="List Bullet"/>
    <w:basedOn w:val="Normal"/>
    <w:pPr>
      <w:numPr>
        <w:numId w:val="3"/>
      </w:numPr>
    </w:pPr>
  </w:style>
  <w:style w:type="paragraph" w:styleId="TOC9">
    <w:name w:val="toc 9"/>
    <w:basedOn w:val="Normal"/>
    <w:next w:val="Normal"/>
    <w:semiHidden/>
    <w:pPr>
      <w:tabs>
        <w:tab w:val="right" w:leader="dot" w:pos="8640"/>
      </w:tabs>
    </w:pPr>
  </w:style>
  <w:style w:type="paragraph" w:styleId="TOC8">
    <w:name w:val="toc 8"/>
    <w:basedOn w:val="Normal"/>
    <w:next w:val="Normal"/>
    <w:semiHidden/>
    <w:pPr>
      <w:tabs>
        <w:tab w:val="right" w:leader="dot" w:pos="8640"/>
      </w:tabs>
    </w:pPr>
  </w:style>
  <w:style w:type="paragraph" w:styleId="TOC7">
    <w:name w:val="toc 7"/>
    <w:basedOn w:val="Normal"/>
    <w:next w:val="Normal"/>
    <w:semiHidden/>
    <w:pPr>
      <w:tabs>
        <w:tab w:val="right" w:leader="dot" w:pos="8640"/>
      </w:tabs>
    </w:pPr>
  </w:style>
  <w:style w:type="paragraph" w:styleId="TOC6">
    <w:name w:val="toc 6"/>
    <w:basedOn w:val="Normal"/>
    <w:next w:val="Normal"/>
    <w:semiHidden/>
    <w:pPr>
      <w:tabs>
        <w:tab w:val="right" w:leader="dot" w:pos="8640"/>
      </w:tabs>
    </w:pPr>
  </w:style>
  <w:style w:type="paragraph" w:styleId="TOC5">
    <w:name w:val="toc 5"/>
    <w:basedOn w:val="Normal"/>
    <w:next w:val="Normal"/>
    <w:semiHidden/>
    <w:pPr>
      <w:tabs>
        <w:tab w:val="right" w:leader="dot" w:pos="8640"/>
      </w:tabs>
      <w:spacing w:before="120" w:after="60"/>
      <w:ind w:right="720"/>
    </w:pPr>
    <w:rPr>
      <w:b/>
    </w:rPr>
  </w:style>
  <w:style w:type="paragraph" w:styleId="TOC4">
    <w:name w:val="toc 4"/>
    <w:basedOn w:val="Normal"/>
    <w:next w:val="Normal"/>
    <w:uiPriority w:val="99"/>
    <w:semiHidden/>
    <w:pPr>
      <w:tabs>
        <w:tab w:val="left" w:pos="1446"/>
        <w:tab w:val="left" w:pos="1587"/>
        <w:tab w:val="right" w:leader="dot" w:pos="8640"/>
      </w:tabs>
      <w:spacing w:after="60"/>
      <w:ind w:left="1445" w:right="720" w:hanging="850"/>
    </w:pPr>
    <w:rPr>
      <w:noProof/>
      <w:sz w:val="20"/>
    </w:rPr>
  </w:style>
  <w:style w:type="paragraph" w:styleId="TOC3">
    <w:name w:val="toc 3"/>
    <w:basedOn w:val="Normal"/>
    <w:next w:val="Normal"/>
    <w:uiPriority w:val="99"/>
    <w:semiHidden/>
    <w:pPr>
      <w:tabs>
        <w:tab w:val="left" w:pos="595"/>
        <w:tab w:val="right" w:leader="dot" w:pos="8640"/>
      </w:tabs>
      <w:spacing w:after="60"/>
      <w:ind w:left="1190" w:right="720" w:hanging="595"/>
    </w:pPr>
    <w:rPr>
      <w:sz w:val="20"/>
    </w:rPr>
  </w:style>
  <w:style w:type="paragraph" w:styleId="TOC2">
    <w:name w:val="toc 2"/>
    <w:basedOn w:val="Normal"/>
    <w:next w:val="Normal"/>
    <w:uiPriority w:val="39"/>
    <w:semiHidden/>
    <w:pPr>
      <w:tabs>
        <w:tab w:val="left" w:pos="595"/>
        <w:tab w:val="right" w:leader="dot" w:pos="8640"/>
      </w:tabs>
      <w:spacing w:after="60"/>
      <w:ind w:left="595" w:right="720" w:hanging="595"/>
    </w:pPr>
    <w:rPr>
      <w:noProof/>
      <w:sz w:val="20"/>
    </w:rPr>
  </w:style>
  <w:style w:type="paragraph" w:styleId="TOC1">
    <w:name w:val="toc 1"/>
    <w:basedOn w:val="Normal"/>
    <w:next w:val="Normal"/>
    <w:uiPriority w:val="39"/>
    <w:semiHidden/>
    <w:pPr>
      <w:tabs>
        <w:tab w:val="left" w:pos="595"/>
        <w:tab w:val="right" w:leader="dot" w:pos="8640"/>
      </w:tabs>
      <w:spacing w:after="60"/>
      <w:ind w:left="595" w:right="720" w:hanging="595"/>
    </w:pPr>
    <w:rPr>
      <w:b/>
      <w:caps/>
      <w:sz w:val="20"/>
    </w:rPr>
  </w:style>
  <w:style w:type="paragraph" w:styleId="TOCHeading">
    <w:name w:val="TOC Heading"/>
    <w:basedOn w:val="Normal"/>
    <w:next w:val="Normal"/>
    <w:semiHidden/>
    <w:pPr>
      <w:spacing w:after="120"/>
      <w:jc w:val="center"/>
    </w:pPr>
    <w:rPr>
      <w:rFonts w:ascii="Times New Roman Bold" w:hAnsi="Times New Roman Bold"/>
      <w:b/>
      <w:sz w:val="32"/>
    </w:rPr>
  </w:style>
  <w:style w:type="paragraph" w:customStyle="1" w:styleId="NumPar4">
    <w:name w:val="NumPar 4"/>
    <w:basedOn w:val="Heading4"/>
    <w:uiPriority w:val="90"/>
    <w:qFormat/>
    <w:pPr>
      <w:keepNext w:val="0"/>
      <w:outlineLvl w:val="9"/>
    </w:pPr>
  </w:style>
  <w:style w:type="paragraph" w:customStyle="1" w:styleId="NumPar3">
    <w:name w:val="NumPar 3"/>
    <w:basedOn w:val="Heading3"/>
    <w:uiPriority w:val="90"/>
    <w:qFormat/>
    <w:pPr>
      <w:keepNext w:val="0"/>
      <w:outlineLvl w:val="9"/>
    </w:pPr>
    <w:rPr>
      <w:i w:val="0"/>
    </w:rPr>
  </w:style>
  <w:style w:type="paragraph" w:customStyle="1" w:styleId="NumPar2">
    <w:name w:val="NumPar 2"/>
    <w:basedOn w:val="Heading2"/>
    <w:uiPriority w:val="90"/>
    <w:qFormat/>
    <w:pPr>
      <w:keepNext w:val="0"/>
      <w:outlineLvl w:val="9"/>
    </w:pPr>
    <w:rPr>
      <w:b w:val="0"/>
    </w:rPr>
  </w:style>
  <w:style w:type="paragraph" w:customStyle="1" w:styleId="NumPar1">
    <w:name w:val="NumPar 1"/>
    <w:basedOn w:val="Heading1"/>
    <w:uiPriority w:val="90"/>
    <w:qFormat/>
    <w:pPr>
      <w:keepNext w:val="0"/>
      <w:spacing w:before="0"/>
      <w:outlineLvl w:val="9"/>
    </w:pPr>
    <w:rPr>
      <w:b w:val="0"/>
      <w:smallCaps w:val="0"/>
    </w:rPr>
  </w:style>
  <w:style w:type="paragraph" w:styleId="MacroText">
    <w:name w:val="macro"/>
    <w:basedOn w:val="Normal"/>
    <w:uiPriority w:val="90"/>
    <w:qFormat/>
    <w:pPr>
      <w:tabs>
        <w:tab w:val="left" w:pos="482"/>
        <w:tab w:val="left" w:pos="958"/>
        <w:tab w:val="left" w:pos="1440"/>
        <w:tab w:val="left" w:pos="1922"/>
        <w:tab w:val="left" w:pos="2398"/>
        <w:tab w:val="left" w:pos="2880"/>
        <w:tab w:val="left" w:pos="3362"/>
        <w:tab w:val="left" w:pos="3838"/>
        <w:tab w:val="left" w:pos="4320"/>
      </w:tabs>
    </w:pPr>
    <w:rPr>
      <w:rFonts w:ascii="Courier New" w:hAnsi="Courier New"/>
      <w:sz w:val="22"/>
    </w:rPr>
  </w:style>
  <w:style w:type="paragraph" w:styleId="FootnoteText">
    <w:name w:val="footnote text"/>
    <w:basedOn w:val="Normal"/>
    <w:link w:val="FootnoteTextChar"/>
    <w:pPr>
      <w:spacing w:after="120"/>
      <w:ind w:left="357" w:hanging="357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sz w:val="16"/>
    </w:rPr>
  </w:style>
  <w:style w:type="paragraph" w:styleId="EndnoteText">
    <w:name w:val="endnote text"/>
    <w:basedOn w:val="Normal"/>
    <w:semiHidden/>
    <w:rPr>
      <w:sz w:val="20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Releasable">
    <w:name w:val="Releasable"/>
    <w:basedOn w:val="Normal"/>
    <w:pPr>
      <w:spacing w:after="0"/>
      <w:jc w:val="center"/>
    </w:pPr>
    <w:rPr>
      <w:b/>
      <w:caps/>
      <w:sz w:val="32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ferences">
    <w:name w:val="References"/>
    <w:basedOn w:val="Normal"/>
    <w:next w:val="Normal"/>
    <w:pPr>
      <w:ind w:left="5102"/>
      <w:jc w:val="left"/>
    </w:pPr>
    <w:rPr>
      <w:sz w:val="20"/>
    </w:rPr>
  </w:style>
  <w:style w:type="paragraph" w:styleId="Date">
    <w:name w:val="Date"/>
    <w:basedOn w:val="Normal"/>
    <w:next w:val="References"/>
    <w:pPr>
      <w:spacing w:after="0"/>
      <w:ind w:left="5102" w:right="-567"/>
      <w:jc w:val="left"/>
    </w:pPr>
  </w:style>
  <w:style w:type="paragraph" w:customStyle="1" w:styleId="Contact">
    <w:name w:val="Contact"/>
    <w:basedOn w:val="Normal"/>
    <w:uiPriority w:val="99"/>
    <w:pPr>
      <w:spacing w:before="480" w:after="0"/>
      <w:ind w:left="567" w:hanging="567"/>
      <w:jc w:val="left"/>
    </w:pPr>
  </w:style>
  <w:style w:type="paragraph" w:styleId="Caption">
    <w:name w:val="caption"/>
    <w:basedOn w:val="Normal"/>
    <w:next w:val="Normal"/>
    <w:pPr>
      <w:spacing w:before="160"/>
    </w:pPr>
    <w:rPr>
      <w:i/>
      <w:sz w:val="22"/>
    </w:rPr>
  </w:style>
  <w:style w:type="paragraph" w:customStyle="1" w:styleId="ZDGName">
    <w:name w:val="Z_DGName"/>
    <w:basedOn w:val="Normal"/>
    <w:uiPriority w:val="99"/>
    <w:semiHidden/>
    <w:pPr>
      <w:widowControl w:val="0"/>
      <w:spacing w:after="0"/>
      <w:ind w:right="85"/>
      <w:jc w:val="left"/>
    </w:pPr>
    <w:rPr>
      <w:sz w:val="16"/>
    </w:rPr>
  </w:style>
  <w:style w:type="paragraph" w:customStyle="1" w:styleId="ZCom">
    <w:name w:val="Z_Com"/>
    <w:basedOn w:val="Normal"/>
    <w:next w:val="Normal"/>
    <w:uiPriority w:val="99"/>
    <w:semiHidden/>
    <w:pPr>
      <w:widowControl w:val="0"/>
      <w:spacing w:before="90" w:after="0"/>
      <w:ind w:right="85"/>
    </w:pPr>
  </w:style>
  <w:style w:type="paragraph" w:customStyle="1" w:styleId="ZFlag">
    <w:name w:val="Z_Flag"/>
    <w:basedOn w:val="Normal"/>
    <w:next w:val="Normal"/>
    <w:uiPriority w:val="99"/>
    <w:semiHidden/>
    <w:pPr>
      <w:widowControl w:val="0"/>
      <w:spacing w:after="0"/>
      <w:ind w:right="85"/>
    </w:pPr>
  </w:style>
  <w:style w:type="paragraph" w:customStyle="1" w:styleId="Text1">
    <w:name w:val="Text 1"/>
    <w:basedOn w:val="Normal"/>
    <w:uiPriority w:val="90"/>
    <w:qFormat/>
    <w:pPr>
      <w:ind w:left="482"/>
    </w:pPr>
  </w:style>
  <w:style w:type="paragraph" w:customStyle="1" w:styleId="Text2">
    <w:name w:val="Text 2"/>
    <w:basedOn w:val="Normal"/>
    <w:uiPriority w:val="90"/>
    <w:qFormat/>
    <w:pPr>
      <w:ind w:left="1202"/>
    </w:pPr>
  </w:style>
  <w:style w:type="paragraph" w:customStyle="1" w:styleId="Text3">
    <w:name w:val="Text 3"/>
    <w:basedOn w:val="Normal"/>
    <w:uiPriority w:val="90"/>
    <w:qFormat/>
    <w:pPr>
      <w:ind w:left="1202"/>
    </w:pPr>
  </w:style>
  <w:style w:type="paragraph" w:customStyle="1" w:styleId="Text4">
    <w:name w:val="Text 4"/>
    <w:basedOn w:val="Normal"/>
    <w:uiPriority w:val="90"/>
    <w:qFormat/>
    <w:pPr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2"/>
      <w:jc w:val="left"/>
    </w:pPr>
  </w:style>
  <w:style w:type="paragraph" w:customStyle="1" w:styleId="PartTitle">
    <w:name w:val="PartTitle"/>
    <w:basedOn w:val="Normal"/>
    <w:next w:val="ChapterTitle"/>
    <w:uiPriority w:val="90"/>
    <w:qFormat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uiPriority w:val="90"/>
    <w:qFormat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uiPriority w:val="90"/>
    <w:qFormat/>
    <w:pPr>
      <w:keepNext/>
      <w:spacing w:after="480"/>
      <w:jc w:val="center"/>
    </w:pPr>
    <w:rPr>
      <w:b/>
      <w:smallCaps/>
      <w:sz w:val="28"/>
    </w:rPr>
  </w:style>
  <w:style w:type="paragraph" w:styleId="Signature">
    <w:name w:val="Signature"/>
    <w:basedOn w:val="Normal"/>
    <w:next w:val="Enclosures"/>
    <w:pPr>
      <w:tabs>
        <w:tab w:val="left" w:pos="5102"/>
      </w:tabs>
      <w:spacing w:before="1200" w:after="0"/>
      <w:ind w:left="5102"/>
      <w:jc w:val="center"/>
    </w:pPr>
  </w:style>
  <w:style w:type="paragraph" w:customStyle="1" w:styleId="SignatureL">
    <w:name w:val="SignatureL"/>
    <w:basedOn w:val="Normal"/>
    <w:next w:val="Enclosures"/>
    <w:pPr>
      <w:tabs>
        <w:tab w:val="left" w:pos="5102"/>
      </w:tabs>
      <w:spacing w:before="1200" w:after="0"/>
      <w:jc w:val="left"/>
    </w:pPr>
  </w:style>
  <w:style w:type="paragraph" w:customStyle="1" w:styleId="DoubSign">
    <w:name w:val="DoubSign"/>
    <w:basedOn w:val="Normal"/>
    <w:next w:val="Enclosures"/>
    <w:pPr>
      <w:tabs>
        <w:tab w:val="left" w:pos="5102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1"/>
      </w:tabs>
      <w:spacing w:before="480" w:after="0"/>
      <w:ind w:left="2382" w:hanging="1191"/>
      <w:jc w:val="left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customStyle="1" w:styleId="YReferences">
    <w:name w:val="YReferences"/>
    <w:basedOn w:val="Normal"/>
    <w:next w:val="Normal"/>
    <w:pPr>
      <w:spacing w:after="480"/>
      <w:ind w:left="3062" w:hanging="1531"/>
    </w:pPr>
  </w:style>
  <w:style w:type="paragraph" w:customStyle="1" w:styleId="FooterLine">
    <w:name w:val="Footer Line"/>
    <w:basedOn w:val="Footer"/>
    <w:next w:val="Footer"/>
    <w:uiPriority w:val="99"/>
    <w:pPr>
      <w:tabs>
        <w:tab w:val="right" w:pos="8646"/>
      </w:tabs>
      <w:spacing w:before="120" w:line="264" w:lineRule="auto"/>
      <w:ind w:right="0"/>
      <w:jc w:val="both"/>
    </w:p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</w:rPr>
  </w:style>
  <w:style w:type="paragraph" w:customStyle="1" w:styleId="HistTableHeading">
    <w:name w:val="HistTableHeading"/>
    <w:basedOn w:val="Normal"/>
    <w:next w:val="HistoryTable"/>
    <w:pPr>
      <w:spacing w:after="120"/>
      <w:jc w:val="center"/>
    </w:pPr>
    <w:rPr>
      <w:rFonts w:ascii="Times New Roman Bold" w:hAnsi="Times New Roman Bold"/>
      <w:b/>
      <w:sz w:val="32"/>
    </w:rPr>
  </w:style>
  <w:style w:type="paragraph" w:customStyle="1" w:styleId="FigureTitle">
    <w:name w:val="Figure Title"/>
    <w:basedOn w:val="Normal"/>
    <w:next w:val="FigureBody"/>
    <w:uiPriority w:val="6"/>
    <w:pPr>
      <w:keepNext/>
      <w:spacing w:after="180"/>
    </w:pPr>
    <w:rPr>
      <w:b/>
    </w:rPr>
  </w:style>
  <w:style w:type="paragraph" w:customStyle="1" w:styleId="FigureBody">
    <w:name w:val="Figure Body"/>
    <w:basedOn w:val="Normal"/>
    <w:next w:val="FigureNote"/>
    <w:uiPriority w:val="7"/>
    <w:pPr>
      <w:keepNext/>
      <w:spacing w:after="40"/>
    </w:pPr>
  </w:style>
  <w:style w:type="paragraph" w:customStyle="1" w:styleId="FigureNote">
    <w:name w:val="Figure Note"/>
    <w:basedOn w:val="FigureSource"/>
    <w:next w:val="FigureSource"/>
    <w:uiPriority w:val="7"/>
    <w:rPr>
      <w:b/>
    </w:rPr>
  </w:style>
  <w:style w:type="paragraph" w:customStyle="1" w:styleId="FigureSource">
    <w:name w:val="Figure Source"/>
    <w:basedOn w:val="Normal"/>
    <w:next w:val="Normal"/>
    <w:uiPriority w:val="7"/>
    <w:rPr>
      <w:sz w:val="20"/>
    </w:rPr>
  </w:style>
  <w:style w:type="paragraph" w:customStyle="1" w:styleId="AnnexHeading1">
    <w:name w:val="Annex Heading 1"/>
    <w:basedOn w:val="Normal"/>
    <w:next w:val="Normal"/>
    <w:pPr>
      <w:pageBreakBefore/>
      <w:spacing w:before="240"/>
      <w:outlineLvl w:val="0"/>
    </w:pPr>
    <w:rPr>
      <w:b/>
      <w:smallCaps/>
      <w:sz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150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table" w:customStyle="1" w:styleId="TableLetterhead">
    <w:name w:val="Table Letterhead"/>
    <w:basedOn w:val="TableNormal"/>
    <w:uiPriority w:val="99"/>
    <w:tblPr>
      <w:tblCellMar>
        <w:left w:w="0" w:type="dxa"/>
        <w:bottom w:w="340" w:type="dxa"/>
        <w:right w:w="0" w:type="dxa"/>
      </w:tblCellMar>
    </w:tblPr>
  </w:style>
  <w:style w:type="table" w:customStyle="1" w:styleId="TableHistory">
    <w:name w:val="Table History"/>
    <w:basedOn w:val="TableNormal"/>
    <w:uiPriority w:val="99"/>
    <w:pPr>
      <w:spacing w:before="60" w:after="60" w:line="264" w:lineRule="auto"/>
    </w:pPr>
    <w:rPr>
      <w:sz w:val="22"/>
    </w:rPr>
    <w:tblPr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eastAsiaTheme="minorHAnsi"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</w:pPr>
  </w:style>
  <w:style w:type="character" w:customStyle="1" w:styleId="HeaderCoverPageChar">
    <w:name w:val="Header Cover Page Char"/>
    <w:basedOn w:val="DefaultParagraphFont"/>
    <w:link w:val="HeaderCoverPage"/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b/>
      <w:sz w:val="32"/>
    </w:rPr>
  </w:style>
  <w:style w:type="numbering" w:customStyle="1" w:styleId="ImportedStyle1">
    <w:name w:val="Imported Style 1"/>
    <w:pPr>
      <w:numPr>
        <w:numId w:val="19"/>
      </w:numPr>
    </w:pPr>
  </w:style>
  <w:style w:type="character" w:customStyle="1" w:styleId="FootnoteTextChar">
    <w:name w:val="Footnote Text Char"/>
    <w:basedOn w:val="DefaultParagraphFont"/>
    <w:link w:val="FootnoteText"/>
    <w:rPr>
      <w:sz w:val="20"/>
    </w:rPr>
  </w:style>
  <w:style w:type="character" w:styleId="FootnoteReference">
    <w:name w:val="footnote reference"/>
    <w:basedOn w:val="DefaultParagraphFont"/>
    <w:uiPriority w:val="99"/>
    <w:semiHidden/>
    <w:locked/>
    <w:rPr>
      <w:vertAlign w:val="superscript"/>
    </w:rPr>
  </w:style>
  <w:style w:type="character" w:styleId="Hyperlink">
    <w:name w:val="Hyperlink"/>
    <w:basedOn w:val="DefaultParagraphFont"/>
    <w:semiHidden/>
    <w:locked/>
    <w:rPr>
      <w:color w:val="0563C1" w:themeColor="hyperlink"/>
      <w:u w:val="single"/>
    </w:rPr>
  </w:style>
  <w:style w:type="paragraph" w:customStyle="1" w:styleId="Typedudocument">
    <w:name w:val="Type du document"/>
    <w:basedOn w:val="Normal"/>
    <w:next w:val="Normal"/>
    <w:pPr>
      <w:spacing w:before="360" w:after="0"/>
      <w:jc w:val="center"/>
    </w:pPr>
    <w:rPr>
      <w:rFonts w:eastAsiaTheme="minorHAnsi"/>
      <w:b/>
      <w:szCs w:val="22"/>
    </w:rPr>
  </w:style>
  <w:style w:type="paragraph" w:customStyle="1" w:styleId="Accompagnant">
    <w:name w:val="Accompagnant"/>
    <w:basedOn w:val="Normal"/>
    <w:next w:val="Normal"/>
    <w:pPr>
      <w:jc w:val="center"/>
    </w:pPr>
    <w:rPr>
      <w:rFonts w:eastAsiaTheme="minorHAnsi"/>
      <w:b/>
      <w:i/>
      <w:szCs w:val="22"/>
    </w:rPr>
  </w:style>
  <w:style w:type="paragraph" w:customStyle="1" w:styleId="Typeacteprincipal">
    <w:name w:val="Type acte principal"/>
    <w:basedOn w:val="Normal"/>
    <w:next w:val="Normal"/>
    <w:pPr>
      <w:jc w:val="center"/>
    </w:pPr>
    <w:rPr>
      <w:rFonts w:eastAsiaTheme="minorHAnsi"/>
      <w:b/>
      <w:szCs w:val="22"/>
    </w:rPr>
  </w:style>
  <w:style w:type="paragraph" w:customStyle="1" w:styleId="Objetacteprincipal">
    <w:name w:val="Objet acte principal"/>
    <w:basedOn w:val="Normal"/>
    <w:next w:val="Normal"/>
    <w:pPr>
      <w:spacing w:after="360"/>
      <w:jc w:val="center"/>
    </w:pPr>
    <w:rPr>
      <w:rFonts w:eastAsiaTheme="minorHAnsi"/>
      <w:b/>
      <w:szCs w:val="22"/>
    </w:rPr>
  </w:style>
  <w:style w:type="paragraph" w:styleId="BalloonText">
    <w:name w:val="Balloon Text"/>
    <w:basedOn w:val="Normal"/>
    <w:link w:val="BalloonTextChar"/>
    <w:semiHidden/>
    <w:lock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image" Target="media/image1.emf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yperlink" Target="https://ec.europa.eu/info/brexit/brexit-preparedness/preparedness-notices_en" TargetMode="Externa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uk/government/publications/eu-immigration-after-free-movement-ends-if-theres-no-deal/immigration-from-30-march-2019-if-there-is-no-deal" TargetMode="External"/><Relationship Id="rId2" Type="http://schemas.openxmlformats.org/officeDocument/2006/relationships/hyperlink" Target="https://www.gov.uk/government/publications/policy-paper-on-citizens-rights-in-the-event-of-a-no-deal-brexit" TargetMode="External"/><Relationship Id="rId1" Type="http://schemas.openxmlformats.org/officeDocument/2006/relationships/hyperlink" Target="https://ec.europa.eu/immigration/" TargetMode="External"/><Relationship Id="rId5" Type="http://schemas.openxmlformats.org/officeDocument/2006/relationships/hyperlink" Target="http://www.eurights.uk/" TargetMode="External"/><Relationship Id="rId4" Type="http://schemas.openxmlformats.org/officeDocument/2006/relationships/hyperlink" Target="https://www.gov.uk/eusettledstat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IaLOGIKa\Eurolook\Templates\Euroloo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Texts>
  <SecurityPersonalData>Personal data</SecurityPersonalData>
  <SecurityPharma>Pharma investigations</SecurityPharma>
  <MarkingUntilText>UNTIL</MarkingUntilText>
  <LabelPictureSeq>Picture {SEQ Picture \* ARABIC } – </LabelPictureSeq>
  <SecurityMediationServiceMatter>Mediation service</SecurityMediationServiceMatter>
  <SecurityDeadline>Deadline</SecurityDeadline>
  <SecurityEconomyAndFinance>Economy and finance</SecurityEconomyAndFinance>
  <FooterFax>Fax</FooterFax>
  <FooterOffice>Office:</FooterOffice>
  <SecurityOlafInvestigations>OLAF investigations</SecurityOlafInvestigations>
  <TechHistory>Document History</TechHistory>
  <SensitiveHandling>Handling instructions for SENSITIVE information are given at https://europa.eu/!db43PX</SensitiveHandling>
  <SecurityOlafSpecialHandling>OLAF investigations</SecurityOlafSpecialHandling>
  <SecurityPersonal>Personal</SecurityPersonal>
  <CourtProceduralDocuments>Court procedural documents</CourtProceduralDocuments>
  <OrgaRoot>EUROPEAN COMMISSION</OrgaRoot>
  <TechHistoryComment>Comment</TechHistoryComment>
  <Contact>Contact:</Contact>
  <SensitiveLabel>Sensitive</SensitiveLabel>
  <SpecialHandlingLabel>Special Handling</SpecialHandlingLabel>
  <SecurityInvestigationsDisciplinary>Investigations and disciplinary matters</SecurityInvestigationsDisciplinary>
  <SecurityCompOperations>COMP Operations</SecurityCompOperations>
  <SecurityEuSatellite>EU satellite navigation matters</SecurityEuSatellite>
  <SecurityReleasable>RELEASABLE TO:</SecurityReleasable>
  <AddresseeTo>To:</AddresseeTo>
  <SecurityStaffMatter>Staff matter</SecurityStaffMatter>
  <SecurityOpinionLegalService>Opinion of the Legal Service</SecurityOpinionLegalService>
  <SpecialHandlingFootnote>Special handling instructions are given at https://europa.eu/!db43PX</SpecialHandlingFootnote>
  <SecurityEtsSensitive>ETS</SecurityEtsSensitive>
  <SecurityEtsCritical>ETS Critical</SecurityEtsCritical>
  <SecurityCompSpecial>COMP</SecurityCompSpecial>
  <LabelSource>Source</LabelSource>
  <SecurityPharmaSpecial>Pharma investigations</SecurityPharmaSpecial>
  <TOCHeading>Table of Contents</TOCHeading>
  <TechHistoryDate>Date</TechHistoryDate>
  <AddressFooterBrussels>Commission européenne/Europese Commissie, 1049 Bruxelles/Brussel, BELGIQUE/BELGIË - Tel. +32 22991111</AddressFooterBrussels>
  <SecurityIasOperations>IAS operations</SecurityIasOperations>
  <TechHistoryCreatedBy>Document created by</TechHistoryCreatedBy>
  <FooterPhone>Tel. direct line</FooterPhone>
  <SecuritySecurityMatter>Security matter</SecuritySecurityMatter>
  <SecurityPersonalDataHandling>Shall only be communicated on a need to know basis pursuant to Regulation (EC) No 45/2001. Where e-mail is used, this must be encrypted using SECEM.</SecurityPersonalDataHandling>
  <TechHistoryVersion>Version</TechHistoryVersion>
  <TLPAmber>TLP: Amber</TLPAmber>
  <SecurityMedicalSecret>Medical secret</SecurityMedicalSecret>
  <Contacts>Contacts:</Contacts>
  <SecurityEmbargo>Embargo until</SecurityEmbargo>
  <DateFormatShort>dd/MM/yyyy</DateFormatShort>
  <DateFormatLong>d MMMM yyyy</DateFormatLong>
</Texts>
</file>

<file path=customXml/item3.xml><?xml version="1.0" encoding="utf-8"?>
<Author Role="Creator">
  <Id>88d91e40-5130-498e-9822-300bf14eb270</Id>
  <Names>
    <Latin>
      <FirstName>Christine</FirstName>
      <LastName>Therace</LastName>
    </Latin>
    <Greek>
      <FirstName/>
      <LastName/>
    </Greek>
    <Cyrillic>
      <FirstName/>
      <LastName/>
    </Cyrillic>
    <DocumentScript>
      <FirstName>Christine</FirstName>
      <LastName>Therace</LastName>
      <FullName>Christine Therace</FullName>
    </DocumentScript>
  </Names>
  <Initials>ct</Initials>
  <Gender>f</Gender>
  <Email>Christine.THERACE@ec.europa.eu</Email>
  <Service>SG.B.4</Service>
  <Function ShowInSignature="true"/>
  <WebAddress/>
  <InheritedWebAddress>WebAddress</InheritedWebAddress>
  <OrgaEntity1>
    <Id>dfeba4c5-4fee-4c38-9a3a-bbd8394ad370</Id>
    <LogicalLevel>1</LogicalLevel>
    <Name>SG</Name>
    <HeadLine1>SECRETARIAT-GENERAL</HeadLine1>
    <HeadLine2/>
    <PrimaryAddressId>f03b5801-04c9-4931-aa17-c6d6c70bc579</PrimaryAddressId>
    <SecondaryAddressId/>
    <WebAddress>WebAddress</WebAddress>
    <InheritedWebAddress>WebAddress</InheritedWebAddress>
    <ShowInHeader>true</ShowInHeader>
  </OrgaEntity1>
  <OrgaEntity2>
    <Id>5bfaee95-3489-4c92-8292-c43019406cf5</Id>
    <LogicalLevel>2</LogicalLevel>
    <Name>SG.A</Name>
    <HeadLine1>Directorate A - Strategy, Better Regulation &amp; Corporate Governance</HeadLine1>
    <HeadLine2/>
    <PrimaryAddressId>f03b5801-04c9-4931-aa17-c6d6c70bc579</PrimaryAddressId>
    <SecondaryAddressId/>
    <WebAddress/>
    <InheritedWebAddress>WebAddress</InheritedWebAddress>
    <ShowInHeader>true</ShowInHeader>
  </OrgaEntity2>
  <OrgaEntity3>
    <Id>e54bba68-9594-477c-a130-7fe31e382331</Id>
    <LogicalLevel>3</LogicalLevel>
    <Name>SG.A.1</Name>
    <HeadLine1>SG.A.1-Policy Priorities &amp; Work Programme</HeadLine1>
    <HeadLine2/>
    <PrimaryAddressId>f03b5801-04c9-4931-aa17-c6d6c70bc579</PrimaryAddressId>
    <SecondaryAddressId/>
    <WebAddress/>
    <InheritedWebAddress>WebAddress</InheritedWebAddress>
    <ShowInHeader>true</ShowInHeader>
  </OrgaEntity3>
  <Addresses>
    <Address>
      <Id>f03b5801-04c9-4931-aa17-c6d6c70bc579</Id>
      <Name>Brussels</Name>
      <PhoneNumberPrefix>+32 229 </PhoneNumberPrefix>
      <Location>Brussels,</Location>
      <Footer>Commission européenne/Europese Commissie, 1049 Bruxelles/Brussel, BELGIQUE/BELGIË - Tel. +32 22991111</Footer>
    </Address>
    <Address>
      <Id>1264fb81-f6bb-475e-9f9d-a937d3be6ee2</Id>
      <Name>Luxembourg</Name>
      <PhoneNumberPrefix>+352 4301</PhoneNumberPrefix>
      <Location>Luxembourg,</Location>
      <Footer>Commission européenne, 2920 Luxembourg, LUXEMBOURG - Tel. +352 43011</Footer>
    </Address>
  </Addresses>
  <JobAssignmentId/>
  <MainWorkplace IsMain="true">
    <AddressId>f03b5801-04c9-4931-aa17-c6d6c70bc579</AddressId>
    <Fax/>
    <Phone>+32 229 84108</Phone>
    <Office>BERL 05/096</Office>
  </MainWorkplace>
  <Workplaces>
    <Workplace IsMain="false">
      <AddressId>1264fb81-f6bb-475e-9f9d-a937d3be6ee2</AddressId>
      <Fax/>
      <Phone/>
      <Office/>
    </Workplace>
    <Workplace IsMain="true">
      <AddressId>f03b5801-04c9-4931-aa17-c6d6c70bc579</AddressId>
      <Fax/>
      <Phone>+32 229 84108</Phone>
      <Office>BERL 05/096</Office>
    </Workplace>
  </Workplaces>
</Author>
</file>

<file path=customXml/item4.xml><?xml version="1.0" encoding="utf-8"?>
<EurolookProperties>
  <ProductCustomizationId>EC</ProductCustomizationId>
  <Created>
    <Version>10.0.38495.0</Version>
    <Date>2019-04-05T17:56:24</Date>
    <Language>EN</Language>
  </Created>
  <Edited>
    <Version>10.0.38495.0</Version>
    <Date>2019-04-10T12:41:12</Date>
  </Edited>
  <DocumentModel>
    <Id>6cbda13a-4db2-46c6-876a-ef72275827ef</Id>
    <Name>Report</Name>
  </DocumentModel>
  <DocumentDate>2019-04-05T17:56:24</DocumentDate>
  <DocumentVersion>0.1</DocumentVersion>
  <CompatibilityMode>Eurolook10</CompatibilityMode>
  <Address/>
</Eurolook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25173920-bf43-43cc-9123-1897e847dfc2" xsi:nil="true"/>
    <_Status xmlns="http://schemas.microsoft.com/sharepoint/v3/fields">Not Started</_Status>
    <EC_Collab_Status xmlns="25173920-bf43-43cc-9123-1897e847dfc2">Not Started</EC_Collab_Status>
    <DG xmlns="25173920-bf43-43cc-9123-1897e847dfc2"/>
    <EC_Collab_DocumentLanguage xmlns="25173920-bf43-43cc-9123-1897e847dfc2">EN</EC_Collab_DocumentLanguage>
    <RelatedItems xmlns="http://schemas.microsoft.com/sharepoint/v3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33D44CF0C8FEB45875F235DEEF2E1B9" ma:contentTypeVersion="7" ma:contentTypeDescription="Create a new document in this library." ma:contentTypeScope="" ma:versionID="0cb51d011d44aaa2f2f2559eb8aaf02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5173920-bf43-43cc-9123-1897e847dfc2" targetNamespace="http://schemas.microsoft.com/office/2006/metadata/properties" ma:root="true" ma:fieldsID="a931e117a4c2a292401c17c6d61581df" ns1:_="" ns2:_="" ns3:_="">
    <xsd:import namespace="http://schemas.microsoft.com/sharepoint/v3"/>
    <xsd:import namespace="http://schemas.microsoft.com/sharepoint/v3/fields"/>
    <xsd:import namespace="25173920-bf43-43cc-9123-1897e847dfc2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  <xsd:element ref="ns1:RelatedItems" minOccurs="0"/>
                <xsd:element ref="ns3:DG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latedItems" ma:index="16" nillable="true" ma:displayName="Related Items" ma:internalName="RelatedItems" ma:readOnly="false">
      <xsd:simpleType>
        <xsd:restriction base="dms:Note"/>
      </xsd:simpleType>
    </xsd:element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73920-bf43-43cc-9123-1897e847dfc2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G" ma:index="17" nillable="true" ma:displayName="DG" ma:description="Associated DG(s)" ma:list="{a436e1b9-89ab-4a0f-bf89-77e0c01004af}" ma:internalName="DG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p:Policy xmlns:p="office.server.policy" id="" local="true">
  <p:Name>EC Document</p:Name>
  <p:Description/>
  <p:Statement/>
  <p:PolicyItems>
    <p:PolicyItem featureId="Microsoft.Office.RecordsManagement.PolicyFeatures.PolicyAudit" staticId="0x010100258AA79CEB83498886A3A0868112325000D33D44CF0C8FEB45875F235DEEF2E1B9|8138272" UniqueId="82ebddaa-263f-44a4-b383-ae40ea096670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8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280DB8B-C9E0-4982-BDBC-267BAC521D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F90DE6-88B6-4264-9629-4D8DFDFE87D2}">
  <ds:schemaRefs/>
</ds:datastoreItem>
</file>

<file path=customXml/itemProps3.xml><?xml version="1.0" encoding="utf-8"?>
<ds:datastoreItem xmlns:ds="http://schemas.openxmlformats.org/officeDocument/2006/customXml" ds:itemID="{EE044946-5330-43F7-8D16-AA78684F2938}">
  <ds:schemaRefs/>
</ds:datastoreItem>
</file>

<file path=customXml/itemProps4.xml><?xml version="1.0" encoding="utf-8"?>
<ds:datastoreItem xmlns:ds="http://schemas.openxmlformats.org/officeDocument/2006/customXml" ds:itemID="{D3EA5527-7367-4268-9D83-5125C98D0ED2}">
  <ds:schemaRefs/>
</ds:datastoreItem>
</file>

<file path=customXml/itemProps5.xml><?xml version="1.0" encoding="utf-8"?>
<ds:datastoreItem xmlns:ds="http://schemas.openxmlformats.org/officeDocument/2006/customXml" ds:itemID="{FBCFAAEA-81AD-468F-A583-5AE21EF3F154}">
  <ds:schemaRefs>
    <ds:schemaRef ds:uri="http://schemas.microsoft.com/office/2006/metadata/properties"/>
    <ds:schemaRef ds:uri="http://schemas.microsoft.com/office/infopath/2007/PartnerControls"/>
    <ds:schemaRef ds:uri="25173920-bf43-43cc-9123-1897e847dfc2"/>
    <ds:schemaRef ds:uri="http://schemas.microsoft.com/sharepoint/v3/fields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497E752A-C6CC-44BC-A4A0-D4334C76E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5173920-bf43-43cc-9123-1897e847d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E9A7D715-C5E7-4B53-9BC2-31D92A324287}">
  <ds:schemaRefs>
    <ds:schemaRef ds:uri="office.server.policy"/>
  </ds:schemaRefs>
</ds:datastoreItem>
</file>

<file path=customXml/itemProps8.xml><?xml version="1.0" encoding="utf-8"?>
<ds:datastoreItem xmlns:ds="http://schemas.openxmlformats.org/officeDocument/2006/customXml" ds:itemID="{3035A4A7-F6BD-483B-9BBD-C88CE66E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Eurolook</Template>
  <TotalTime>19</TotalTime>
  <Pages>7</Pages>
  <Words>1971</Words>
  <Characters>11295</Characters>
  <Application>Microsoft Office Word</Application>
  <DocSecurity>0</DocSecurity>
  <PresentationFormat>Microsoft Word 14.0</PresentationFormat>
  <Lines>171</Lines>
  <Paragraphs>36</Paragraphs>
  <ScaleCrop>true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THERACE Christine (SG)</dc:creator>
  <cp:keywords/>
  <dc:description/>
  <cp:lastModifiedBy>HEILEMANN Stefanie (SG)</cp:lastModifiedBy>
  <cp:revision>18</cp:revision>
  <cp:lastPrinted>2019-04-08T15:40:00Z</cp:lastPrinted>
  <dcterms:created xsi:type="dcterms:W3CDTF">2019-04-08T15:40:00Z</dcterms:created>
  <dcterms:modified xsi:type="dcterms:W3CDTF">2019-04-10T10:41:00Z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10.0</vt:lpwstr>
  </property>
  <property fmtid="{D5CDD505-2E9C-101B-9397-08002B2CF9AE}" pid="3" name="ELDocType">
    <vt:lpwstr>rep.dot</vt:lpwstr>
  </property>
  <property fmtid="{D5CDD505-2E9C-101B-9397-08002B2CF9AE}" pid="4" name="Level of sensitivity">
    <vt:lpwstr>Standard treatment</vt:lpwstr>
  </property>
  <property fmtid="{D5CDD505-2E9C-101B-9397-08002B2CF9AE}" pid="5" name="First annex">
    <vt:lpwstr>2</vt:lpwstr>
  </property>
  <property fmtid="{D5CDD505-2E9C-101B-9397-08002B2CF9AE}" pid="6" name="Last annex">
    <vt:lpwstr>2</vt:lpwstr>
  </property>
  <property fmtid="{D5CDD505-2E9C-101B-9397-08002B2CF9AE}" pid="7" name="Unique annex">
    <vt:lpwstr>0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DocStatus">
    <vt:lpwstr>Green</vt:lpwstr>
  </property>
  <property fmtid="{D5CDD505-2E9C-101B-9397-08002B2CF9AE}" pid="11" name="Created using">
    <vt:lpwstr>LW 6.0.1, Build 20180503</vt:lpwstr>
  </property>
  <property fmtid="{D5CDD505-2E9C-101B-9397-08002B2CF9AE}" pid="12" name="Last edited using">
    <vt:lpwstr>LW 6.0.1, Build 20180503</vt:lpwstr>
  </property>
  <property fmtid="{D5CDD505-2E9C-101B-9397-08002B2CF9AE}" pid="13" name="ContentTypeId">
    <vt:lpwstr>0x010100258AA79CEB83498886A3A0868112325000D33D44CF0C8FEB45875F235DEEF2E1B9</vt:lpwstr>
  </property>
</Properties>
</file>