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E0" w:rsidRDefault="00C03F89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A77DC48-BC70-47B0-8DAE-90A004334CD0" style="width:451pt;height:503pt">
            <v:imagedata r:id="rId15" o:title=""/>
          </v:shape>
        </w:pict>
      </w:r>
    </w:p>
    <w:bookmarkEnd w:id="0"/>
    <w:p w:rsidR="00EA7AE0" w:rsidRDefault="00EA7AE0">
      <w:pPr>
        <w:rPr>
          <w:noProof/>
        </w:rPr>
        <w:sectPr w:rsidR="00EA7AE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EA7AE0" w:rsidRDefault="00C03F89">
      <w:pPr>
        <w:pStyle w:val="Heading1"/>
        <w:rPr>
          <w:noProof/>
        </w:rPr>
      </w:pPr>
      <w:r>
        <w:rPr>
          <w:noProof/>
        </w:rPr>
        <w:lastRenderedPageBreak/>
        <w:t>Wprowadzenie</w:t>
      </w:r>
    </w:p>
    <w:p w:rsidR="00EA7AE0" w:rsidRDefault="00C03F89">
      <w:pPr>
        <w:pStyle w:val="Text1"/>
        <w:ind w:left="0"/>
        <w:rPr>
          <w:noProof/>
        </w:rPr>
      </w:pPr>
      <w:r>
        <w:rPr>
          <w:noProof/>
        </w:rPr>
        <w:t xml:space="preserve">W dniu 29 marca 2017 r. Zjednoczone Królestwo złożyło notyfikację o zamiarze wystąpienia z Unii. </w:t>
      </w:r>
      <w:r>
        <w:rPr>
          <w:noProof/>
          <w:color w:val="000000"/>
          <w:u w:color="000000"/>
          <w:bdr w:val="nil"/>
        </w:rPr>
        <w:t>Komisja niezmiennie uważa, że optymalnym rozwiązaniem byłoby uporządkowane wystąpienie Zjednoczonego Królestwa z Unii na podstawie umowy o wystąpieniu, która została wynegocjowana przez rząd Zjednoczonego Królestwa i którą Rada Europejska (art. 50) zatwier</w:t>
      </w:r>
      <w:r>
        <w:rPr>
          <w:noProof/>
          <w:color w:val="000000"/>
          <w:u w:color="000000"/>
          <w:bdr w:val="nil"/>
        </w:rPr>
        <w:t xml:space="preserve">dziła w dniu 25 listopada 2018 r. Komisja nadal koncentruje swoje wysiłki na osiągnięciu tego celu. Na dwa dni przed terminem </w:t>
      </w:r>
      <w:r>
        <w:rPr>
          <w:noProof/>
        </w:rPr>
        <w:t xml:space="preserve">przesuniętym </w:t>
      </w:r>
      <w:r>
        <w:rPr>
          <w:noProof/>
          <w:color w:val="000000"/>
          <w:u w:color="000000"/>
          <w:bdr w:val="nil"/>
        </w:rPr>
        <w:t>przez Radę Europejską na dzień 12 kwietnia 2019 r.</w:t>
      </w:r>
      <w:r>
        <w:rPr>
          <w:noProof/>
          <w:color w:val="000000"/>
          <w:u w:color="000000"/>
          <w:bdr w:val="nil"/>
          <w:vertAlign w:val="superscript"/>
        </w:rPr>
        <w:footnoteReference w:id="2"/>
      </w:r>
      <w:r>
        <w:rPr>
          <w:noProof/>
          <w:color w:val="000000"/>
          <w:u w:color="000000"/>
          <w:bdr w:val="nil"/>
        </w:rPr>
        <w:t xml:space="preserve"> prawdopodobieństwo nieuporządkowanego wystąpienia Zjednoczonego K</w:t>
      </w:r>
      <w:r>
        <w:rPr>
          <w:noProof/>
          <w:color w:val="000000"/>
          <w:u w:color="000000"/>
          <w:bdr w:val="nil"/>
        </w:rPr>
        <w:t>rólestwa z Unii znacznie się jednak zwiększyło.</w:t>
      </w:r>
      <w:r>
        <w:rPr>
          <w:noProof/>
        </w:rPr>
        <w:t xml:space="preserve"> </w:t>
      </w:r>
    </w:p>
    <w:p w:rsidR="00EA7AE0" w:rsidRDefault="00C03F89">
      <w:pPr>
        <w:pStyle w:val="Heading1"/>
        <w:rPr>
          <w:noProof/>
        </w:rPr>
      </w:pPr>
      <w:r>
        <w:rPr>
          <w:noProof/>
        </w:rPr>
        <w:t>Prawa obywateli do pobytu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 xml:space="preserve">Z dniem wystąpienia obywatele Zjednoczonego Królestwa 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przebywający w UE przestaną być obywatelami UE, zatem nie będą mieli już prawa do swobodnego przemieszczania się</w:t>
      </w:r>
      <w:r>
        <w:rPr>
          <w:rStyle w:val="FootnoteReference"/>
          <w:noProof/>
        </w:rPr>
        <w:footnoteReference w:id="4"/>
      </w:r>
      <w:r>
        <w:rPr>
          <w:noProof/>
        </w:rPr>
        <w:t>. Zaczną oni</w:t>
      </w:r>
      <w:r>
        <w:rPr>
          <w:noProof/>
        </w:rPr>
        <w:t xml:space="preserve"> automatycznie podlegać ogólnym zasadom mającym zastosowanie do obywateli państw trzecich w UE. Natomiast jeżeli chodzi o obywateli UE przebywających w Zjednoczonym Królestwie, nie będą już oni chronieni przepisami UE w zakresie swobodnego przemieszczania </w:t>
      </w:r>
      <w:r>
        <w:rPr>
          <w:noProof/>
        </w:rPr>
        <w:t>się. Fakt ten wpłynie na prawo do pobytu i pracy tam, gdzie ci obywatele Zjednoczonego Królestwa i obywatele UE aktualnie mieszkają.</w:t>
      </w:r>
    </w:p>
    <w:p w:rsidR="00EA7AE0" w:rsidRDefault="00C03F89">
      <w:pPr>
        <w:pStyle w:val="Heading2"/>
        <w:tabs>
          <w:tab w:val="clear" w:pos="1202"/>
          <w:tab w:val="num" w:pos="1077"/>
        </w:tabs>
        <w:ind w:left="1077" w:hanging="601"/>
        <w:rPr>
          <w:noProof/>
        </w:rPr>
      </w:pPr>
      <w:r>
        <w:rPr>
          <w:noProof/>
        </w:rPr>
        <w:t>Gwarancja niezmienionego prawa do pobytu obywateli Zjednoczonego Królestwa przebywających już w UE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>Komisja konsekwentnie st</w:t>
      </w:r>
      <w:r>
        <w:rPr>
          <w:noProof/>
        </w:rPr>
        <w:t xml:space="preserve">oi na stanowisku, że ochronę statusu prawnego obywateli Zjednoczonego Królestwa przebywających obecnie w UE należy traktować priorytetowo; wzywała ona również państwa członkowskie do przyjęcia przychylnego podejścia do tych obywateli. Jeśli chodzi o prawo </w:t>
      </w:r>
      <w:r>
        <w:rPr>
          <w:noProof/>
        </w:rPr>
        <w:t>do pobytu obywateli Zjednoczonego Królestwa w państwach członkowskich UE-27, występują różne sytuacje: w niektórych z nich zastosowano krajowe środki awaryjne, natomiast pozostałe są w pełni objęte obowiązującymi przepisami.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>W ciągu ostatnich miesięcy pańs</w:t>
      </w:r>
      <w:r>
        <w:rPr>
          <w:noProof/>
        </w:rPr>
        <w:t xml:space="preserve">twa członkowskie UE-27 opracowały krajowe środki awaryjne w ramach procedury koordynowanej przez Komisję w celu </w:t>
      </w:r>
      <w:r>
        <w:rPr>
          <w:b/>
          <w:noProof/>
        </w:rPr>
        <w:t>zapewnienia możliwości dalszego legalnego pobytu w okresie następującym bezpośrednio po wystąpieniu bez porozumienia wszystkim obywatelom Zjedno</w:t>
      </w:r>
      <w:r>
        <w:rPr>
          <w:b/>
          <w:noProof/>
        </w:rPr>
        <w:t>czonego Królestwa, którzy już legalnie przebywają</w:t>
      </w:r>
      <w:r>
        <w:rPr>
          <w:noProof/>
        </w:rPr>
        <w:t xml:space="preserve"> w jednym z państw członkowskich w chwili wystąpienia. Środki te ułatwią również przekraczanie wewnętrznych i zewnętrznych granic UE w okresie następującym bezpośrednio po wystąpieniu. 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lastRenderedPageBreak/>
        <w:t>Choć celem dobrowolne</w:t>
      </w:r>
      <w:r>
        <w:rPr>
          <w:noProof/>
        </w:rPr>
        <w:t>j koordynacji działań państw członkowskich jest zapewnienie spójnego podejścia, sposoby postępowania i procedury wybrane przez państwa członkowskie mogą się różnić w zależności od ich indywidualnej sytuacji. Każde państwo członkowskie stoi bowiem przed odm</w:t>
      </w:r>
      <w:r>
        <w:rPr>
          <w:noProof/>
        </w:rPr>
        <w:t>iennymi wyzwaniami, które zależą od liczby obywateli Zjednoczonego Królestwa przebywających na jego terytorium oraz od jego systemu prawnego i administracyjnego.</w:t>
      </w:r>
    </w:p>
    <w:p w:rsidR="00EA7AE0" w:rsidRDefault="00C03F89">
      <w:pPr>
        <w:rPr>
          <w:noProof/>
        </w:rPr>
      </w:pPr>
      <w:r>
        <w:rPr>
          <w:noProof/>
        </w:rPr>
        <w:t xml:space="preserve">Państwa członkowskie podjęły niezbędne kroki w celu przyjęcia krajowych środków w odpowiednim </w:t>
      </w:r>
      <w:r>
        <w:rPr>
          <w:noProof/>
        </w:rPr>
        <w:t>czasie i poinformowały o tym Komisję. Komisja opracowuje i publikuje, na stronach internetowych dotyczących gotowości na brexit</w:t>
      </w:r>
      <w:r>
        <w:rPr>
          <w:rStyle w:val="FootnoteReference"/>
          <w:noProof/>
        </w:rPr>
        <w:footnoteReference w:id="5"/>
      </w:r>
      <w:r>
        <w:rPr>
          <w:noProof/>
        </w:rPr>
        <w:t>, aktualny przegląd środków uwzględniający najnowsze wprowadzone przez państwa członkowskie UE-27 środki krajowe, w celu informo</w:t>
      </w:r>
      <w:r>
        <w:rPr>
          <w:noProof/>
        </w:rPr>
        <w:t>wania obywateli Zjednoczonego Królestwa przebywających w Unii o ich prawach. Państwa członkowskie podejmują liczne działania na szczeblu krajowym, aby docierać z informacją do obywateli Zjednoczonego Królestwa przebywających na ich terytorium</w:t>
      </w:r>
      <w:r>
        <w:rPr>
          <w:rStyle w:val="FootnoteReference"/>
          <w:noProof/>
        </w:rPr>
        <w:footnoteReference w:id="6"/>
      </w:r>
      <w:r>
        <w:rPr>
          <w:noProof/>
        </w:rPr>
        <w:t>. Komisja stw</w:t>
      </w:r>
      <w:r>
        <w:rPr>
          <w:noProof/>
        </w:rPr>
        <w:t xml:space="preserve">ierdza, że wprowadzono już niezbędne środki. </w:t>
      </w:r>
      <w:r>
        <w:rPr>
          <w:b/>
          <w:noProof/>
        </w:rPr>
        <w:t>Wzywa jednocześnie te państwa członkowskie, które nie zakończyły jeszcze swoich procedur przyjmowania środków, do uczynienia tego w możliwie najkrótszym terminie</w:t>
      </w:r>
      <w:r>
        <w:rPr>
          <w:noProof/>
        </w:rPr>
        <w:t>.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 xml:space="preserve">Środki przyjęte przez państwa członkowski są </w:t>
      </w:r>
      <w:r>
        <w:rPr>
          <w:noProof/>
        </w:rPr>
        <w:t>zasadniczo spójne, choć występują pewne różnice pod względem dokładnego zakresu obowiązywania środków w odniesieniu do obywateli Zjednoczonego Królestwo przebywających już na terytorium danego państwa. Większość państw członkowskich wybrała pewną formę prz</w:t>
      </w:r>
      <w:r>
        <w:rPr>
          <w:noProof/>
        </w:rPr>
        <w:t>episów docelowo umożliwiającą trwałą lub tymczasową legalizację pobytu. W wielu państwach przewidywany status i prawa opierają na przepisach dyrektywy w sprawie swobodnego przemieszczania się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lub na postanowieniach umowy o wystąpieniu. Niektóre państwa cz</w:t>
      </w:r>
      <w:r>
        <w:rPr>
          <w:noProof/>
        </w:rPr>
        <w:t xml:space="preserve">łonkowskie podkreślają znaczenie wzajemności ze strony Zjednoczonego Królestwa jako wiodącej zasady przyjętych przez nie środków. 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 xml:space="preserve">Obywatele Zjednoczonego Królestwa, którzy legalnie przebywają w danym państwie członkowskim od ponad 5 lat, mogą </w:t>
      </w:r>
      <w:r>
        <w:rPr>
          <w:b/>
          <w:noProof/>
        </w:rPr>
        <w:t>uzyskać stat</w:t>
      </w:r>
      <w:r>
        <w:rPr>
          <w:b/>
          <w:noProof/>
        </w:rPr>
        <w:t>us rezydenta długoterminowego</w:t>
      </w:r>
      <w:r>
        <w:rPr>
          <w:noProof/>
        </w:rPr>
        <w:t xml:space="preserve"> pod warunkiem spełnienia warunków określonych w dyrektywie 2003/109/WE</w:t>
      </w:r>
      <w:r>
        <w:rPr>
          <w:rStyle w:val="FootnoteReference"/>
          <w:b/>
          <w:noProof/>
        </w:rPr>
        <w:footnoteReference w:id="8"/>
      </w:r>
      <w:r>
        <w:rPr>
          <w:noProof/>
        </w:rPr>
        <w:t xml:space="preserve">. Jest to dobrze ugruntowany status w państwie członkowskim zamieszkania, mający solidne </w:t>
      </w:r>
      <w:r>
        <w:rPr>
          <w:noProof/>
        </w:rPr>
        <w:lastRenderedPageBreak/>
        <w:t>podstawy w prawie Unii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i gwarantujący traktowanie na równi z obywatelami tego państwa członkowskiego i prawo do przeniesienia się do innego państwa członkowskiego UE oraz do pobytu, pracy lub studiowania w tym państwie pod warunkiem spełnienia określonych warunków</w:t>
      </w:r>
      <w:r>
        <w:rPr>
          <w:rStyle w:val="FootnoteReference"/>
          <w:noProof/>
        </w:rPr>
        <w:footnoteReference w:id="10"/>
      </w:r>
      <w:r>
        <w:rPr>
          <w:noProof/>
        </w:rPr>
        <w:t>. Komisja nie</w:t>
      </w:r>
      <w:r>
        <w:rPr>
          <w:noProof/>
        </w:rPr>
        <w:t>zmiennie uważa, że okresy legalnego pobytu obywateli Zjednoczonego Królestwa w państwie członkowskim UE-27 przed dniem wystąpienia należy uznać za okresy legalnego pobytu w państwie członkowskim Unii Europejskiej zgodnie z dyrektywą 2003/109/WE dotyczącą s</w:t>
      </w:r>
      <w:r>
        <w:rPr>
          <w:noProof/>
        </w:rPr>
        <w:t>tatusu obywateli państw trzecich będących rezydentami długoterminowymi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>Komisja zachęca państwa członkowskie do rozważenia ewentualnych innych środków gwarantujących legalność dalszego pobytu – od chwili, w której przestaną obowiązywać tymczasowe środki a</w:t>
      </w:r>
      <w:r>
        <w:rPr>
          <w:noProof/>
        </w:rPr>
        <w:t>waryjne – wszystkich obywateli Zjednoczonego Królestwa przebywających legalnie na terytorium państw członkowskich UE-27 w dniu wystąpienia, a zwłaszcza tych, którzy przebywają w danym państwie mniej niż 5 lat. W przypadkach, w których obywatelom Zjednoczon</w:t>
      </w:r>
      <w:r>
        <w:rPr>
          <w:noProof/>
        </w:rPr>
        <w:t>ego Królestwa nie przyznano z góry statusu rezydentów długoterminowych, okres obowiązywania tymczasowych środków awaryjnych wynosi, w zależności od podejścia przyjętego przez dane państwo członkowskie, od kilku miesięcy do kilku lat, licząc od dnia wystąpi</w:t>
      </w:r>
      <w:r>
        <w:rPr>
          <w:noProof/>
        </w:rPr>
        <w:t xml:space="preserve">enia. </w:t>
      </w:r>
    </w:p>
    <w:p w:rsidR="00EA7AE0" w:rsidRDefault="00C03F89">
      <w:pPr>
        <w:pStyle w:val="Heading2"/>
        <w:tabs>
          <w:tab w:val="clear" w:pos="1202"/>
          <w:tab w:val="num" w:pos="1077"/>
        </w:tabs>
        <w:ind w:left="1077" w:hanging="601"/>
        <w:rPr>
          <w:noProof/>
        </w:rPr>
      </w:pPr>
      <w:r>
        <w:rPr>
          <w:noProof/>
        </w:rPr>
        <w:t>Prawa obywateli Zjednoczonego Królestwa do pobytu w UE po dniu wystąpienia</w:t>
      </w:r>
    </w:p>
    <w:p w:rsidR="00EA7AE0" w:rsidRDefault="00C03F89">
      <w:pPr>
        <w:spacing w:after="120"/>
        <w:rPr>
          <w:noProof/>
          <w:szCs w:val="24"/>
        </w:rPr>
      </w:pPr>
      <w:r>
        <w:rPr>
          <w:noProof/>
        </w:rPr>
        <w:t>Jeśli chodzi o </w:t>
      </w:r>
      <w:r>
        <w:rPr>
          <w:b/>
          <w:noProof/>
        </w:rPr>
        <w:t>pobyt krótki</w:t>
      </w:r>
      <w:r>
        <w:rPr>
          <w:noProof/>
        </w:rPr>
        <w:t xml:space="preserve"> (do 90 dni w okresie 180 dni), Parlament Europejski i Rada uzgodniły rozporządzenie w sprawie zwolnienia obywateli Zjednoczonego Królestwa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z obow</w:t>
      </w:r>
      <w:r>
        <w:rPr>
          <w:noProof/>
        </w:rPr>
        <w:t>iązku wizowego pod warunkiem zastosowania takiego samego zwolnienia ze strony Zjednoczonego Królestwa wobec obywateli UE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 xml:space="preserve">Obywatele Zjednoczonego Królestwa, którzy przyjadą do UE po dniu wystąpienia na </w:t>
      </w:r>
      <w:r>
        <w:rPr>
          <w:b/>
          <w:noProof/>
        </w:rPr>
        <w:t>dłuższy pobyt</w:t>
      </w:r>
      <w:r>
        <w:rPr>
          <w:noProof/>
        </w:rPr>
        <w:t xml:space="preserve"> (więcej niż 90 dni, niezależnie od celu</w:t>
      </w:r>
      <w:r>
        <w:rPr>
          <w:noProof/>
        </w:rPr>
        <w:t xml:space="preserve"> pobytu), będą podlegać unijnym i krajowym przepisom w dziedzinie legalnej migracji mającym zastosowanie do obywateli państw trzecich</w:t>
      </w:r>
      <w:r>
        <w:rPr>
          <w:rStyle w:val="FootnoteReference"/>
          <w:noProof/>
        </w:rPr>
        <w:footnoteReference w:id="14"/>
      </w:r>
      <w:r>
        <w:rPr>
          <w:noProof/>
        </w:rPr>
        <w:t>. Przepisy te przewidują w szczególności wydanie pozwolenia, na podstawie odpowiednich kryteriów, na pobyt w celu podjęcia</w:t>
      </w:r>
      <w:r>
        <w:rPr>
          <w:noProof/>
        </w:rPr>
        <w:t xml:space="preserve"> pracy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lub </w:t>
      </w:r>
      <w:r>
        <w:rPr>
          <w:noProof/>
        </w:rPr>
        <w:lastRenderedPageBreak/>
        <w:t>studiów, prowadzenia badań naukowych lub dołączenia do członka rodziny przebywającego w UE.</w:t>
      </w:r>
    </w:p>
    <w:p w:rsidR="00EA7AE0" w:rsidRDefault="00C03F89">
      <w:pPr>
        <w:pStyle w:val="Heading2"/>
        <w:tabs>
          <w:tab w:val="clear" w:pos="1202"/>
          <w:tab w:val="num" w:pos="1077"/>
        </w:tabs>
        <w:ind w:left="1077" w:hanging="601"/>
        <w:rPr>
          <w:noProof/>
        </w:rPr>
      </w:pPr>
      <w:r>
        <w:rPr>
          <w:noProof/>
        </w:rPr>
        <w:t>Niezmienione prawo do pobytu obywateli UE już przebywających w Zjednoczonym Królestwie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 xml:space="preserve">Komisja traktuje priorytetowo ochronę statusu prawnego obywateli </w:t>
      </w:r>
      <w:r>
        <w:rPr>
          <w:noProof/>
        </w:rPr>
        <w:t xml:space="preserve">UE przebywających już w Zjednoczonym Królestwie – choć kwestia ta należeć będzie do kompetencji Zjednoczonego Królestwa – tak jak dąży ona do zabezpieczenia statusu obywateli Zjednoczonego Królestwa przebywających już legalnie w UE. Komisja z zadowoleniem </w:t>
      </w:r>
      <w:r>
        <w:rPr>
          <w:noProof/>
        </w:rPr>
        <w:t xml:space="preserve">przyjęła więc zapewnienia ze strony Zjednoczonego Królestwa i środki polityczne przyjęte po to, aby nawet w przypadku braku porozumienia 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prawa obywateli UE w Zjednoczonym Królestwie były chronione przez nadanie im tzw. statusu osoby osiedlonej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 w:rsidR="00EA7AE0" w:rsidRDefault="00C03F89">
      <w:pPr>
        <w:rPr>
          <w:noProof/>
          <w:szCs w:val="24"/>
        </w:rPr>
      </w:pPr>
      <w:r>
        <w:rPr>
          <w:noProof/>
        </w:rPr>
        <w:t>Przedst</w:t>
      </w:r>
      <w:r>
        <w:rPr>
          <w:noProof/>
        </w:rPr>
        <w:t>awicielstwo Komisji w Zjednoczonym Królestwie i odpowiednie służby w Brukseli ściśle monitorują i analizują działania przygotowawcze prowadzone przez Zjednoczone Królestwo w celu przekształcenia zapowiedzi politycznych w akty ustawodawcze i konkretne dział</w:t>
      </w:r>
      <w:r>
        <w:rPr>
          <w:noProof/>
        </w:rPr>
        <w:t>ania, tak aby status obywateli UE objęty był odpowiednią ochroną. Komisja zachęca przedstawicielstwa dyplomatyczne państw członkowskich w Zjednoczonym Królestwie do dalszej współpracy z przedstawicielstwem Komisji w tym państwie w celu – stosownie do potrz</w:t>
      </w:r>
      <w:r>
        <w:rPr>
          <w:noProof/>
        </w:rPr>
        <w:t>eb – udzielania informacji oraz udostępniania wiedzy fachowej i porad prawnych obywatelom UE w Zjednoczonym Królestwie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 w:rsidR="00EA7AE0" w:rsidRDefault="00C03F89">
      <w:pPr>
        <w:pStyle w:val="Heading1"/>
        <w:rPr>
          <w:noProof/>
        </w:rPr>
      </w:pPr>
      <w:r>
        <w:rPr>
          <w:noProof/>
        </w:rPr>
        <w:t>Prawa obywateli do zabezpieczenia społecznego</w:t>
      </w:r>
    </w:p>
    <w:p w:rsidR="00EA7AE0" w:rsidRDefault="00C03F89">
      <w:pPr>
        <w:pStyle w:val="Text1"/>
        <w:ind w:left="0"/>
        <w:rPr>
          <w:noProof/>
          <w:szCs w:val="24"/>
        </w:rPr>
      </w:pPr>
      <w:r>
        <w:rPr>
          <w:noProof/>
        </w:rPr>
        <w:t>W przypadku braku porozumienia unijne przepisy w dziedzinie koordynacji systemów zabezpie</w:t>
      </w:r>
      <w:r>
        <w:rPr>
          <w:noProof/>
        </w:rPr>
        <w:t>czenia społecznego nie będą już miały zastosowania do Zjednoczonego Królestwa i w Zjednoczonym Królestwie. W przypadku braku środków awaryjnych zagrożone byłoby prawo do zabezpieczenia społecznego obywateli UE-27 oraz obywateli Zjednoczonego Królestwa doty</w:t>
      </w:r>
      <w:r>
        <w:rPr>
          <w:noProof/>
        </w:rPr>
        <w:t>czące Zjednoczonego Królestwa oraz oparte na okolicznościach i zdarzeniach zaistniałych przed dniem wystąpienia, a także na okresach ubezpieczenia, zatrudnienia, pracy na własny rachunek i zamieszkania przebytych przed tym dniem.</w:t>
      </w:r>
    </w:p>
    <w:p w:rsidR="00EA7AE0" w:rsidRDefault="00C03F89">
      <w:pPr>
        <w:pStyle w:val="Text1"/>
        <w:ind w:left="0"/>
        <w:rPr>
          <w:noProof/>
          <w:szCs w:val="24"/>
        </w:rPr>
      </w:pPr>
      <w:r>
        <w:rPr>
          <w:noProof/>
        </w:rPr>
        <w:t>Środki awaryjne przyjęto n</w:t>
      </w:r>
      <w:r>
        <w:rPr>
          <w:noProof/>
        </w:rPr>
        <w:t>a szczeblu zarówno unijnym, jak i krajowym.</w:t>
      </w:r>
    </w:p>
    <w:p w:rsidR="00EA7AE0" w:rsidRDefault="00C03F8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lastRenderedPageBreak/>
        <w:t>Rozporządzenie w sprawie środków awaryjnych w dziedzinie koordynacji systemów zabezpieczenia społecznego</w:t>
      </w:r>
    </w:p>
    <w:p w:rsidR="00EA7AE0" w:rsidRDefault="00C03F89">
      <w:pPr>
        <w:rPr>
          <w:rFonts w:eastAsia="Calibri"/>
          <w:noProof/>
          <w:szCs w:val="24"/>
        </w:rPr>
      </w:pPr>
      <w:r>
        <w:rPr>
          <w:noProof/>
        </w:rPr>
        <w:t>W dniu 25 marca 2019 r. przyjęto rozporządzenie Parlamentu Europejskiego i Rady w sprawie ustanowienia środ</w:t>
      </w:r>
      <w:r>
        <w:rPr>
          <w:noProof/>
        </w:rPr>
        <w:t>ków awaryjnych w dziedzinie koordynacji systemów zabezpieczenia społecznego w następstwie wystąpienia Zjednoczonego Królestwa z Unii</w:t>
      </w:r>
      <w:r>
        <w:rPr>
          <w:noProof/>
          <w:vertAlign w:val="superscript"/>
        </w:rPr>
        <w:footnoteReference w:id="19"/>
      </w:r>
      <w:r>
        <w:rPr>
          <w:noProof/>
        </w:rPr>
        <w:t>.</w:t>
      </w:r>
    </w:p>
    <w:p w:rsidR="00EA7AE0" w:rsidRDefault="00C03F89">
      <w:pPr>
        <w:spacing w:line="256" w:lineRule="auto"/>
        <w:rPr>
          <w:rFonts w:eastAsia="Calibri"/>
          <w:noProof/>
          <w:szCs w:val="24"/>
        </w:rPr>
      </w:pPr>
      <w:r>
        <w:rPr>
          <w:noProof/>
        </w:rPr>
        <w:t>Rozporządzenie to ma charakter jednostronny, wiąże w całości, jest bezpośrednio stosowane we wszystkich państwach członko</w:t>
      </w:r>
      <w:r>
        <w:rPr>
          <w:noProof/>
        </w:rPr>
        <w:t>wskich i będzie obowiązywać od dnia nieuporządkowanego wystąpienia. Swoim zakresem obejmuje następujące osoby:</w:t>
      </w:r>
    </w:p>
    <w:p w:rsidR="00EA7AE0" w:rsidRDefault="00C03F89">
      <w:pPr>
        <w:numPr>
          <w:ilvl w:val="0"/>
          <w:numId w:val="21"/>
        </w:numPr>
        <w:spacing w:after="0" w:line="256" w:lineRule="auto"/>
        <w:contextualSpacing/>
        <w:jc w:val="left"/>
        <w:rPr>
          <w:rFonts w:eastAsia="Calibri"/>
          <w:noProof/>
          <w:szCs w:val="24"/>
        </w:rPr>
      </w:pPr>
      <w:r>
        <w:rPr>
          <w:noProof/>
        </w:rPr>
        <w:t>obywateli państwa członkowskiego, bezpaństwowców i uchodźców, którzy podlegają lub podlegali ustawodawstwu co najmniej jednego państwa członkowsk</w:t>
      </w:r>
      <w:r>
        <w:rPr>
          <w:noProof/>
        </w:rPr>
        <w:t xml:space="preserve">iego i którzy znajdują się lub znajdowali w sytuacji dotyczącej Zjednoczonego Królestwa </w:t>
      </w:r>
      <w:r>
        <w:rPr>
          <w:noProof/>
          <w:u w:val="single"/>
        </w:rPr>
        <w:t>przed dniem wystąpienia</w:t>
      </w:r>
      <w:r>
        <w:rPr>
          <w:noProof/>
        </w:rPr>
        <w:t>, a także członków ich rodzin i osób pozostałych przy życiu po ich śmierci;</w:t>
      </w:r>
    </w:p>
    <w:p w:rsidR="00EA7AE0" w:rsidRDefault="00C03F89">
      <w:pPr>
        <w:numPr>
          <w:ilvl w:val="0"/>
          <w:numId w:val="21"/>
        </w:numPr>
        <w:spacing w:line="257" w:lineRule="auto"/>
        <w:ind w:left="714" w:hanging="357"/>
        <w:jc w:val="left"/>
        <w:rPr>
          <w:rFonts w:eastAsia="Calibri"/>
          <w:noProof/>
          <w:szCs w:val="24"/>
        </w:rPr>
      </w:pPr>
      <w:r>
        <w:rPr>
          <w:noProof/>
        </w:rPr>
        <w:t>obywateli Zjednoczonego Królestwa, którzy podlegają lub podlegali ust</w:t>
      </w:r>
      <w:r>
        <w:rPr>
          <w:noProof/>
        </w:rPr>
        <w:t xml:space="preserve">awodawstwu co najmniej jednego państwa członkowskiego </w:t>
      </w:r>
      <w:r>
        <w:rPr>
          <w:noProof/>
          <w:u w:val="single"/>
        </w:rPr>
        <w:t>przed dniem wystąpienia</w:t>
      </w:r>
      <w:r>
        <w:rPr>
          <w:noProof/>
        </w:rPr>
        <w:t>, a także członków ich rodzin i osób pozostałych przy życiu po ich śmierci.</w:t>
      </w:r>
    </w:p>
    <w:p w:rsidR="00EA7AE0" w:rsidRDefault="00C03F89">
      <w:pPr>
        <w:rPr>
          <w:rFonts w:eastAsia="Calibri"/>
          <w:noProof/>
          <w:szCs w:val="24"/>
        </w:rPr>
      </w:pPr>
      <w:r>
        <w:rPr>
          <w:noProof/>
        </w:rPr>
        <w:t>Na podstawie tego rozporządzenia państwa członkowskie będą nadal stosować:</w:t>
      </w:r>
    </w:p>
    <w:p w:rsidR="00EA7AE0" w:rsidRDefault="00C03F89">
      <w:pPr>
        <w:numPr>
          <w:ilvl w:val="0"/>
          <w:numId w:val="22"/>
        </w:numPr>
        <w:spacing w:after="0" w:line="256" w:lineRule="auto"/>
        <w:contextualSpacing/>
        <w:jc w:val="left"/>
        <w:rPr>
          <w:rFonts w:eastAsia="Calibri"/>
          <w:noProof/>
          <w:szCs w:val="24"/>
        </w:rPr>
      </w:pPr>
      <w:r>
        <w:rPr>
          <w:noProof/>
        </w:rPr>
        <w:t>zasadę sumowania w odniesien</w:t>
      </w:r>
      <w:r>
        <w:rPr>
          <w:noProof/>
        </w:rPr>
        <w:t>iu do okresów ubezpieczenia, zatrudnienia, pracy na własny rachunek lub zamieszkania w Zjednoczonym Królestwie przebytych przed dniem wystąpienia;</w:t>
      </w:r>
    </w:p>
    <w:p w:rsidR="00EA7AE0" w:rsidRDefault="00C03F89">
      <w:pPr>
        <w:numPr>
          <w:ilvl w:val="0"/>
          <w:numId w:val="22"/>
        </w:numPr>
        <w:spacing w:after="0" w:line="256" w:lineRule="auto"/>
        <w:contextualSpacing/>
        <w:jc w:val="left"/>
        <w:rPr>
          <w:rFonts w:eastAsia="Calibri"/>
          <w:noProof/>
          <w:szCs w:val="24"/>
        </w:rPr>
      </w:pPr>
      <w:r>
        <w:rPr>
          <w:noProof/>
        </w:rPr>
        <w:t>zasadę równego traktowania świadczeń lub dochodów uzyskanych w Zjednoczonym Królestwie przed dniem wystąpieni</w:t>
      </w:r>
      <w:r>
        <w:rPr>
          <w:noProof/>
        </w:rPr>
        <w:t xml:space="preserve">a i okoliczności lub zdarzeń zaistniałych w tym państwie przed dniem wystąpienia oraz </w:t>
      </w:r>
    </w:p>
    <w:p w:rsidR="00EA7AE0" w:rsidRDefault="00C03F89">
      <w:pPr>
        <w:numPr>
          <w:ilvl w:val="0"/>
          <w:numId w:val="22"/>
        </w:numPr>
        <w:spacing w:line="257" w:lineRule="auto"/>
        <w:ind w:left="714" w:hanging="357"/>
        <w:jc w:val="left"/>
        <w:rPr>
          <w:rFonts w:eastAsia="Calibri"/>
          <w:noProof/>
          <w:szCs w:val="24"/>
        </w:rPr>
      </w:pPr>
      <w:r>
        <w:rPr>
          <w:noProof/>
        </w:rPr>
        <w:t>zasadę równego traktowania w odniesieniu do dowolnej sytuacji zaistniałej przed dniem wystąpienia.</w:t>
      </w:r>
    </w:p>
    <w:p w:rsidR="00EA7AE0" w:rsidRDefault="00C03F89">
      <w:pPr>
        <w:spacing w:line="256" w:lineRule="auto"/>
        <w:rPr>
          <w:rFonts w:eastAsia="Calibri"/>
          <w:noProof/>
          <w:szCs w:val="24"/>
        </w:rPr>
      </w:pPr>
      <w:r>
        <w:rPr>
          <w:noProof/>
        </w:rPr>
        <w:t xml:space="preserve">Rozporządzenie nie obejmuje okoliczności ani okresów zaistniałych po dniu wystąpienia ani też zasady eksportu świadczeń pieniężnych do Zjednoczonego Królestwa. </w:t>
      </w:r>
    </w:p>
    <w:p w:rsidR="00EA7AE0" w:rsidRDefault="00C03F8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t>Skoordynowane podejście do jednostronnych środków awaryjnych</w:t>
      </w:r>
    </w:p>
    <w:p w:rsidR="00EA7AE0" w:rsidRDefault="00C03F89">
      <w:pPr>
        <w:spacing w:before="120" w:after="120"/>
        <w:rPr>
          <w:rFonts w:eastAsia="Calibri"/>
          <w:noProof/>
          <w:szCs w:val="24"/>
        </w:rPr>
      </w:pPr>
      <w:r>
        <w:rPr>
          <w:noProof/>
        </w:rPr>
        <w:t xml:space="preserve">Wszystkie państwa członkowskie </w:t>
      </w:r>
      <w:r>
        <w:rPr>
          <w:noProof/>
        </w:rPr>
        <w:t>UE-27 zachęcono</w:t>
      </w:r>
      <w:bookmarkStart w:id="2" w:name="_Ref5702974"/>
      <w:r>
        <w:rPr>
          <w:rStyle w:val="FootnoteReference"/>
          <w:noProof/>
        </w:rPr>
        <w:footnoteReference w:id="20"/>
      </w:r>
      <w:bookmarkEnd w:id="2"/>
      <w:r>
        <w:rPr>
          <w:noProof/>
        </w:rPr>
        <w:t xml:space="preserve"> do stosowania po dniu wystąpienia skoordynowanego podejścia do jednostronnych środków awaryjnych, które </w:t>
      </w:r>
      <w:r>
        <w:rPr>
          <w:noProof/>
        </w:rPr>
        <w:lastRenderedPageBreak/>
        <w:t xml:space="preserve">uzupełniałoby rozporządzenie, zapewniając możliwie największą ochronę osób odczuwających skutki wystąpienia. </w:t>
      </w:r>
    </w:p>
    <w:p w:rsidR="00EA7AE0" w:rsidRDefault="00C03F89">
      <w:pPr>
        <w:spacing w:before="160" w:after="160" w:line="256" w:lineRule="auto"/>
        <w:rPr>
          <w:rFonts w:eastAsia="Calibri"/>
          <w:noProof/>
          <w:szCs w:val="24"/>
        </w:rPr>
      </w:pPr>
      <w:r>
        <w:rPr>
          <w:noProof/>
        </w:rPr>
        <w:t>Podobnie do rozporządzeni</w:t>
      </w:r>
      <w:r>
        <w:rPr>
          <w:noProof/>
        </w:rPr>
        <w:t>a skoordynowane podejście miałoby zastosowanie do wszystkich osób ubezpieczonych mających prawa do zabezpieczenia społecznego w państwach członkowskich UE-27 dotyczące Zjednoczonego Królestwa przed dniem wystąpienia, do których miałyby zastosowanie właściw</w:t>
      </w:r>
      <w:r>
        <w:rPr>
          <w:noProof/>
        </w:rPr>
        <w:t xml:space="preserve">e rozporządzenia w dziedzinie koordynacji systemów zabezpieczenia społecznego, gdyby nie doszło do wystąpienia. </w:t>
      </w:r>
    </w:p>
    <w:p w:rsidR="00EA7AE0" w:rsidRDefault="00C03F89">
      <w:pPr>
        <w:spacing w:before="160" w:after="160" w:line="256" w:lineRule="auto"/>
        <w:rPr>
          <w:rFonts w:eastAsia="Calibri"/>
          <w:noProof/>
          <w:szCs w:val="24"/>
        </w:rPr>
      </w:pPr>
      <w:r>
        <w:rPr>
          <w:noProof/>
        </w:rPr>
        <w:t>Dotyczyłoby to obywateli UE-27 i obywateli Zjednoczonego Królestwa, którzy nabyli lub nabędą – w wyniku korzystania z prawa do swobodnego przem</w:t>
      </w:r>
      <w:r>
        <w:rPr>
          <w:noProof/>
        </w:rPr>
        <w:t>ieszczania się przed dniem wystąpienia – prawa w UE w odniesieniu do okresów przebytych przed dniem wystąpienia lub okoliczności lub zdarzeń zaistniałych przed tym dniem</w:t>
      </w:r>
      <w:r>
        <w:rPr>
          <w:noProof/>
          <w:vertAlign w:val="superscript"/>
        </w:rPr>
        <w:footnoteReference w:id="21"/>
      </w:r>
      <w:r>
        <w:rPr>
          <w:noProof/>
        </w:rPr>
        <w:t xml:space="preserve">. Zakres skoordynowanego podejścia wykracza poza zakres rozporządzenia, gdyż obejmuje </w:t>
      </w:r>
      <w:r>
        <w:rPr>
          <w:noProof/>
        </w:rPr>
        <w:t xml:space="preserve">również: </w:t>
      </w:r>
    </w:p>
    <w:p w:rsidR="00EA7AE0" w:rsidRDefault="00C03F8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>eksport świadczeń emerytalnych na rzecz osób mieszkających w Zjednoczonym Królestwie;</w:t>
      </w:r>
    </w:p>
    <w:p w:rsidR="00EA7AE0" w:rsidRDefault="00C03F8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 xml:space="preserve">zwrot kosztów leczenia lub kosztów związanych ze świadczeniami dla bezrobotnych pracowników przygranicznych udzielanych w chwili wystąpienia; </w:t>
      </w:r>
    </w:p>
    <w:p w:rsidR="00EA7AE0" w:rsidRDefault="00C03F8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>rozpatrywane prze</w:t>
      </w:r>
      <w:r>
        <w:rPr>
          <w:noProof/>
        </w:rPr>
        <w:t>z państwa członkowskie UE-27 wnioski o zwrot dotyczące Zjednoczonego Królestwa, które złożono po dniu wystąpienia, ale które dotyczą leczenia mającego miejsce przed dniem wystąpienia;</w:t>
      </w:r>
    </w:p>
    <w:p w:rsidR="00EA7AE0" w:rsidRDefault="00C03F8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>planowane i niezbędne leczenie w Zjednoczonym Królestwie trwające w chwi</w:t>
      </w:r>
      <w:r>
        <w:rPr>
          <w:noProof/>
        </w:rPr>
        <w:t>li wystąpienia;</w:t>
      </w:r>
    </w:p>
    <w:p w:rsidR="00EA7AE0" w:rsidRDefault="00C03F8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>złożone po dniu wystąpienia wnioski o zwrot świadczeń dla bezrobotnych udzielonych przez Zjednoczone Królestwo przed dniem wystąpienia pracownikom przygranicznym mieszkającym w Zjednoczonym Królestwie, ale pracującym w innym państwie członk</w:t>
      </w:r>
      <w:r>
        <w:rPr>
          <w:noProof/>
        </w:rPr>
        <w:t>owskim UE-27.</w:t>
      </w:r>
    </w:p>
    <w:p w:rsidR="00EA7AE0" w:rsidRDefault="00C03F8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t>Krajowe środki jednostronne o większym zasięgu</w:t>
      </w:r>
    </w:p>
    <w:p w:rsidR="00EA7AE0" w:rsidRDefault="00C03F89">
      <w:pPr>
        <w:spacing w:before="120" w:after="120"/>
        <w:rPr>
          <w:rFonts w:eastAsia="Calibri"/>
          <w:noProof/>
          <w:szCs w:val="24"/>
        </w:rPr>
      </w:pPr>
      <w:r>
        <w:rPr>
          <w:noProof/>
        </w:rPr>
        <w:t>W niektórych obszarach poszczególne państwa członkowskie UE-27 mogłyby uzupełnić skoordynowane podejście do środków awaryjnych własnymi – krajowymi jednostronnymi środkami zapewniającymi dodatkow</w:t>
      </w:r>
      <w:r>
        <w:rPr>
          <w:noProof/>
        </w:rPr>
        <w:t>ą ochronę obywateli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. Do środków takich mogłoby należeć kontynuowanie eksportu do Zjednoczonego Królestwa </w:t>
      </w:r>
      <w:r>
        <w:rPr>
          <w:noProof/>
        </w:rPr>
        <w:lastRenderedPageBreak/>
        <w:t xml:space="preserve">świadczeń pieniężnych innych niż świadczenia emerytalne, takich jak: świadczenia dla bezrobotnych, świadczenia z tytułu macierzyństwa/świadczenia dla </w:t>
      </w:r>
      <w:r>
        <w:rPr>
          <w:noProof/>
        </w:rPr>
        <w:t xml:space="preserve">ojca, świadczenia z tytułu inwalidztwa, świadczenia chorobowe, renty rodzinne, świadczenia z tytułu wypadku przy pracy i świadczenia z tytułu śmierci. </w:t>
      </w:r>
    </w:p>
    <w:p w:rsidR="00EA7AE0" w:rsidRDefault="00C03F8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t>Zminimalizowanie okresu próżni między wystąpieniem Zjednoczonego Królestwa a ustabilizowaniem się sytuac</w:t>
      </w:r>
      <w:r>
        <w:rPr>
          <w:noProof/>
        </w:rPr>
        <w:t>ji</w:t>
      </w:r>
    </w:p>
    <w:p w:rsidR="00EA7AE0" w:rsidRDefault="00C03F89">
      <w:pPr>
        <w:spacing w:after="160"/>
        <w:rPr>
          <w:rFonts w:eastAsia="Calibri"/>
          <w:noProof/>
          <w:szCs w:val="24"/>
        </w:rPr>
      </w:pPr>
      <w:r>
        <w:rPr>
          <w:noProof/>
        </w:rPr>
        <w:t>W razie wystąpienia Zjednoczonego Królestwa z UE bez porozumienia nastąpi (w przeciwieństwie do sytuacji w przypadku ratyfikacji umowy o wystąpieniu) nieunikniony okres próżni, w którym okresy pracy, zamieszkania lub ubezpieczenia obywateli w Zjednoczon</w:t>
      </w:r>
      <w:r>
        <w:rPr>
          <w:noProof/>
        </w:rPr>
        <w:t>ym Królestwie nie będą objęte ogólnounijnymi środkami awaryjnymi. Komisja jest zdania, że należy koniecznie zminimalizować skutki tego okresu dla obywateli.</w:t>
      </w:r>
    </w:p>
    <w:p w:rsidR="00EA7AE0" w:rsidRDefault="00C03F89">
      <w:pPr>
        <w:spacing w:after="160"/>
        <w:rPr>
          <w:rFonts w:eastAsia="Calibri"/>
          <w:noProof/>
          <w:szCs w:val="24"/>
        </w:rPr>
      </w:pPr>
      <w:r>
        <w:rPr>
          <w:noProof/>
        </w:rPr>
        <w:t>Państwa członkowskie UE-27 wprowadzają obecnie środki w związku z sytuacją obywateli po wystąpieniu</w:t>
      </w:r>
      <w:r>
        <w:rPr>
          <w:noProof/>
        </w:rPr>
        <w:t xml:space="preserve"> bez porozumienia. Środki te, które mogą wykraczać poza ogólnounijne środki awaryjne, powinny być jednostronne i ograniczone w czasie.</w:t>
      </w:r>
    </w:p>
    <w:p w:rsidR="00EA7AE0" w:rsidRDefault="00C03F89">
      <w:pPr>
        <w:spacing w:after="160"/>
        <w:rPr>
          <w:rFonts w:eastAsia="Calibri"/>
          <w:noProof/>
          <w:szCs w:val="24"/>
          <w:highlight w:val="yellow"/>
        </w:rPr>
      </w:pPr>
      <w:r>
        <w:rPr>
          <w:noProof/>
        </w:rPr>
        <w:t>Państwa członkowskie UE-27 mogłyby rozważyć m.in. dalsze stosowanie zasady sumowania okresów również w odniesieniu do okr</w:t>
      </w:r>
      <w:r>
        <w:rPr>
          <w:noProof/>
        </w:rPr>
        <w:t>esów zatrudnienia, ubezpieczenia i zamieszkania przebytych przez te osoby po dniu wystąpienia. Ponadto państwa członkowskie UE-27 mogłyby również zapewnić dostęp do opieki zdrowotnej obywatelom Zjednoczonego Królestwa, którzy są ubezpieczeni w tym państwie</w:t>
      </w:r>
      <w:r>
        <w:rPr>
          <w:noProof/>
        </w:rPr>
        <w:t>, ale którzy zamieszkują na terytorium państw członkowskich UE-27 – pod warunkiem wzajemności ze strony Zjednoczonego Królestwa.</w:t>
      </w:r>
    </w:p>
    <w:p w:rsidR="00EA7AE0" w:rsidRDefault="00C03F89">
      <w:pPr>
        <w:pStyle w:val="Heading1"/>
        <w:rPr>
          <w:noProof/>
        </w:rPr>
      </w:pPr>
      <w:r>
        <w:rPr>
          <w:noProof/>
        </w:rPr>
        <w:t>Dodatkowe informacje</w:t>
      </w:r>
    </w:p>
    <w:p w:rsidR="00EA7AE0" w:rsidRDefault="00C03F89">
      <w:pPr>
        <w:pStyle w:val="Text1"/>
        <w:ind w:left="0"/>
        <w:rPr>
          <w:noProof/>
        </w:rPr>
      </w:pPr>
      <w:r>
        <w:rPr>
          <w:noProof/>
        </w:rPr>
        <w:t>Organy publiczne i zainteresowane strony mogą znaleźć więcej informacji o skutkach nieuporządkowanego wyst</w:t>
      </w:r>
      <w:r>
        <w:rPr>
          <w:noProof/>
        </w:rPr>
        <w:t>ąpienia Zjednoczonego Królestwa z Unii dotyczących praw obywateli do pobytu i zabezpieczenia społecznego na następującej stronie internetowej Komisji:</w:t>
      </w:r>
    </w:p>
    <w:p w:rsidR="00EA7AE0" w:rsidRDefault="00C03F89">
      <w:pPr>
        <w:pStyle w:val="Text1"/>
        <w:ind w:left="0"/>
        <w:rPr>
          <w:noProof/>
        </w:rPr>
      </w:pPr>
      <w:hyperlink r:id="rId22" w:anchor="empl">
        <w:r>
          <w:rPr>
            <w:rStyle w:val="Hyperlink"/>
            <w:noProof/>
            <w:color w:val="000000"/>
          </w:rPr>
          <w:t>https://ec.europa.eu/info/brexit/brexit-preparedness/preparedness-notices_pl#empl</w:t>
        </w:r>
      </w:hyperlink>
    </w:p>
    <w:sectPr w:rsidR="00EA7A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0" w:right="1701" w:bottom="1020" w:left="1587" w:header="601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E0" w:rsidRDefault="00C03F89">
      <w:pPr>
        <w:spacing w:after="0"/>
      </w:pPr>
      <w:r>
        <w:separator/>
      </w:r>
    </w:p>
  </w:endnote>
  <w:endnote w:type="continuationSeparator" w:id="0">
    <w:p w:rsidR="00EA7AE0" w:rsidRDefault="00C03F89">
      <w:pPr>
        <w:spacing w:after="0"/>
      </w:pPr>
      <w:r>
        <w:continuationSeparator/>
      </w:r>
    </w:p>
  </w:endnote>
  <w:endnote w:type="continuationNotice" w:id="1">
    <w:p w:rsidR="00EA7AE0" w:rsidRDefault="00EA7A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C03F8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C03F89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C03F89">
    <w:pPr>
      <w:pStyle w:val="FooterLi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E0" w:rsidRDefault="00C03F89">
      <w:pPr>
        <w:spacing w:after="0"/>
      </w:pPr>
      <w:r>
        <w:separator/>
      </w:r>
    </w:p>
  </w:footnote>
  <w:footnote w:type="continuationSeparator" w:id="0">
    <w:p w:rsidR="00EA7AE0" w:rsidRDefault="00C03F89">
      <w:pPr>
        <w:spacing w:after="0"/>
      </w:pPr>
      <w:r>
        <w:continuationSeparator/>
      </w:r>
    </w:p>
  </w:footnote>
  <w:footnote w:type="continuationNotice" w:id="1">
    <w:p w:rsidR="00EA7AE0" w:rsidRDefault="00EA7AE0">
      <w:pPr>
        <w:spacing w:after="0"/>
      </w:pPr>
    </w:p>
  </w:footnote>
  <w:footnote w:id="2">
    <w:p w:rsidR="00EA7AE0" w:rsidRDefault="00C03F89">
      <w:pPr>
        <w:pStyle w:val="FootnoteText"/>
      </w:pPr>
      <w:r>
        <w:rPr>
          <w:vertAlign w:val="superscript"/>
        </w:rPr>
        <w:footnoteRef/>
      </w:r>
      <w:r>
        <w:t xml:space="preserve"> </w:t>
      </w:r>
      <w:r>
        <w:tab/>
        <w:t xml:space="preserve">Decyzja Rady Europejskiej 2019/476 przyjęta w porozumieniu ze Zjednoczonym </w:t>
      </w:r>
      <w:r>
        <w:t>Królestwem z dnia 22 marca 2019 r. przedłużająca okres, o którym mowa w art. 50 ust. 3 TUE (Dz.U. L 80I z 22.3.2019, s. 1).</w:t>
      </w:r>
    </w:p>
  </w:footnote>
  <w:footnote w:id="3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Pojęcie „obywatele Zjednoczonego Królestwa” należy rozumieć jako obejmujące również członków ich rodzin będących obywatelami pańs</w:t>
      </w:r>
      <w:r>
        <w:t>tw trzecich, którzy przebywali już w danym państwie przyjmującym w chwili wystąpienia.</w:t>
      </w:r>
    </w:p>
  </w:footnote>
  <w:footnote w:id="4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Obywatele Zjednoczonego Królestwa mający również obywatelstwo państwa członkowskiego UE pozostaną obywatelami UE i zachowają pełna prawa do swobodnego przemieszczania</w:t>
      </w:r>
      <w:r>
        <w:t xml:space="preserve"> się.</w:t>
      </w:r>
    </w:p>
  </w:footnote>
  <w:footnote w:id="5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https://ec.europa.eu/info/brexit/brexit-preparedness/residence-rights-uk-nationals-eu-member-states_en</w:t>
      </w:r>
    </w:p>
  </w:footnote>
  <w:footnote w:id="6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Niemal wszystkie państwa członkowskie są w bliskim kontakcie z brytyjskimi ambasadami i konsulatami. Niektóre państwa udzielają również infor</w:t>
      </w:r>
      <w:r>
        <w:t>macji na specjalnych stronach internetowych poświęconych prawom do pobytu oraz za pośrednictwem mediów społecznościowych. Inne znowu publikują broszury informacyjne, uruchamiają linie informacyjne na temat brexitu, czy też udzielają informacji organizacjom</w:t>
      </w:r>
      <w:r>
        <w:t xml:space="preserve"> pozarządowym i organizacjom pracodawców. Niektóre państwa członkowskie kontaktują się również indywidualnie z każdym obywatelem Zjednoczonego Królestwa, który przebywa na ich terytorium.</w:t>
      </w:r>
    </w:p>
  </w:footnote>
  <w:footnote w:id="7">
    <w:p w:rsidR="00EA7AE0" w:rsidRDefault="00C03F8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ab/>
        <w:t>Dyrektywa 2004/38/WE Parlamentu Europejskiego i Rady z dnia 29 kw</w:t>
      </w:r>
      <w:r>
        <w:t>ietnia 2004 r. w sprawie prawa obywateli Unii i członków ich rodzin do swobodnego przemieszczania się i pobytu na terytorium państw członkowskich, zmieniająca rozporządzenie (EWG) nr 1612/68 i uchylająca dyrektywy 64/221/EWG, 68/360/EWG, 72/194/EWG, 73/148</w:t>
      </w:r>
      <w:r>
        <w:t>/EWG, 75/34/EWG, 75/35/EWG, 90/364/EWG, 90/365/EWG i 93/96/EWG (Dz.U. L 158 z 30.4.2004, s. 77)</w:t>
      </w:r>
      <w:r>
        <w:rPr>
          <w:i/>
        </w:rPr>
        <w:t>.</w:t>
      </w:r>
    </w:p>
  </w:footnote>
  <w:footnote w:id="8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Dyrektywa Rady 2003/109/WE z dnia 25 listopada 2003 r. dotycząca statusu obywateli państw trzecich będących rezydentami długoterminowym (Dz.U. L 016 z 23.1.</w:t>
      </w:r>
      <w:r>
        <w:t xml:space="preserve">2004, s. 44). Dyrektywa ta nie stosuje się do Irlandii ani do Danii. </w:t>
      </w:r>
    </w:p>
  </w:footnote>
  <w:footnote w:id="9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Aktualny przegląd dotyczący wdrażania dyrektywy przez państwa członkowskie zawarto w sprawozdaniu Komisji dla Parlamentu Europejskiego i Rady z dnia 29 marca 2019 r. w sprawie wdrażan</w:t>
      </w:r>
      <w:r>
        <w:t>ia dyrektywy 2003/109/WE dotyczącej statusu obywateli państw trzecich będących rezydentami długoterminowymi (COM(2019) 161 final).</w:t>
      </w:r>
    </w:p>
  </w:footnote>
  <w:footnote w:id="10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Zob. rozdział III dyrektywy 2003/109/WE (art. 14–23).</w:t>
      </w:r>
    </w:p>
  </w:footnote>
  <w:footnote w:id="11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Komunikat Komisji z dnia 13 listopada 2018 r. pt. „Przygotowania </w:t>
      </w:r>
      <w:r>
        <w:t>do wystąpienia Zjednoczonego Królestwa z Unii Europejskiej w dniu 30 marca 2019 r.: Plan działania awaryjnego” (COM/2018/880 final).</w:t>
      </w:r>
    </w:p>
  </w:footnote>
  <w:footnote w:id="12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Należy zauważyć, że obywatele brytyjscy, którym nie przysługiwało prawo do swobodnego przemieszczania się na podstawie p</w:t>
      </w:r>
      <w:r>
        <w:t>rawa Unii, byli już zwolnieni z obowiązku wizowego.</w:t>
      </w:r>
    </w:p>
  </w:footnote>
  <w:footnote w:id="13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Zmienione rozporządzenie Parlamentu Europejskiego i Rady (UE) 2018/1806 z dnia 14 listopada 2018 r. wymieniające państwa trzecie, których obywatele muszą posiadać wizy podczas przekraczania granic zewn</w:t>
      </w:r>
      <w:r>
        <w:t>ętrznych, oraz te, których obywatele są zwolnieni z tego wymogu. Jego formalne przyjęcie nastąpi w najbliższych dniach.</w:t>
      </w:r>
    </w:p>
  </w:footnote>
  <w:footnote w:id="14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Unijny portal imigracyjny: </w:t>
      </w:r>
      <w:hyperlink r:id="rId1">
        <w:r>
          <w:rPr>
            <w:rStyle w:val="Hyperlink"/>
          </w:rPr>
          <w:t>https://ec.europa.eu/immigration/</w:t>
        </w:r>
      </w:hyperlink>
      <w:r>
        <w:t xml:space="preserve"> </w:t>
      </w:r>
    </w:p>
  </w:footnote>
  <w:footnote w:id="15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Możliwe są różn</w:t>
      </w:r>
      <w:r>
        <w:t>e formy migracji w celu podjęcia pracy i do każdej z nich zastosowanie mają odmienne przepisy.</w:t>
      </w:r>
    </w:p>
  </w:footnote>
  <w:footnote w:id="16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Dokument pt. „Policy paper on citizens' rights in the event of a no deal Brexit” (opublikowany dnia 6 grudnia 2018 r.; ostatnio zaktualizowany dnia 28 marca 2</w:t>
      </w:r>
      <w:r>
        <w:t xml:space="preserve">019 r.), zob. </w:t>
      </w:r>
      <w:hyperlink r:id="rId2">
        <w:r>
          <w:rPr>
            <w:rStyle w:val="Hyperlink"/>
          </w:rPr>
          <w:t>https://www.gov.uk/government/publications/policy-paper-on-citizens-rights-in-the-event-of-a-no-deal-brexit</w:t>
        </w:r>
      </w:hyperlink>
      <w:r>
        <w:t>; Dokume</w:t>
      </w:r>
      <w:r>
        <w:t xml:space="preserve">nt pt. </w:t>
      </w:r>
      <w:r>
        <w:rPr>
          <w:lang w:val="en-GB"/>
        </w:rPr>
        <w:t>„Policy paper on Immigration from 12 April 2019 if there is no deal” (opublikowany dnia 28 stycznia 20</w:t>
      </w:r>
      <w:r>
        <w:t>19 r.</w:t>
      </w:r>
      <w:r>
        <w:rPr>
          <w:lang w:val="en-GB"/>
        </w:rPr>
        <w:t xml:space="preserve">), zob. </w:t>
      </w:r>
      <w:hyperlink r:id="rId3">
        <w:r>
          <w:rPr>
            <w:rStyle w:val="Hyperlink"/>
          </w:rPr>
          <w:t>https://www.gov.uk/government/publications/eu-immigration-after-free-movement-ends-if-theres-no-deal/immigration-from-30-march-2019-if-there-is-no-deal</w:t>
        </w:r>
      </w:hyperlink>
      <w:r>
        <w:t xml:space="preserve"> </w:t>
      </w:r>
    </w:p>
  </w:footnote>
  <w:footnote w:id="17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4">
        <w:r>
          <w:rPr>
            <w:rStyle w:val="Hyperlink"/>
          </w:rPr>
          <w:t>https://www.gov.uk/eusettledstatus</w:t>
        </w:r>
      </w:hyperlink>
      <w:r>
        <w:t xml:space="preserve"> </w:t>
      </w:r>
    </w:p>
  </w:footnote>
  <w:footnote w:id="18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Zob. </w:t>
      </w:r>
      <w:hyperlink r:id="rId5">
        <w:r>
          <w:rPr>
            <w:rStyle w:val="Hyperlink"/>
          </w:rPr>
          <w:t>www.eurights.uk</w:t>
        </w:r>
      </w:hyperlink>
      <w:r>
        <w:t xml:space="preserve">  </w:t>
      </w:r>
    </w:p>
  </w:footnote>
  <w:footnote w:id="19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Rozporządzenie Parlamentu Europejskiego i Rady (UE) 2019/500 z dnia 25 marca 2019 r. w sprawie ustanowienia środków awaryjnych w dziedzinie </w:t>
      </w:r>
      <w:r>
        <w:t>koordynacji systemów zabezpieczenia społecznego w następstwie wystąpienia Zjednoczonego Królestwa z Unii, Dz.U. L 85I z 27.3.2019, s. 35.</w:t>
      </w:r>
    </w:p>
  </w:footnote>
  <w:footnote w:id="20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Zob. projekt dokumentu służb Komisji zawierającego wskazówki pt. „Brexit contingency joint approach at EU-27 level </w:t>
      </w:r>
      <w:r>
        <w:t>in a no-deal scenario (‘unilateral coordinated contingency approach’)” [wskazówki dotyczące wspólnego podejścia do środków awaryjnych na szczeblu UE-27 w przypadku wystąpienia Zjednoczonego Królestwa z Unii bez porozumienia (skoordynowane podejście do jedn</w:t>
      </w:r>
      <w:r>
        <w:t>ostronnych środków awaryjnych)], będących tematem seminarium z udziałem ekspertów technicznych w dniu 20 grudnia 2018 r.</w:t>
      </w:r>
    </w:p>
  </w:footnote>
  <w:footnote w:id="21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Podejście to ma również zastosowanie do bezpaństwowców i uchodźców w podobnej sytuacji, a także członków rodzin osób tej kategorii i</w:t>
      </w:r>
      <w:r>
        <w:t xml:space="preserve"> osób pozostałych przy życiu po ich śmierci. </w:t>
      </w:r>
    </w:p>
    <w:p w:rsidR="00EA7AE0" w:rsidRDefault="00C03F89">
      <w:pPr>
        <w:pStyle w:val="FootnoteText"/>
        <w:ind w:firstLine="0"/>
        <w:rPr>
          <w:rFonts w:ascii="Calibri" w:hAnsi="Calibri"/>
        </w:rPr>
      </w:pPr>
      <w:r>
        <w:t xml:space="preserve">W ramach tego podejścia zakres stosowania zostaje również rozszerzony na obywateli państw trzecich, którzy podlegają lub podlegali przepisom rozporządzenia (UE) nr 1231/2010 lub rozporządzenia (WE) nr 859/2003 </w:t>
      </w:r>
      <w:r>
        <w:t>przed dniem wystąpienia, a także do członków ich rodzin i osób pozostałych przy życiu po ich śmierci, w odniesieniu do praw nabytych lub które zostaną nabyte w związku z sytuacjami dotyczącymi Zjednoczonego Królestwa przed dniem wystąpienia. Oznacza to, że</w:t>
      </w:r>
      <w:r>
        <w:t xml:space="preserve"> obywatele państw trzecich, którzy znajdowali się przed dniem wystąpienia w wewnątrzunijnej sytuacji transgranicznej dotyczącej Zjednoczonego Królestwa, a także członkowie ich rodzin i osoby pozostałe przy życiu po ich śmierci, zachowaliby swoje prawa w pa</w:t>
      </w:r>
      <w:r>
        <w:t>ństwach członkowskich UE-27 w odniesieniu do okresów przebytych przed dniem wystąpienia lub okoliczności lub zdarzeń zaistniałych przed tym dniem. Rozporządzenie (UE) nr 1231/2010 nie stosuje się do Danii.</w:t>
      </w:r>
    </w:p>
  </w:footnote>
  <w:footnote w:id="22">
    <w:p w:rsidR="00EA7AE0" w:rsidRDefault="00C03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Zgodnie z projektem wytycznych (zob. przypis </w:t>
      </w:r>
      <w:r>
        <w:fldChar w:fldCharType="begin"/>
      </w:r>
      <w:r>
        <w:instrText xml:space="preserve"> N</w:instrText>
      </w:r>
      <w:r>
        <w:instrText xml:space="preserve">OTEREF _Ref5702974 \h </w:instrText>
      </w:r>
      <w:r>
        <w:fldChar w:fldCharType="separate"/>
      </w:r>
      <w:r>
        <w:t>19</w:t>
      </w:r>
      <w:r>
        <w:fldChar w:fldCharType="end"/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E0" w:rsidRDefault="00EA7A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39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7AE0" w:rsidRDefault="00C03F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AE0" w:rsidRDefault="00EA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AA6A57F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A24EFF48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47DE5BAC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43EA59E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4DBCAA4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72F0AC5"/>
    <w:multiLevelType w:val="multilevel"/>
    <w:tmpl w:val="A96C1276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C7B624F"/>
    <w:multiLevelType w:val="multilevel"/>
    <w:tmpl w:val="92D2269A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1F953E62"/>
    <w:multiLevelType w:val="hybridMultilevel"/>
    <w:tmpl w:val="D6FE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64E"/>
    <w:multiLevelType w:val="hybridMultilevel"/>
    <w:tmpl w:val="5C68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FDF8"/>
    <w:multiLevelType w:val="multilevel"/>
    <w:tmpl w:val="40686314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2D293CE3"/>
    <w:multiLevelType w:val="multilevel"/>
    <w:tmpl w:val="BB2C0B9C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6324F1E"/>
    <w:multiLevelType w:val="multilevel"/>
    <w:tmpl w:val="34A4EF2A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37CB1E1C"/>
    <w:multiLevelType w:val="multilevel"/>
    <w:tmpl w:val="448653B4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3A7730C4"/>
    <w:multiLevelType w:val="multilevel"/>
    <w:tmpl w:val="0D189DCC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429E662A"/>
    <w:multiLevelType w:val="multilevel"/>
    <w:tmpl w:val="2FC8873C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43B708D7"/>
    <w:multiLevelType w:val="multilevel"/>
    <w:tmpl w:val="14D69CFA"/>
    <w:styleLink w:val="ImportedStyle1"/>
    <w:lvl w:ilvl="0">
      <w:start w:val="1"/>
      <w:numFmt w:val="decim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7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2" w:hanging="8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D225CF"/>
    <w:multiLevelType w:val="hybridMultilevel"/>
    <w:tmpl w:val="4678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7C97"/>
    <w:multiLevelType w:val="multilevel"/>
    <w:tmpl w:val="14D69CFA"/>
    <w:numStyleLink w:val="ImportedStyle1"/>
  </w:abstractNum>
  <w:abstractNum w:abstractNumId="18" w15:restartNumberingAfterBreak="0">
    <w:nsid w:val="4E1A982C"/>
    <w:multiLevelType w:val="multilevel"/>
    <w:tmpl w:val="625CE4A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5072619B"/>
    <w:multiLevelType w:val="multilevel"/>
    <w:tmpl w:val="99A4CB20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0" w15:restartNumberingAfterBreak="0">
    <w:nsid w:val="6977472E"/>
    <w:multiLevelType w:val="multilevel"/>
    <w:tmpl w:val="F47CD8F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1" w15:restartNumberingAfterBreak="0">
    <w:nsid w:val="7C65145E"/>
    <w:multiLevelType w:val="multilevel"/>
    <w:tmpl w:val="B2AE485C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22" w15:restartNumberingAfterBreak="0">
    <w:nsid w:val="7C651460"/>
    <w:multiLevelType w:val="multilevel"/>
    <w:tmpl w:val="DCAA060D"/>
    <w:name w:val="Annex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1"/>
  </w:num>
  <w:num w:numId="12">
    <w:abstractNumId w:val="20"/>
  </w:num>
  <w:num w:numId="13">
    <w:abstractNumId w:val="19"/>
  </w:num>
  <w:num w:numId="14">
    <w:abstractNumId w:val="12"/>
  </w:num>
  <w:num w:numId="15">
    <w:abstractNumId w:val="6"/>
  </w:num>
  <w:num w:numId="16">
    <w:abstractNumId w:val="11"/>
  </w:num>
  <w:num w:numId="17">
    <w:abstractNumId w:val="0"/>
  </w:num>
  <w:num w:numId="18">
    <w:abstractNumId w:val="22"/>
  </w:num>
  <w:num w:numId="19">
    <w:abstractNumId w:val="15"/>
  </w:num>
  <w:num w:numId="20">
    <w:abstractNumId w:val="17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3A77DC48-BC70-47B0-8DAE-90A004334CD0"/>
    <w:docVar w:name="LW_COVERPAGE_TYPE" w:val="1"/>
    <w:docVar w:name="LW_CROSSREFERENCE" w:val="&lt;UNUSED&gt;"/>
    <w:docVar w:name="LW_DocType" w:val="EUROLOOK"/>
    <w:docVar w:name="LW_EMISSION" w:val="10.4.2019"/>
    <w:docVar w:name="LW_EMISSION_ISODATE" w:val="2019-04-10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Przeciwdzia\u322?anie skutkom wyst\u261?pienia Zjednoczonego Królestwa z Unii bez umowy: skoordynowane podej\u347?cie Unii_x000b__x000b_Prawa obywateli do pobytu i zabezpieczenia spo\u322?ecznego:_x000b_Skoordynowane podej\u347?cie w przypadku wyst\u261?pienia Zjednoczonego Królestwa z Unii bez porozumieni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 EUROPEJSKIEJ, RADY, EUROPEJSKIEGO BANKU CENTRALNEGO, EUROPEJSKIEGO KOMITETU EKONOMICZNO-SPO\u321?ECZNEGO, KOMITETU REGIONÓW I EUROPEJSKIEGO BANKU INWESTYCYJNEGO_x000b_"/>
  </w:docVars>
  <w:rsids>
    <w:rsidRoot w:val="00EA7AE0"/>
    <w:rsid w:val="00C03F89"/>
    <w:rsid w:val="00E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A83F63-E66D-46D7-BA23-AEEDBB5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l-PL" w:eastAsia="pl-PL" w:bidi="pl-PL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0" w:unhideWhenUsed="1" w:qFormat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Reference">
    <w:name w:val="Cross Reference"/>
    <w:basedOn w:val="DefaultParagraphFont"/>
    <w:uiPriority w:val="99"/>
    <w:rPr>
      <w:i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  <w:jc w:val="left"/>
    </w:pPr>
  </w:style>
  <w:style w:type="paragraph" w:customStyle="1" w:styleId="LegalNumPar">
    <w:name w:val="LegalNumPar"/>
    <w:basedOn w:val="Normal"/>
    <w:uiPriority w:val="90"/>
    <w:qFormat/>
    <w:pPr>
      <w:numPr>
        <w:numId w:val="1"/>
      </w:numPr>
      <w:spacing w:line="360" w:lineRule="auto"/>
      <w:jc w:val="left"/>
    </w:pPr>
  </w:style>
  <w:style w:type="paragraph" w:customStyle="1" w:styleId="Marking">
    <w:name w:val="Marking"/>
    <w:basedOn w:val="Normal"/>
    <w:pPr>
      <w:spacing w:line="276" w:lineRule="auto"/>
      <w:contextualSpacing/>
      <w:jc w:val="right"/>
    </w:pPr>
    <w:rPr>
      <w:sz w:val="28"/>
    </w:r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12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12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2"/>
      </w:numPr>
    </w:pPr>
  </w:style>
  <w:style w:type="paragraph" w:styleId="ListNumber4">
    <w:name w:val="List Number 4"/>
    <w:basedOn w:val="Text4"/>
    <w:pPr>
      <w:numPr>
        <w:numId w:val="12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11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11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1"/>
      </w:numPr>
    </w:pPr>
  </w:style>
  <w:style w:type="paragraph" w:styleId="ListNumber3">
    <w:name w:val="List Number 3"/>
    <w:basedOn w:val="Text3"/>
    <w:pPr>
      <w:numPr>
        <w:numId w:val="11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10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1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0"/>
      </w:numPr>
    </w:pPr>
  </w:style>
  <w:style w:type="paragraph" w:styleId="ListNumber2">
    <w:name w:val="List Number 2"/>
    <w:basedOn w:val="Text2"/>
    <w:pPr>
      <w:numPr>
        <w:numId w:val="10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8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8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7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7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7"/>
      </w:numPr>
    </w:pPr>
  </w:style>
  <w:style w:type="paragraph" w:customStyle="1" w:styleId="ListDash4">
    <w:name w:val="List Dash 4"/>
    <w:basedOn w:val="Text4"/>
    <w:pPr>
      <w:numPr>
        <w:numId w:val="17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16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16"/>
      </w:numPr>
    </w:pPr>
  </w:style>
  <w:style w:type="paragraph" w:customStyle="1" w:styleId="ListDash3Level2">
    <w:name w:val="List Dash 3 (Level 2)"/>
    <w:basedOn w:val="Text3"/>
    <w:pPr>
      <w:numPr>
        <w:ilvl w:val="1"/>
        <w:numId w:val="16"/>
      </w:numPr>
    </w:pPr>
  </w:style>
  <w:style w:type="paragraph" w:customStyle="1" w:styleId="ListDash3">
    <w:name w:val="List Dash 3"/>
    <w:basedOn w:val="Text3"/>
    <w:pPr>
      <w:numPr>
        <w:numId w:val="16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15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15"/>
      </w:numPr>
    </w:pPr>
  </w:style>
  <w:style w:type="paragraph" w:customStyle="1" w:styleId="ListDash2Level2">
    <w:name w:val="List Dash 2 (Level 2)"/>
    <w:basedOn w:val="Text2"/>
    <w:pPr>
      <w:numPr>
        <w:ilvl w:val="1"/>
        <w:numId w:val="15"/>
      </w:numPr>
    </w:pPr>
  </w:style>
  <w:style w:type="paragraph" w:customStyle="1" w:styleId="ListDash2">
    <w:name w:val="List Dash 2"/>
    <w:basedOn w:val="Text2"/>
    <w:pPr>
      <w:numPr>
        <w:numId w:val="15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1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14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13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13"/>
      </w:numPr>
    </w:pPr>
  </w:style>
  <w:style w:type="paragraph" w:customStyle="1" w:styleId="ListDashLevel2">
    <w:name w:val="List Dash (Level 2)"/>
    <w:basedOn w:val="Normal"/>
    <w:pPr>
      <w:numPr>
        <w:ilvl w:val="1"/>
        <w:numId w:val="13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7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7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7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6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6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6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5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5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5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4"/>
      </w:numPr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3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3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3"/>
      </w:numPr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120" w:after="60"/>
      <w:ind w:right="720"/>
    </w:pPr>
    <w:rPr>
      <w:b/>
    </w:rPr>
  </w:style>
  <w:style w:type="paragraph" w:styleId="TOC4">
    <w:name w:val="toc 4"/>
    <w:basedOn w:val="Normal"/>
    <w:next w:val="Normal"/>
    <w:uiPriority w:val="99"/>
    <w:semiHidden/>
    <w:pPr>
      <w:tabs>
        <w:tab w:val="left" w:pos="1446"/>
        <w:tab w:val="left" w:pos="1587"/>
        <w:tab w:val="right" w:leader="dot" w:pos="8640"/>
      </w:tabs>
      <w:spacing w:after="60"/>
      <w:ind w:left="1445" w:right="720" w:hanging="850"/>
    </w:pPr>
    <w:rPr>
      <w:noProof/>
      <w:sz w:val="20"/>
    </w:rPr>
  </w:style>
  <w:style w:type="paragraph" w:styleId="TOC3">
    <w:name w:val="toc 3"/>
    <w:basedOn w:val="Normal"/>
    <w:next w:val="Normal"/>
    <w:uiPriority w:val="99"/>
    <w:semiHidden/>
    <w:pPr>
      <w:tabs>
        <w:tab w:val="left" w:pos="595"/>
        <w:tab w:val="right" w:leader="dot" w:pos="8640"/>
      </w:tabs>
      <w:spacing w:after="60"/>
      <w:ind w:left="1190" w:right="720" w:hanging="595"/>
    </w:pPr>
    <w:rPr>
      <w:sz w:val="20"/>
    </w:rPr>
  </w:style>
  <w:style w:type="paragraph" w:styleId="TOC2">
    <w:name w:val="toc 2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noProof/>
      <w:sz w:val="20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b/>
      <w:caps/>
      <w:sz w:val="20"/>
    </w:rPr>
  </w:style>
  <w:style w:type="paragraph" w:styleId="TOCHeading">
    <w:name w:val="TOC Heading"/>
    <w:basedOn w:val="Normal"/>
    <w:next w:val="Normal"/>
    <w:semiHidden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styleId="FootnoteText">
    <w:name w:val="footnote text"/>
    <w:basedOn w:val="Normal"/>
    <w:link w:val="FootnoteTextChar"/>
    <w:pPr>
      <w:spacing w:after="120"/>
      <w:ind w:left="357" w:hanging="357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ferences">
    <w:name w:val="References"/>
    <w:basedOn w:val="Normal"/>
    <w:next w:val="Normal"/>
    <w:pPr>
      <w:ind w:left="5102"/>
      <w:jc w:val="left"/>
    </w:pPr>
    <w:rPr>
      <w:sz w:val="20"/>
    </w:r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</w:pPr>
    <w:rPr>
      <w:b/>
      <w:smallCaps/>
      <w:sz w:val="28"/>
    </w:r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HistTableHeading">
    <w:name w:val="HistTableHeading"/>
    <w:basedOn w:val="Normal"/>
    <w:next w:val="HistoryTable"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AnnexHeading1">
    <w:name w:val="Annex Heading 1"/>
    <w:basedOn w:val="Normal"/>
    <w:next w:val="Normal"/>
    <w:pPr>
      <w:pageBreakBefore/>
      <w:spacing w:before="240"/>
      <w:outlineLvl w:val="0"/>
    </w:pPr>
    <w:rPr>
      <w:b/>
      <w:smallCap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numbering" w:customStyle="1" w:styleId="ImportedStyle1">
    <w:name w:val="Imported Style 1"/>
    <w:pPr>
      <w:numPr>
        <w:numId w:val="19"/>
      </w:numPr>
    </w:pPr>
  </w:style>
  <w:style w:type="character" w:customStyle="1" w:styleId="FootnoteTextChar">
    <w:name w:val="Footnote Text Char"/>
    <w:basedOn w:val="DefaultParagraphFont"/>
    <w:link w:val="FootnoteText"/>
    <w:rPr>
      <w:sz w:val="20"/>
    </w:rPr>
  </w:style>
  <w:style w:type="character" w:styleId="FootnoteReference">
    <w:name w:val="footnote reference"/>
    <w:basedOn w:val="DefaultParagraphFont"/>
    <w:uiPriority w:val="99"/>
    <w:semiHidden/>
    <w:locked/>
    <w:rPr>
      <w:vertAlign w:val="superscript"/>
    </w:rPr>
  </w:style>
  <w:style w:type="character" w:styleId="Hyperlink">
    <w:name w:val="Hyperlink"/>
    <w:basedOn w:val="DefaultParagraphFont"/>
    <w:semiHidden/>
    <w:locked/>
    <w:rPr>
      <w:color w:val="0563C1" w:themeColor="hyperlink"/>
      <w:u w:val="single"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ec.europa.eu/info/brexit/brexit-preparedness/preparedness-notices_pl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eu-immigration-after-free-movement-ends-if-theres-no-deal/immigration-from-30-march-2019-if-there-is-no-deal" TargetMode="External"/><Relationship Id="rId2" Type="http://schemas.openxmlformats.org/officeDocument/2006/relationships/hyperlink" Target="https://www.gov.uk/government/publications/policy-paper-on-citizens-rights-in-the-event-of-a-no-deal-brexit" TargetMode="External"/><Relationship Id="rId1" Type="http://schemas.openxmlformats.org/officeDocument/2006/relationships/hyperlink" Target="https://ec.europa.eu/immigration/" TargetMode="External"/><Relationship Id="rId5" Type="http://schemas.openxmlformats.org/officeDocument/2006/relationships/hyperlink" Target="http://www.eurights.uk/" TargetMode="External"/><Relationship Id="rId4" Type="http://schemas.openxmlformats.org/officeDocument/2006/relationships/hyperlink" Target="https://www.gov.uk/eusettledstat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Author Role="Creator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5bfaee95-3489-4c92-8292-c43019406cf5</Id>
    <LogicalLevel>2</LogicalLevel>
    <Name>SG.A</Name>
    <HeadLine1>Directorate A - Strategy, Better Regulation &amp; Corporate Governance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e54bba68-9594-477c-a130-7fe31e382331</Id>
    <LogicalLevel>3</LogicalLevel>
    <Name>SG.A.1</Name>
    <HeadLine1>SG.A.1-Policy Priorities &amp; Work Programme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+32 229 84108</Phone>
      <Office>BERL 05/096</Office>
    </Workplace>
  </Workplaces>
</Author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Deadline>Deadline</SecurityDeadline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5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EurolookProperties>
  <ProductCustomizationId>EC</ProductCustomizationId>
  <Created>
    <Version>10.0.38495.0</Version>
    <Date>2019-04-05T17:56:24</Date>
    <Language>EN</Language>
  </Created>
  <Edited>
    <Version>10.0.38495.0</Version>
    <Date>2019-04-10T12:40:56</Date>
  </Edited>
  <DocumentModel>
    <Id>6cbda13a-4db2-46c6-876a-ef72275827ef</Id>
    <Name>Report</Name>
  </DocumentModel>
  <DocumentDate>2019-04-05T17:56:24</DocumentDate>
  <DocumentVersion>0.1</DocumentVersion>
  <CompatibilityMode>Eurolook10</CompatibilityMode>
  <Address/>
</EurolookProperties>
</file>

<file path=customXml/item8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044946-5330-43F7-8D16-AA78684F2938}">
  <ds:schemaRefs/>
</ds:datastoreItem>
</file>

<file path=customXml/itemProps2.xml><?xml version="1.0" encoding="utf-8"?>
<ds:datastoreItem xmlns:ds="http://schemas.openxmlformats.org/officeDocument/2006/customXml" ds:itemID="{E280DB8B-C9E0-4982-BDBC-267BAC52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0DE6-88B6-4264-9629-4D8DFDFE87D2}">
  <ds:schemaRefs/>
</ds:datastoreItem>
</file>

<file path=customXml/itemProps4.xml><?xml version="1.0" encoding="utf-8"?>
<ds:datastoreItem xmlns:ds="http://schemas.openxmlformats.org/officeDocument/2006/customXml" ds:itemID="{FBCFAAEA-81AD-468F-A583-5AE21EF3F154}">
  <ds:schemaRefs>
    <ds:schemaRef ds:uri="http://schemas.microsoft.com/office/2006/metadata/properties"/>
    <ds:schemaRef ds:uri="http://schemas.microsoft.com/office/infopath/2007/PartnerControls"/>
    <ds:schemaRef ds:uri="25173920-bf43-43cc-9123-1897e847dfc2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9A7D715-C5E7-4B53-9BC2-31D92A32428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97E752A-C6CC-44BC-A4A0-D4334C76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3EA5527-7367-4268-9D83-5125C98D0ED2}">
  <ds:schemaRefs/>
</ds:datastoreItem>
</file>

<file path=customXml/itemProps8.xml><?xml version="1.0" encoding="utf-8"?>
<ds:datastoreItem xmlns:ds="http://schemas.openxmlformats.org/officeDocument/2006/customXml" ds:itemID="{B5BAD962-DFC2-40EE-8356-8AC691E8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11</TotalTime>
  <Pages>8</Pages>
  <Words>2217</Words>
  <Characters>12708</Characters>
  <Application>Microsoft Office Word</Application>
  <DocSecurity>0</DocSecurity>
  <PresentationFormat>Microsoft Word 14.0</PresentationFormat>
  <Lines>192</Lines>
  <Paragraphs>41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THERACE Christine (SG)</dc:creator>
  <cp:keywords/>
  <dc:description/>
  <cp:lastModifiedBy>HEILEMANN Stefanie (SG)</cp:lastModifiedBy>
  <cp:revision>14</cp:revision>
  <cp:lastPrinted>2019-04-08T15:40:00Z</cp:lastPrinted>
  <dcterms:created xsi:type="dcterms:W3CDTF">2019-04-10T09:40:00Z</dcterms:created>
  <dcterms:modified xsi:type="dcterms:W3CDTF">2019-04-10T10:40:00Z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10.0</vt:lpwstr>
  </property>
  <property fmtid="{D5CDD505-2E9C-101B-9397-08002B2CF9AE}" pid="3" name="ELDocType">
    <vt:lpwstr>rep.dot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2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Created using">
    <vt:lpwstr>LW 6.0.1, Build 20180503</vt:lpwstr>
  </property>
  <property fmtid="{D5CDD505-2E9C-101B-9397-08002B2CF9AE}" pid="12" name="Last edited using">
    <vt:lpwstr>LW 6.0.1, Build 20180503</vt:lpwstr>
  </property>
  <property fmtid="{D5CDD505-2E9C-101B-9397-08002B2CF9AE}" pid="13" name="ContentTypeId">
    <vt:lpwstr>0x010100258AA79CEB83498886A3A0868112325000D33D44CF0C8FEB45875F235DEEF2E1B9</vt:lpwstr>
  </property>
</Properties>
</file>