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54F9A26-267E-479C-9548-433E91625074" style="width:450.7pt;height:461.3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Sissejuhatus</w:t>
      </w:r>
    </w:p>
    <w:p>
      <w:pPr>
        <w:pStyle w:val="Text1"/>
        <w:ind w:left="0"/>
        <w:rPr>
          <w:noProof/>
        </w:rPr>
      </w:pPr>
      <w:r>
        <w:rPr>
          <w:noProof/>
        </w:rPr>
        <w:t xml:space="preserve">29. märtsil 2017 teatas Ühendkuningriik oma kavatsusest Euroopa Liidust välja astuda. </w:t>
      </w:r>
      <w:r>
        <w:rPr>
          <w:noProof/>
          <w:color w:val="000000"/>
          <w:u w:color="000000"/>
          <w:bdr w:val="nil"/>
        </w:rPr>
        <w:t xml:space="preserve">Euroopa Komisjon on jätkuvalt seisukohal, et parim lahendus on Ühendkuningriigi korrakohane väljaastumine Euroopa Liidust, tuginedes Ühendkuningriigi valitsuses heaks kiidetud ja Euroopa Ülemkogul (artikkel 50) 25. novembril 2018 kinnitatud väljaastumislepingule. Komisjon jätkab sellesuunaliste jõupingutustega. </w:t>
      </w:r>
      <w:r>
        <w:rPr>
          <w:noProof/>
        </w:rPr>
        <w:t>Kaks päeva enne Euroopa Ülemkogu</w:t>
      </w:r>
      <w:r>
        <w:rPr>
          <w:noProof/>
          <w:color w:val="000000"/>
          <w:u w:color="000000"/>
          <w:bdr w:val="nil"/>
          <w:vertAlign w:val="superscript"/>
        </w:rPr>
        <w:footnoteReference w:id="2"/>
      </w:r>
      <w:r>
        <w:rPr>
          <w:noProof/>
        </w:rPr>
        <w:t xml:space="preserve"> pikendatud tähtpäeva – 12. aprilli 2019 – on märkimisväärselt suurenenud tõenäosus, et Ühendkuningriik lahkub liidust leppeta. </w:t>
      </w:r>
    </w:p>
    <w:p>
      <w:pPr>
        <w:pStyle w:val="Heading1"/>
        <w:rPr>
          <w:noProof/>
        </w:rPr>
      </w:pPr>
      <w:r>
        <w:rPr>
          <w:noProof/>
        </w:rPr>
        <w:t>Erandolukorra raamistik: olemasolevad alternatiivid</w:t>
      </w:r>
    </w:p>
    <w:p>
      <w:pPr>
        <w:pStyle w:val="Text1"/>
        <w:ind w:left="0"/>
        <w:rPr>
          <w:noProof/>
        </w:rPr>
      </w:pPr>
      <w:r>
        <w:rPr>
          <w:noProof/>
        </w:rPr>
        <w:t>Leppeta stsenaariumi korral ei kehti Ühendkuningriigis alates väljaastumiskuupäevast enam ELi politsei- ja õiguskoostöö raamistik. See tähendab, et ELi õigusakte ei saa Ühendkuningriigis koostöömenetluste või teabevahetusmehhanismide alusena enam kasutada. See tähendab eelkõige järgmist:</w:t>
      </w:r>
    </w:p>
    <w:p>
      <w:pPr>
        <w:pStyle w:val="Text1"/>
        <w:numPr>
          <w:ilvl w:val="0"/>
          <w:numId w:val="21"/>
        </w:numPr>
        <w:ind w:left="238" w:hanging="238"/>
        <w:rPr>
          <w:noProof/>
        </w:rPr>
      </w:pPr>
      <w:r>
        <w:rPr>
          <w:noProof/>
        </w:rPr>
        <w:t>Ühendkuningriigi osalemine kõigis ELi võrkudes, infosüsteemides ja andmebaasides lõpetatakse</w:t>
      </w:r>
      <w:r>
        <w:rPr>
          <w:noProof/>
          <w:vertAlign w:val="superscript"/>
        </w:rPr>
        <w:footnoteReference w:id="3"/>
      </w:r>
      <w:r>
        <w:rPr>
          <w:noProof/>
        </w:rPr>
        <w:t xml:space="preserve">; </w:t>
      </w:r>
    </w:p>
    <w:p>
      <w:pPr>
        <w:pStyle w:val="Text1"/>
        <w:numPr>
          <w:ilvl w:val="0"/>
          <w:numId w:val="21"/>
        </w:numPr>
        <w:ind w:left="238" w:hanging="238"/>
        <w:rPr>
          <w:noProof/>
        </w:rPr>
      </w:pPr>
      <w:r>
        <w:rPr>
          <w:noProof/>
        </w:rPr>
        <w:t>õigusalase koostöö menetlused</w:t>
      </w:r>
      <w:r>
        <w:rPr>
          <w:noProof/>
          <w:vertAlign w:val="superscript"/>
        </w:rPr>
        <w:footnoteReference w:id="4"/>
      </w:r>
      <w:r>
        <w:rPr>
          <w:noProof/>
        </w:rPr>
        <w:t xml:space="preserve"> Ühendkuningriigiga ei jätku enam ELi raamistikus; </w:t>
      </w:r>
    </w:p>
    <w:p>
      <w:pPr>
        <w:pStyle w:val="Text1"/>
        <w:numPr>
          <w:ilvl w:val="0"/>
          <w:numId w:val="21"/>
        </w:numPr>
        <w:ind w:left="238" w:hanging="238"/>
        <w:rPr>
          <w:noProof/>
        </w:rPr>
      </w:pPr>
      <w:r>
        <w:rPr>
          <w:noProof/>
        </w:rPr>
        <w:t>Ühendkuningriik ei saa enam osaleda ELi ametite</w:t>
      </w:r>
      <w:r>
        <w:rPr>
          <w:noProof/>
          <w:vertAlign w:val="superscript"/>
        </w:rPr>
        <w:footnoteReference w:id="5"/>
      </w:r>
      <w:r>
        <w:rPr>
          <w:noProof/>
        </w:rPr>
        <w:t xml:space="preserve"> töös ning teda käsitatakse kolmanda riigina, millel puudub asjaomane leping. </w:t>
      </w:r>
    </w:p>
    <w:p>
      <w:pPr>
        <w:pStyle w:val="Text1"/>
        <w:ind w:left="0"/>
        <w:rPr>
          <w:noProof/>
        </w:rPr>
      </w:pPr>
      <w:r>
        <w:rPr>
          <w:noProof/>
        </w:rPr>
        <w:t>Kuigi ﻿liidust lahkumine muudab oluliselt EL 27 liikmesriikide praegust koostööd Ühendkuningriigiga, ei tähenda see seda, et politsei- ja õigusalane koostöö Ühendkuningriigiga ei saaks jätkuda. EL 27 liikmesriikide ja Ühendkuningriigi vaheline politsei- ja õigusalane koostöö peab hakkama põhinema alternatiivsetel õiguslikel raamistikel ja koostöömehhanismidel, mille aluseks on rahvusvaheline ja liikmesriikide õigus.</w:t>
      </w:r>
    </w:p>
    <w:p>
      <w:pPr>
        <w:pStyle w:val="Text1"/>
        <w:ind w:left="0"/>
        <w:rPr>
          <w:noProof/>
        </w:rPr>
      </w:pPr>
      <w:r>
        <w:rPr>
          <w:noProof/>
        </w:rPr>
        <w:t>Et tagada kõigile kodanikele turvalisuse kõrge tase, on ELi erandolukorra kavades keskendutud usaldusväärsete alternatiivsete mehhanismide väljaselgitamisele</w:t>
      </w:r>
      <w:r>
        <w:rPr>
          <w:noProof/>
          <w:vertAlign w:val="superscript"/>
        </w:rPr>
        <w:footnoteReference w:id="6"/>
      </w:r>
      <w:r>
        <w:rPr>
          <w:noProof/>
        </w:rPr>
        <w:t xml:space="preserve">, valmisolekule alternatiivsetele õigusraamistikele ja koostöömehhanismidele üleminekuks ning vajalikele ettevalmistustele riiklikul tasandil. Kuigi koostöö EL 27 liikmesriikide ja Ühendkuningriigi vahel saab olema teistsugune, on erandolukorra meetmete eesmärk tagada, et õiguskaitse ja õigusalane koostöö saaks Ühendkuningriigi kui kolmanda riigiga jätkuda, järgides täielikult liidu õigust ja põhjustamata suuri häireid. </w:t>
      </w:r>
    </w:p>
    <w:p>
      <w:pPr>
        <w:pStyle w:val="Text1"/>
        <w:ind w:left="0"/>
        <w:rPr>
          <w:noProof/>
        </w:rPr>
      </w:pPr>
      <w:r>
        <w:rPr>
          <w:noProof/>
        </w:rPr>
        <w:t>Ühendkuningriigi väljaastumine ei muuda politsei- ja õiguskoostööd ülejäänud 27 liikmesriigi vahel</w:t>
      </w:r>
      <w:r>
        <w:rPr>
          <w:noProof/>
          <w:vertAlign w:val="superscript"/>
        </w:rPr>
        <w:footnoteReference w:id="7"/>
      </w:r>
      <w:r>
        <w:rPr>
          <w:noProof/>
        </w:rPr>
        <w:t>. Liit jätkab tulemusliku ja tegeliku julgeolekuliidu loomist, kus kõik liikmed teevad tihedat koostööd. Liidul on töökindlad vahendid, mis võimaldavad riikide ametiasutustel vahetada teavet ja luureteavet, teha kindlaks kahtlustatavad ning neid jälitada ja karistada kriminaalõigussüsteemi kaudu, aga ka kaitsta eurooplasi veebis ja hallata tulemuslikult oma piire. Samuti jätkavad EL 27 liikmesriigid tihedat koostööd ja vahetavad Europoli kaudu teavet, et võidelda terrorismi, küberkuritegevuse ning muude raskete ja organiseeritud kuritegevuse vormidega. Piirihalduse tehnoloogiate, näiteks riiki sisenemise ja riigist lahkumise süsteemi ning ELi reisiinfo ja -lubade süsteemi tulevane kasutuselevõtt aitavad samuti tugevdada turvalisuse kõrget taset kogu Schengeni alal. Kõigi süsteemide suurem koostalitlusvõime tagab õiguskaitseasutustele usaldusväärsema ja täielikuma teabe. EL 27 liikmesriigid saavad ka edaspidi kasu liidu rahvusvaheliste lepingute võrgustikust.</w:t>
      </w:r>
    </w:p>
    <w:p>
      <w:pPr>
        <w:pStyle w:val="Text1"/>
        <w:ind w:left="0"/>
        <w:rPr>
          <w:noProof/>
        </w:rPr>
      </w:pPr>
      <w:r>
        <w:rPr>
          <w:noProof/>
        </w:rPr>
        <w:t>See politsei- ja õiguskoostöö raamistik kriminaalasjades tagab jätkuvalt turvalisuse kõrge taseme inimestele, kes elavad ja töötavad ELis või reisivad sinna.</w:t>
      </w:r>
    </w:p>
    <w:p>
      <w:pPr>
        <w:pStyle w:val="Text1"/>
        <w:ind w:left="0"/>
        <w:rPr>
          <w:noProof/>
        </w:rPr>
      </w:pPr>
      <w:r>
        <w:rPr>
          <w:noProof/>
        </w:rPr>
        <w:t>Ühendkuningriik ja EL 27 liikmesriigid on teadlikud sellest, et alternatiivsete koostöömehhanismide juurde tagasipöördumiseks tuleb operatiivtasandil teha kohandusi ja muudatusi. Kohanduste tase sõltub olemasolevatest riiklikest menetlustest, struktuuridest, vahenditest, töötajatest ja muudest ressurssidest ning seetõttu otsustab iga liikmesriik kohanduste ulatuse ise. Komisjon on teinud koostööd kõigi liikmesriikidega nõuetekohaste erandolukorra meetmete tagamiseks, et olla valmis igaks stsenaariumiks.</w:t>
      </w:r>
    </w:p>
    <w:p>
      <w:pPr>
        <w:pStyle w:val="Heading1"/>
        <w:rPr>
          <w:noProof/>
        </w:rPr>
      </w:pPr>
      <w:r>
        <w:rPr>
          <w:noProof/>
        </w:rPr>
        <w:t>Konkreetsed ettevalmistused ja tegutsemissuunised liikmesriikidele</w:t>
      </w:r>
    </w:p>
    <w:p>
      <w:pPr>
        <w:pStyle w:val="Text1"/>
        <w:keepNext/>
        <w:ind w:left="0"/>
        <w:rPr>
          <w:i/>
          <w:noProof/>
        </w:rPr>
      </w:pPr>
      <w:r>
        <w:rPr>
          <w:i/>
          <w:noProof/>
        </w:rPr>
        <w:t xml:space="preserve">Ühendkuningriigi eraldamine ELi võrkudest, infosüsteemidest ja andmebaasidest </w:t>
      </w:r>
    </w:p>
    <w:p>
      <w:pPr>
        <w:pStyle w:val="Text1"/>
        <w:ind w:left="0"/>
        <w:rPr>
          <w:noProof/>
        </w:rPr>
      </w:pPr>
      <w:r>
        <w:rPr>
          <w:noProof/>
        </w:rPr>
        <w:t>Ühendkuningriigi ametiasutuste juurdepääs ELi võrkudele, infosüsteemidele ja andmebaasidele lõpeb väljaastumise kuupäeval. Kesksüsteemidest (sealhulgas, kuid mitte ainult Schengeni infosüsteem/SIRENE, Europoli infosüsteem, Eurodac) eraldamise valmistavad ette ja viivad ellu asjaomased ELi ametid, tehes vajaduse korral tihedat koostööd liikmesriikidega. Komisjon hoiab ametitega pidevat tihedat sidet ning on teinud kõik ettevalmistused, et tagada Ühendkuningriigi süsteemidest eraldamine väljaastumise kuupäeval. Detsentraliseeritud süsteemide puhul on liikmesriike teavitatud nii meetmete võtmise vajadusest kui ka konkreetsetest sammudest, mida tuleb astuda. Leppeta lahkumise korral peatatakse seega vaikimisi TESTA ühenduste (Eurodomain) kaudu Ühendkuningriigis toimuv kogu andmeliiklus alates väljaastumise kuupäevast. Kui Euroopa Ülemkogu kokkuleppel Ühendkuningriigiga ei otsusta pikendada Euroopa Liidu toimimise lepingu artiklis 50 sätestatud tähtaega, hakatakse kõnealust meedet rakendama 13. aprillil 2019.</w:t>
      </w:r>
    </w:p>
    <w:p>
      <w:pPr>
        <w:pStyle w:val="Text1"/>
        <w:keepNext/>
        <w:ind w:left="0"/>
        <w:rPr>
          <w:i/>
          <w:noProof/>
        </w:rPr>
      </w:pPr>
      <w:r>
        <w:rPr>
          <w:i/>
          <w:noProof/>
        </w:rPr>
        <w:t xml:space="preserve">Andmekogumid ELi võrkudes, infosüsteemides ja andmebaasides </w:t>
      </w:r>
    </w:p>
    <w:p>
      <w:pPr>
        <w:pStyle w:val="Text1"/>
        <w:ind w:left="0"/>
        <w:rPr>
          <w:noProof/>
        </w:rPr>
      </w:pPr>
      <w:r>
        <w:rPr>
          <w:noProof/>
        </w:rPr>
        <w:t>Liikmesriikide ekspertidega on peetud arutelusid süsteemides olevate andmekogumite, st nii Ühendkuningriigis asuvate ELi andmete kui ka Ühendkuningriigist enne väljaastumise kuupäeva saadud andmete, aga ka võetavate meetmete üle, arvestades eri süsteemide eripärasid.</w:t>
      </w:r>
    </w:p>
    <w:p>
      <w:pPr>
        <w:pStyle w:val="Text1"/>
        <w:ind w:left="0"/>
        <w:rPr>
          <w:noProof/>
        </w:rPr>
      </w:pPr>
      <w:r>
        <w:rPr>
          <w:noProof/>
        </w:rPr>
        <w:t xml:space="preserve">ELi või liikmesriikide infosüsteemides asuvate Ühendkuningriigi andmete puhul, mida on vahetatud enne väljaastumise kuupäeva, puudub üldine kohustus sellised seaduslikult saadud andmed ELi või riiklikest süsteemidest kustutada, välja arvatud kahel juhul: i) kui Ühendkuningriik on jätkuvalt andmete omanik, võib ta taotleda andmete kustutamist; </w:t>
      </w:r>
      <w:r>
        <w:rPr>
          <w:noProof/>
        </w:rPr>
        <w:br/>
        <w:t xml:space="preserve"> ii) isikuandmed, mille puhul tuleb kohaldatavate õigusnormide, näiteks isikuandmete kaitse üldmääruse</w:t>
      </w:r>
      <w:r>
        <w:rPr>
          <w:noProof/>
          <w:vertAlign w:val="superscript"/>
        </w:rPr>
        <w:footnoteReference w:id="8"/>
      </w:r>
      <w:r>
        <w:rPr>
          <w:noProof/>
        </w:rPr>
        <w:t xml:space="preserve"> ja isikuandmete kaitset õiguskaitse valdkonnas käsitleva direktiivi</w:t>
      </w:r>
      <w:r>
        <w:rPr>
          <w:noProof/>
          <w:vertAlign w:val="superscript"/>
        </w:rPr>
        <w:footnoteReference w:id="9"/>
      </w:r>
      <w:r>
        <w:rPr>
          <w:noProof/>
        </w:rPr>
        <w:t xml:space="preserve"> alusel igal üksikjuhul eraldi kindlaks määrata, millises ulatuses on töötlemine lubatud. Mõnel juhul kehtestatakse kohustus sellised andmed (eelkõige Ühendkuningriigi SISi hoiatusteated) kustutada, mis vananevad kiiresti ja mida ei saa seetõttu sunnimeetmete alusena kasutada. Sama kehtib Ühendkuningriigi andmete kohta Eurodaci süsteemis. Tegutsemine vananenud hoiatusteadete alusel võib tõsiselt ohustada põhiõiguste kaitset (nt isiku vahistamine, kes on vahepeal õigeks mõistetud).</w:t>
      </w:r>
    </w:p>
    <w:p>
      <w:pPr>
        <w:pStyle w:val="Text1"/>
        <w:keepNext/>
        <w:ind w:left="0"/>
        <w:rPr>
          <w:i/>
          <w:noProof/>
        </w:rPr>
      </w:pPr>
      <w:r>
        <w:rPr>
          <w:i/>
          <w:noProof/>
        </w:rPr>
        <w:t>Üleminek Schengeni infosüsteemilt Interpolile õiguskaitsealase teabe vahetamiseks EL 27 liikmesriikide ja Ühendkuningriigi vahel</w:t>
      </w:r>
    </w:p>
    <w:p>
      <w:pPr>
        <w:pStyle w:val="Text1"/>
        <w:ind w:left="0"/>
        <w:rPr>
          <w:noProof/>
        </w:rPr>
      </w:pPr>
      <w:r>
        <w:rPr>
          <w:noProof/>
        </w:rPr>
        <w:t xml:space="preserve">Schengeni infosüsteem II (SIS) võimaldab liikmesriikide pädevatel asutustel, näiteks politsei- ja piirivalveametnikel jagada teavet piirihalduse ja julgeoleku eesmärgil nii ELis kui ka Schengeni riikides. Ühendkuningriigi osalemine Schengeni infosüsteemis (SIS) ja SIRENE koostöös lõpeb väljaastumise kuupäeval. EL 27 liikmesriigid ja Ühendkuningriik on leidnud, et Interpol ja selle teadete süsteem on asjakohane alternatiiv SISile õiguskaitsealase teabe edasiseks vahetamiseks ELi 27 liikmesriikide ja Ühendkuningriigi vahel. </w:t>
      </w:r>
      <w:r>
        <w:rPr>
          <w:noProof/>
        </w:rPr>
        <w:br/>
        <w:t xml:space="preserve"> Nii EL 27 liikmesriigid kui ka Ühendkuningriik valmistavad ette (kumbki eraldi, kuid samades raamides) üleminekut, et võtta teabe osas, mida praegu jagatakse SISi kaudu, kasutusele samaväärsed Interpoli teated ja märgukirjad</w:t>
      </w:r>
      <w:r>
        <w:rPr>
          <w:noProof/>
          <w:vertAlign w:val="superscript"/>
        </w:rPr>
        <w:footnoteReference w:id="10"/>
      </w:r>
      <w:r>
        <w:rPr>
          <w:noProof/>
        </w:rPr>
        <w:t>. Interpoli kanalite asjakohane kasutamine tagab Ühendkuningriigi siseministri sõnul, et „Ühendkuningriik saab jätkuvalt reageerida olulistele liikmesriikide hoiatusteadetele“</w:t>
      </w:r>
      <w:r>
        <w:rPr>
          <w:noProof/>
          <w:vertAlign w:val="superscript"/>
        </w:rPr>
        <w:footnoteReference w:id="11"/>
      </w:r>
      <w:r>
        <w:rPr>
          <w:noProof/>
        </w:rPr>
        <w:t xml:space="preserve">. Teabevahetuse korraldamiseks Ühendkuningriigiga valmistuvad liikmesriigid ka üleminekuks riiklikelt SIRENE büroodelt (SISi hoiatusteadetega tegelevad teabevahetuse ja koordineerimise kontaktpunktid) Interpoli globaalsele politsei sidesüsteemile (I-24/7). </w:t>
      </w:r>
    </w:p>
    <w:p>
      <w:pPr>
        <w:pStyle w:val="Text1"/>
        <w:ind w:left="0"/>
        <w:rPr>
          <w:noProof/>
        </w:rPr>
      </w:pPr>
      <w:r>
        <w:rPr>
          <w:noProof/>
        </w:rPr>
        <w:t xml:space="preserve">Politsei teabevahetus Interpoli kaudu on kõigis EL 27 liikmesriikides ja Ühendkuningriigis hästi juurdunud. Viimastel kuudel on EL 27 liikmesriigid ja komisjon teinud ettevalmistusi selle nimel, et nende operatiivtasandid oleksid taas Interpoli kanalite suuremaks kasutamiseks valmis, et tagada politseikoostöö Ühendkuningriigiga. Liikmesriigid on üle vaadanud oma töökorra, töötajate arvu, koolitused ja IT-vahendid ning neid kohandanud, et maksimeerida Interpoli teadete kasutamise tulemuslikkust ja neile juurdepääsetavust oma kohalikes õiguskaitseasutustes. </w:t>
      </w:r>
    </w:p>
    <w:p>
      <w:pPr>
        <w:pStyle w:val="Text1"/>
        <w:keepNext/>
        <w:ind w:left="0"/>
        <w:rPr>
          <w:i/>
          <w:noProof/>
        </w:rPr>
      </w:pPr>
      <w:r>
        <w:rPr>
          <w:i/>
          <w:noProof/>
        </w:rPr>
        <w:t>Ühendkuningriigi koostöö ELi ametitega, sealhulgas Europoli</w:t>
      </w:r>
      <w:r>
        <w:rPr>
          <w:rStyle w:val="FootnoteReference"/>
          <w:i/>
          <w:noProof/>
        </w:rPr>
        <w:footnoteReference w:id="12"/>
      </w:r>
      <w:r>
        <w:rPr>
          <w:i/>
          <w:noProof/>
        </w:rPr>
        <w:t>, Eurojusti</w:t>
      </w:r>
      <w:r>
        <w:rPr>
          <w:rStyle w:val="FootnoteReference"/>
          <w:i/>
          <w:noProof/>
        </w:rPr>
        <w:footnoteReference w:id="13"/>
      </w:r>
      <w:r>
        <w:rPr>
          <w:i/>
          <w:noProof/>
        </w:rPr>
        <w:t xml:space="preserve"> ja eu-LISAga</w:t>
      </w:r>
      <w:r>
        <w:rPr>
          <w:rStyle w:val="FootnoteReference"/>
          <w:i/>
          <w:noProof/>
        </w:rPr>
        <w:footnoteReference w:id="14"/>
      </w:r>
    </w:p>
    <w:p>
      <w:pPr>
        <w:pStyle w:val="Text1"/>
        <w:ind w:left="0"/>
        <w:rPr>
          <w:noProof/>
        </w:rPr>
      </w:pPr>
      <w:r>
        <w:rPr>
          <w:noProof/>
        </w:rPr>
        <w:t>Ühendkuningriik ei saa enam osaleda ametite, sealhulgas Europoli, Eurojusti ja eu-LISA töös ja teda tuleb kohelda kui kolmandat riiki, kellel puudub konkreetne koostööleping. Koostöö puhul Europoli ja Eurojustiga hakatakse Ühendkuningriigi suhtes kohaldama kolmandate riikidega tehtava koostöö suhtes kohaldatavaid norme, hõlmates ka andmete kasutamist. Europol ja Ühendkuningriik saavad vahetada strateegilisi andmeid</w:t>
      </w:r>
      <w:r>
        <w:rPr>
          <w:noProof/>
          <w:vertAlign w:val="superscript"/>
        </w:rPr>
        <w:footnoteReference w:id="15"/>
      </w:r>
      <w:r>
        <w:rPr>
          <w:noProof/>
        </w:rPr>
        <w:t xml:space="preserve"> ning sama kehtib ka Eurojusti kohta. Ühendkuningriigil on võimalik Europoliga jagada isikuandmeid oma riigisisese õiguse kohaselt. Europol saaks kasutada oma asutamismääruses sätestatud aluseid, mis lubavad isikuandmete edastamist kolmandatele riikidele, kellega puudub koostööleping</w:t>
      </w:r>
      <w:r>
        <w:rPr>
          <w:noProof/>
          <w:vertAlign w:val="superscript"/>
        </w:rPr>
        <w:footnoteReference w:id="16"/>
      </w:r>
      <w:r>
        <w:rPr>
          <w:noProof/>
        </w:rPr>
        <w:t>. Europol ja Eurojust on teinud ettevalmistusi ja on vajaduse korral valmis kehtestama asjakohase korra.</w:t>
      </w:r>
    </w:p>
    <w:p>
      <w:pPr>
        <w:pStyle w:val="Text1"/>
        <w:keepNext/>
        <w:ind w:left="0"/>
        <w:rPr>
          <w:i/>
          <w:noProof/>
        </w:rPr>
      </w:pPr>
      <w:r>
        <w:rPr>
          <w:i/>
          <w:noProof/>
        </w:rPr>
        <w:t xml:space="preserve">Pooleliolevate asjade käsitlemine — õigusalane koostöö kriminaalasjades </w:t>
      </w:r>
    </w:p>
    <w:p>
      <w:pPr>
        <w:pStyle w:val="Text1"/>
        <w:ind w:left="0"/>
        <w:rPr>
          <w:noProof/>
        </w:rPr>
      </w:pPr>
      <w:r>
        <w:rPr>
          <w:noProof/>
        </w:rPr>
        <w:t xml:space="preserve">Leppeta lahkumise korral lõpetatakse liidu õiguse kohaldamine kõigi Ühendkuningriigiga pooleliolevate kriminaalasjades tehtava õigusalase koostöö asjade suhtes. </w:t>
      </w:r>
    </w:p>
    <w:p>
      <w:pPr>
        <w:pStyle w:val="Text1"/>
        <w:ind w:left="0"/>
        <w:rPr>
          <w:noProof/>
        </w:rPr>
      </w:pPr>
      <w:r>
        <w:rPr>
          <w:noProof/>
        </w:rPr>
        <w:t>Seega juhul, kui Ühendkuningriik lahkub leppeta, ei või a) EL 27 liikmesriigid alates väljaastumise kuupäevast jätkata pooleliolevate õigusalase koostöö menetlustega, millesse on kaasatud Ühendkuningriik, ega b) algatada liidu õiguse alusel uusi selliseid õigusalase koostöö menetlusi, millesse on kaasatud Ühendkuningriik.</w:t>
      </w:r>
    </w:p>
    <w:p>
      <w:pPr>
        <w:pStyle w:val="Text1"/>
        <w:ind w:left="0"/>
        <w:rPr>
          <w:noProof/>
        </w:rPr>
      </w:pPr>
      <w:r>
        <w:rPr>
          <w:noProof/>
        </w:rPr>
        <w:t xml:space="preserve">See, kas selliste pooleliolevate asjadega jätkatakse või mitte, ei ole küsimus liidu õigusest. See sõltub iga EL 27 liikmesriigi riigisisesest õiguskorrast, liikmesriikide õigusest, mis käsitleb koostööd kolmandate riikidega, või siduvatest rahvusvahelistest lepingutest. </w:t>
      </w:r>
    </w:p>
    <w:p>
      <w:pPr>
        <w:pStyle w:val="Text1"/>
        <w:ind w:left="0"/>
        <w:rPr>
          <w:noProof/>
        </w:rPr>
      </w:pPr>
      <w:r>
        <w:rPr>
          <w:noProof/>
        </w:rPr>
        <w:t xml:space="preserve">Kui liikmesriigi õiguse või asjakohase rahvusvahelise konventsiooni alusel on jätkamine võimalik, ei keela liidu õigus liikmesriikidel esitada enne väljaastumise kuupäeva vastava riigisisese õiguse/rahvusvahelise konventsiooni alusel lisataotlust. Selliste taotluste eelduseks peaks siiski olema Ühendkuningriigi liidust leppeta väljaastumine ja neid peaks täitma alles väljaastumise kuupäevast alates. </w:t>
      </w:r>
    </w:p>
    <w:p>
      <w:pPr>
        <w:pStyle w:val="Text1"/>
        <w:ind w:left="0"/>
        <w:rPr>
          <w:noProof/>
        </w:rPr>
      </w:pPr>
      <w:r>
        <w:rPr>
          <w:noProof/>
        </w:rPr>
        <w:t xml:space="preserve">Selliste pooleliolevate asjade jaoks on konkreetsete tehniliste seminaride käigus selgitatud välja ja läbi arutatud asjakohased rahvusvahelised alternatiivsed vahendid (nt Euroopa Nõukogu konventsioonid) ja riiklikud meetmed. Liikmesriigid on võtnud vajalikke valmisolekumeetmeid, et leevendada võimalikku negatiivset mõju, mis leppeta väljaastumisel võiks seoses selliste pooleliolevate asjadega olla avalikule julgeolekule. </w:t>
      </w:r>
    </w:p>
    <w:p>
      <w:pPr>
        <w:pStyle w:val="Text1"/>
        <w:ind w:left="0"/>
        <w:rPr>
          <w:noProof/>
        </w:rPr>
      </w:pPr>
      <w:r>
        <w:rPr>
          <w:noProof/>
        </w:rPr>
        <w:t xml:space="preserve">Liikmesriike on ka kutsutud üles uurima erandolukorraks tehtavate ettevalmistuste raames, kas selleks, et koostöö Ühendkuningriigiga oleks tulemuslikum, oleks vaja ratifitseerida teatavad Euroopa Nõukogu konventsioonid ja protokollid. Kahepoolsed lepingud, mis võisid kehtida liikmesriikide ja Ühendkuningriigi vahel enne ELi vahendite vastuvõtmist, ei muutu uuesti kehtivaks. </w:t>
      </w:r>
    </w:p>
    <w:p>
      <w:pPr>
        <w:pStyle w:val="Text1"/>
        <w:ind w:left="0"/>
        <w:rPr>
          <w:noProof/>
        </w:rPr>
      </w:pPr>
      <w:r>
        <w:rPr>
          <w:noProof/>
        </w:rPr>
        <w:t>EL 27 liikmesriikide asjaomaste ametiasutuste ja Ühendkuningriigi vahelised kahepoolsed kontaktid, mis piirduvad puhtalt operatiivküsimustega, võivad olla pooleliolevates asjades asjakohased, et tagada, et üleminek poolelioleva politsei- ja õigusalase koostöö raames ELi koostöölt riigi- või rahvusvahelise õiguse põhisele koostööle oleks vahetult pärast väljaastumist võimalikult sujuv ja ei mõjutaks tulevasi suhteid.</w:t>
      </w:r>
    </w:p>
    <w:p>
      <w:pPr>
        <w:pStyle w:val="Text1"/>
        <w:ind w:left="0"/>
        <w:rPr>
          <w:noProof/>
        </w:rPr>
      </w:pPr>
      <w:r>
        <w:rPr>
          <w:noProof/>
        </w:rPr>
        <w:t>Kahtlustatavate või süüdistatavate õigused tagatakse Euroopa Nõukogu asjakohaste vahendite ja Euroopa inimõiguste ja põhivabaduste kaitse konventsiooni alusel, milles Ühendkuningriik on osalisriik. Lisaks saab kuriteoohvrite õiguste kaitsel tugineda Ühendkuningriigi õigusele ja tavadele. Ühendkuningriigis on juba sätestatud mitmed ohvrite õigused, mis põhinevad ELi normidel.</w:t>
      </w:r>
    </w:p>
    <w:p>
      <w:pPr>
        <w:pStyle w:val="Heading1"/>
        <w:rPr>
          <w:noProof/>
        </w:rPr>
      </w:pPr>
      <w:r>
        <w:rPr>
          <w:noProof/>
        </w:rPr>
        <w:t>Lisateave</w:t>
      </w:r>
    </w:p>
    <w:p>
      <w:pPr>
        <w:pStyle w:val="Text1"/>
        <w:ind w:left="0"/>
        <w:rPr>
          <w:noProof/>
        </w:rPr>
      </w:pPr>
      <w:r>
        <w:rPr>
          <w:noProof/>
        </w:rPr>
        <w:t>Ametiasutused ja sidusrühmad võivad leida lisateavet Ühendkuningriigi leppeta väljaastumisega kaasneva mõju kohta kriminaalasjades tehtavale politsei- ja õigusalasele koostööle järgmiselt komisjoni veebisaidilt:</w:t>
      </w:r>
    </w:p>
    <w:p>
      <w:pPr>
        <w:pStyle w:val="Text1"/>
        <w:ind w:left="0"/>
        <w:rPr>
          <w:noProof/>
        </w:rPr>
      </w:pPr>
      <w:hyperlink r:id="rId23" w:history="1">
        <w:r>
          <w:rPr>
            <w:rStyle w:val="Hyperlink"/>
            <w:noProof/>
          </w:rPr>
          <w:t>https://ec.europa.eu/info/brexit/brexit-preparedness/preparedness-notices_en</w:t>
        </w:r>
      </w:hyperlink>
    </w:p>
    <w:p>
      <w:pPr>
        <w:keepNext/>
        <w:spacing w:after="120"/>
        <w:jc w:val="center"/>
        <w:rPr>
          <w:noProof/>
        </w:rPr>
      </w:pPr>
      <w:r>
        <w:rPr>
          <w:noProof/>
        </w:rPr>
        <w:br w:type="page"/>
      </w:r>
      <w:r>
        <w:rPr>
          <w:b/>
          <w:noProof/>
        </w:rPr>
        <w:t>LISA: Alternatiivsed vahendid, mille komisjon on kindlaks teinud</w:t>
      </w:r>
      <w:r>
        <w:rPr>
          <w:rStyle w:val="FootnoteReference"/>
          <w:noProof/>
        </w:rPr>
        <w:footnoteReference w:id="17"/>
      </w:r>
    </w:p>
    <w:tbl>
      <w:tblPr>
        <w:tblStyle w:val="TableGrid"/>
        <w:tblW w:w="0" w:type="auto"/>
        <w:tblLook w:val="04A0" w:firstRow="1" w:lastRow="0" w:firstColumn="1" w:lastColumn="0" w:noHBand="0" w:noVBand="1"/>
      </w:tblPr>
      <w:tblGrid>
        <w:gridCol w:w="4348"/>
        <w:gridCol w:w="4372"/>
      </w:tblGrid>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keepNext/>
              <w:spacing w:line="300" w:lineRule="auto"/>
              <w:rPr>
                <w:rFonts w:ascii="Times New Roman" w:hAnsi="Times New Roman" w:cs="Times New Roman"/>
                <w:b/>
                <w:noProof/>
              </w:rPr>
            </w:pPr>
            <w:r>
              <w:rPr>
                <w:rFonts w:ascii="Times New Roman" w:hAnsi="Times New Roman"/>
                <w:b/>
                <w:noProof/>
              </w:rPr>
              <w:t>ELi vahend</w:t>
            </w:r>
          </w:p>
        </w:tc>
        <w:tc>
          <w:tcPr>
            <w:tcW w:w="4372" w:type="dxa"/>
            <w:tcBorders>
              <w:top w:val="single" w:sz="4" w:space="0" w:color="auto"/>
              <w:left w:val="single" w:sz="4" w:space="0" w:color="auto"/>
              <w:bottom w:val="single" w:sz="4" w:space="0" w:color="auto"/>
              <w:right w:val="single" w:sz="4" w:space="0" w:color="auto"/>
            </w:tcBorders>
            <w:hideMark/>
          </w:tcPr>
          <w:p>
            <w:pPr>
              <w:keepNext/>
              <w:spacing w:line="300" w:lineRule="auto"/>
              <w:rPr>
                <w:rFonts w:ascii="Times New Roman" w:hAnsi="Times New Roman" w:cs="Times New Roman"/>
                <w:b/>
                <w:noProof/>
              </w:rPr>
            </w:pPr>
            <w:r>
              <w:rPr>
                <w:rFonts w:ascii="Times New Roman" w:hAnsi="Times New Roman"/>
                <w:b/>
                <w:noProof/>
              </w:rPr>
              <w:t>Alternatiiv</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keepNext/>
              <w:rPr>
                <w:rFonts w:ascii="Times New Roman" w:hAnsi="Times New Roman" w:cs="Times New Roman"/>
                <w:noProof/>
                <w:szCs w:val="22"/>
              </w:rPr>
            </w:pPr>
            <w:r>
              <w:rPr>
                <w:rFonts w:ascii="Times New Roman" w:hAnsi="Times New Roman"/>
                <w:noProof/>
              </w:rPr>
              <w:t>Schengeni infosüsteem (SIS)</w:t>
            </w:r>
            <w:r>
              <w:rPr>
                <w:rStyle w:val="FootnoteReference"/>
                <w:rFonts w:ascii="Times New Roman" w:hAnsi="Times New Roman"/>
                <w:noProof/>
              </w:rPr>
              <w:footnoteReference w:id="18"/>
            </w:r>
          </w:p>
          <w:p>
            <w:pPr>
              <w:keepNext/>
              <w:spacing w:line="300" w:lineRule="auto"/>
              <w:rPr>
                <w:rFonts w:ascii="Times New Roman" w:hAnsi="Times New Roman" w:cs="Times New Roman"/>
                <w:noProof/>
                <w:szCs w:val="22"/>
              </w:rPr>
            </w:pPr>
            <w:r>
              <w:rPr>
                <w:rFonts w:ascii="Times New Roman" w:hAnsi="Times New Roman"/>
                <w:noProof/>
              </w:rPr>
              <w:t>SIRENE bürood (Supplementary Information Request at the National Entries)</w:t>
            </w:r>
          </w:p>
        </w:tc>
        <w:tc>
          <w:tcPr>
            <w:tcW w:w="4372" w:type="dxa"/>
            <w:tcBorders>
              <w:top w:val="single" w:sz="4" w:space="0" w:color="auto"/>
              <w:left w:val="single" w:sz="4" w:space="0" w:color="auto"/>
              <w:bottom w:val="single" w:sz="4" w:space="0" w:color="auto"/>
              <w:right w:val="single" w:sz="4" w:space="0" w:color="auto"/>
            </w:tcBorders>
            <w:hideMark/>
          </w:tcPr>
          <w:p>
            <w:pPr>
              <w:keepNext/>
              <w:spacing w:line="300" w:lineRule="auto"/>
              <w:rPr>
                <w:rFonts w:ascii="Times New Roman" w:hAnsi="Times New Roman" w:cs="Times New Roman"/>
                <w:noProof/>
                <w:szCs w:val="22"/>
              </w:rPr>
            </w:pPr>
            <w:r>
              <w:rPr>
                <w:rFonts w:ascii="Times New Roman" w:hAnsi="Times New Roman"/>
                <w:noProof/>
              </w:rPr>
              <w:t>Interpoli andmebaasid (dokumendid, sõidukid) ja teated (isikud)</w:t>
            </w:r>
          </w:p>
          <w:p>
            <w:pPr>
              <w:keepNext/>
              <w:spacing w:line="300" w:lineRule="auto"/>
              <w:rPr>
                <w:rFonts w:ascii="Times New Roman" w:hAnsi="Times New Roman" w:cs="Times New Roman"/>
                <w:noProof/>
                <w:szCs w:val="22"/>
              </w:rPr>
            </w:pPr>
            <w:r>
              <w:rPr>
                <w:rFonts w:ascii="Times New Roman" w:hAnsi="Times New Roman"/>
                <w:noProof/>
              </w:rPr>
              <w:t>Interpoli kanal, olemasolevad kahepoolsed kanalid</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Europol</w:t>
            </w:r>
            <w:r>
              <w:rPr>
                <w:rStyle w:val="FootnoteReference"/>
                <w:rFonts w:ascii="Times New Roman" w:hAnsi="Times New Roman"/>
                <w:noProof/>
              </w:rPr>
              <w:footnoteReference w:id="19"/>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Interpol, kahepoolsed kanalid, võimalus vahetada andmeid Europoli määruse (EL) nr 2016/794 artiklil 25 põhinevate erandite alusel</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Prüm</w:t>
            </w:r>
            <w:r>
              <w:rPr>
                <w:rStyle w:val="FootnoteReference"/>
                <w:rFonts w:ascii="Times New Roman" w:hAnsi="Times New Roman"/>
                <w:noProof/>
              </w:rPr>
              <w:footnoteReference w:id="20"/>
            </w:r>
            <w:r>
              <w:rPr>
                <w:rFonts w:ascii="Times New Roman" w:hAnsi="Times New Roman"/>
                <w:noProof/>
              </w:rPr>
              <w:t xml:space="preserve"> </w:t>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 xml:space="preserve">Ühendkuningriik ei ole sellega seotud </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Rootsi algatus</w:t>
            </w:r>
            <w:r>
              <w:rPr>
                <w:rStyle w:val="FootnoteReference"/>
                <w:rFonts w:ascii="Times New Roman" w:hAnsi="Times New Roman"/>
                <w:noProof/>
              </w:rPr>
              <w:footnoteReference w:id="21"/>
            </w:r>
            <w:r>
              <w:rPr>
                <w:rFonts w:ascii="Times New Roman" w:hAnsi="Times New Roman"/>
                <w:noProof/>
              </w:rPr>
              <w:t xml:space="preserve"> (üldine raamistik õiguskaitsealase teabe jagamiseks liikmesriikide vahel)</w:t>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Interpol, olemasolevad kahepoolsed kanalid</w:t>
            </w:r>
          </w:p>
          <w:p>
            <w:pPr>
              <w:spacing w:line="300" w:lineRule="auto"/>
              <w:rPr>
                <w:rFonts w:ascii="Times New Roman" w:hAnsi="Times New Roman" w:cs="Times New Roman"/>
                <w:noProof/>
                <w:szCs w:val="22"/>
              </w:rPr>
            </w:pPr>
            <w:r>
              <w:rPr>
                <w:rFonts w:ascii="Times New Roman" w:hAnsi="Times New Roman"/>
                <w:noProof/>
              </w:rPr>
              <w:t>Kriminaalasjades vastastikuse abistamise Euroopa konventsiooni teine lisaprotokoll 2001. aastast (ETS 182)</w:t>
            </w:r>
          </w:p>
          <w:p>
            <w:pPr>
              <w:spacing w:line="300" w:lineRule="auto"/>
              <w:rPr>
                <w:rFonts w:ascii="Times New Roman" w:hAnsi="Times New Roman" w:cs="Times New Roman"/>
                <w:noProof/>
                <w:szCs w:val="22"/>
              </w:rPr>
            </w:pPr>
            <w:r>
              <w:rPr>
                <w:rFonts w:ascii="Times New Roman" w:hAnsi="Times New Roman"/>
                <w:noProof/>
              </w:rPr>
              <w:t>ÜRO Palermo konventsioon (rahvusvaheline organiseeritud kuritegevus) tagab ühtlustamise miinimumtaseme</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FIU.Net (rahapesu andmebürood)</w:t>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 xml:space="preserve">(Rahvusvaheline) rahapesuvastane töökond, Euroopa Nõukogu Varssavi konventsioon, EGMONT secure web </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Kriminaaltulu jälitamise talitused</w:t>
            </w:r>
            <w:r>
              <w:rPr>
                <w:rStyle w:val="FootnoteReference"/>
                <w:rFonts w:ascii="Times New Roman" w:hAnsi="Times New Roman"/>
                <w:noProof/>
              </w:rPr>
              <w:footnoteReference w:id="22"/>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Kriminaaltulu jälitamisega tegelevate asutuste vaheline Camdeni võrgustik (CARIN), kahepoolsed kanalid</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Võltsitud ja ehtsad dokumendid veebis (FADO)</w:t>
            </w:r>
            <w:r>
              <w:rPr>
                <w:rStyle w:val="FootnoteReference"/>
                <w:rFonts w:ascii="Times New Roman" w:hAnsi="Times New Roman"/>
                <w:noProof/>
              </w:rPr>
              <w:footnoteReference w:id="23"/>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 xml:space="preserve">Varastatud ja kaotatud reisidokumentide andmebaas – Interpol </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Jalgpallivõistlustega seonduvaid korrarikkumisi käsitlev koostöö</w:t>
            </w:r>
            <w:r>
              <w:rPr>
                <w:rStyle w:val="FootnoteReference"/>
                <w:rFonts w:ascii="Times New Roman" w:hAnsi="Times New Roman"/>
                <w:noProof/>
              </w:rPr>
              <w:footnoteReference w:id="24"/>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Integreeritud lähenemisviisi jalgpallivõistluste ja teiste spordisündmustega seotud ohutusele, julgeolekule ning teenustele käsitlev Euroopa Nõukogu konventsioon 2016. aastast</w:t>
            </w:r>
            <w:r>
              <w:rPr>
                <w:noProof/>
              </w:rPr>
              <w:t xml:space="preserve"> </w:t>
            </w:r>
            <w:r>
              <w:rPr>
                <w:rFonts w:ascii="Times New Roman" w:hAnsi="Times New Roman"/>
                <w:noProof/>
              </w:rPr>
              <w:t xml:space="preserve">(CETS 218) </w:t>
            </w:r>
            <w:r>
              <w:rPr>
                <w:rFonts w:ascii="Times New Roman" w:hAnsi="Times New Roman"/>
                <w:noProof/>
                <w:vertAlign w:val="superscript"/>
              </w:rPr>
              <w:footnoteReference w:id="25"/>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bCs/>
                <w:noProof/>
                <w:szCs w:val="22"/>
              </w:rPr>
            </w:pPr>
            <w:r>
              <w:rPr>
                <w:rFonts w:ascii="Times New Roman" w:hAnsi="Times New Roman"/>
                <w:noProof/>
              </w:rPr>
              <w:t>Ühised uurimisrühmad</w:t>
            </w:r>
            <w:r>
              <w:rPr>
                <w:rStyle w:val="FootnoteReference"/>
                <w:rFonts w:ascii="Times New Roman" w:hAnsi="Times New Roman"/>
                <w:noProof/>
              </w:rPr>
              <w:footnoteReference w:id="26"/>
            </w:r>
            <w:r>
              <w:rPr>
                <w:rFonts w:ascii="Times New Roman" w:hAnsi="Times New Roman"/>
                <w:noProof/>
              </w:rPr>
              <w:t xml:space="preserve"> – Euroopa Liidu liikmesriikide vaheline vastastikune õigusabi kriminaalasjades</w:t>
            </w:r>
            <w:r>
              <w:rPr>
                <w:rStyle w:val="FootnoteReference"/>
                <w:rFonts w:ascii="Times New Roman" w:hAnsi="Times New Roman"/>
                <w:noProof/>
              </w:rPr>
              <w:footnoteReference w:id="27"/>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Kriminaalasjades vastastikuse abistamise Euroopa konventsiooni teine lisaprotokoll 2001. aastast (ETS 182)</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Organiseeritud kuritegevust käsitlev ühismeede</w:t>
            </w:r>
            <w:r>
              <w:rPr>
                <w:rStyle w:val="FootnoteReference"/>
                <w:rFonts w:ascii="Times New Roman" w:hAnsi="Times New Roman"/>
                <w:noProof/>
              </w:rPr>
              <w:footnoteReference w:id="28"/>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 xml:space="preserve">Rahvusvahelise organiseeritud kuritegevuse vastu võitlemise Ühinenud Rahvaste Organisatsiooni konventsioon </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bCs/>
                <w:noProof/>
                <w:szCs w:val="22"/>
              </w:rPr>
            </w:pPr>
            <w:r>
              <w:rPr>
                <w:rFonts w:ascii="Times New Roman" w:hAnsi="Times New Roman"/>
                <w:noProof/>
              </w:rPr>
              <w:t>EURODAC</w:t>
            </w:r>
            <w:r>
              <w:rPr>
                <w:rStyle w:val="FootnoteReference"/>
                <w:rFonts w:ascii="Times New Roman" w:hAnsi="Times New Roman"/>
                <w:noProof/>
              </w:rPr>
              <w:footnoteReference w:id="29"/>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Ei oma tähtsust; Ühendkuningriik ei osale enam Dublini määruses (EL) nr 604/2013</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Küberkuritegevuse direktiiv</w:t>
            </w:r>
            <w:r>
              <w:rPr>
                <w:rStyle w:val="FootnoteReference"/>
                <w:rFonts w:ascii="Times New Roman" w:hAnsi="Times New Roman"/>
                <w:noProof/>
              </w:rPr>
              <w:footnoteReference w:id="30"/>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Küberkuritegevuse Euroopa Nõukogu konventsioon 2001. aastast (ETS 185)</w:t>
            </w:r>
            <w:r>
              <w:rPr>
                <w:rFonts w:ascii="Times New Roman" w:hAnsi="Times New Roman"/>
                <w:noProof/>
                <w:vertAlign w:val="superscript"/>
              </w:rPr>
              <w:footnoteReference w:id="31"/>
            </w:r>
            <w:r>
              <w:rPr>
                <w:noProof/>
              </w:rPr>
              <w:t xml:space="preserve"> </w:t>
            </w:r>
            <w:r>
              <w:rPr>
                <w:rFonts w:ascii="Times New Roman" w:hAnsi="Times New Roman" w:cs="Times New Roman"/>
                <w:noProof/>
              </w:rPr>
              <w:t xml:space="preserve">koos </w:t>
            </w:r>
            <w:r>
              <w:rPr>
                <w:rFonts w:ascii="Times New Roman" w:hAnsi="Times New Roman"/>
                <w:noProof/>
              </w:rPr>
              <w:t>küberkuritegevuse konventsiooni 2003. aasta lisaprotokolliga, mis käsitleb arvutisüsteemide abil toimepandud rassistliku ja ksenofoobilise iseloomuga tegude eest vastutusele võtmist</w:t>
            </w:r>
            <w:r>
              <w:rPr>
                <w:noProof/>
              </w:rPr>
              <w:t xml:space="preserve"> </w:t>
            </w:r>
            <w:r>
              <w:rPr>
                <w:rFonts w:ascii="Times New Roman" w:hAnsi="Times New Roman"/>
                <w:noProof/>
              </w:rPr>
              <w:t>(ETS 189)</w:t>
            </w:r>
            <w:r>
              <w:rPr>
                <w:rFonts w:ascii="Times New Roman" w:hAnsi="Times New Roman"/>
                <w:noProof/>
                <w:vertAlign w:val="superscript"/>
              </w:rPr>
              <w:footnoteReference w:id="32"/>
            </w:r>
            <w:r>
              <w:rPr>
                <w:rFonts w:ascii="Times New Roman" w:hAnsi="Times New Roman"/>
                <w:noProof/>
              </w:rPr>
              <w:t xml:space="preserve"> </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Laste seksuaalse kuritarvitamise ja ärakasutamise ning lasteporno vastane võitlus</w:t>
            </w:r>
            <w:r>
              <w:rPr>
                <w:rStyle w:val="FootnoteReference"/>
                <w:rFonts w:ascii="Times New Roman" w:hAnsi="Times New Roman"/>
                <w:noProof/>
              </w:rPr>
              <w:footnoteReference w:id="33"/>
            </w:r>
          </w:p>
          <w:p>
            <w:pPr>
              <w:spacing w:line="300" w:lineRule="auto"/>
              <w:rPr>
                <w:rFonts w:ascii="Times New Roman" w:hAnsi="Times New Roman" w:cs="Times New Roman"/>
                <w:noProof/>
                <w:szCs w:val="22"/>
              </w:rPr>
            </w:pPr>
            <w:r>
              <w:rPr>
                <w:rFonts w:ascii="Times New Roman" w:hAnsi="Times New Roman"/>
                <w:noProof/>
              </w:rPr>
              <w:t>Lapsporno vastane võitlus internetis</w:t>
            </w:r>
            <w:r>
              <w:rPr>
                <w:rStyle w:val="FootnoteReference"/>
                <w:rFonts w:ascii="Times New Roman" w:hAnsi="Times New Roman"/>
                <w:noProof/>
              </w:rPr>
              <w:footnoteReference w:id="34"/>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Euroopa Nõukogu 2007. aasta konventsioon laste kaitse kohta seksuaalse ärakasutamise ja kuritarvitamise eest</w:t>
            </w:r>
            <w:r>
              <w:rPr>
                <w:noProof/>
              </w:rPr>
              <w:t xml:space="preserve"> </w:t>
            </w:r>
            <w:r>
              <w:rPr>
                <w:rFonts w:ascii="Times New Roman" w:hAnsi="Times New Roman"/>
                <w:noProof/>
              </w:rPr>
              <w:t>(CETS 201)</w:t>
            </w:r>
            <w:r>
              <w:rPr>
                <w:rFonts w:ascii="Times New Roman" w:hAnsi="Times New Roman"/>
                <w:noProof/>
                <w:vertAlign w:val="superscript"/>
              </w:rPr>
              <w:footnoteReference w:id="35"/>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Inimkaubanduse tõkestamine ja selle vastane võitlus</w:t>
            </w:r>
            <w:r>
              <w:rPr>
                <w:rStyle w:val="FootnoteReference"/>
                <w:rFonts w:ascii="Times New Roman" w:hAnsi="Times New Roman"/>
                <w:noProof/>
              </w:rPr>
              <w:footnoteReference w:id="36"/>
            </w:r>
          </w:p>
        </w:tc>
        <w:tc>
          <w:tcPr>
            <w:tcW w:w="4372" w:type="dxa"/>
            <w:tcBorders>
              <w:top w:val="single" w:sz="4" w:space="0" w:color="auto"/>
              <w:left w:val="single" w:sz="4" w:space="0" w:color="auto"/>
              <w:bottom w:val="single" w:sz="4" w:space="0" w:color="auto"/>
              <w:right w:val="single" w:sz="4" w:space="0" w:color="auto"/>
            </w:tcBorders>
            <w:hideMark/>
          </w:tcPr>
          <w:p>
            <w:pPr>
              <w:spacing w:line="300" w:lineRule="auto"/>
              <w:rPr>
                <w:rFonts w:ascii="Times New Roman" w:hAnsi="Times New Roman" w:cs="Times New Roman"/>
                <w:noProof/>
                <w:szCs w:val="22"/>
              </w:rPr>
            </w:pPr>
            <w:r>
              <w:rPr>
                <w:rFonts w:ascii="Times New Roman" w:hAnsi="Times New Roman"/>
                <w:noProof/>
              </w:rPr>
              <w:t>Rahvusvahelise organiseeritud kuritegevuse vastu võitlemise Ühinenud Rahvaste Organisatsiooni konventsioon ja seda täiendav naiste ja lastega kaubitsemise ning muu inimkaubanduse ärahoidmise ja selle kuriteo eest karistamise protokoll; Euroopa Nõukogu inimkaubanduse vastu võitlemise konventsioon 2005. aastast (CETS 197)</w:t>
            </w:r>
            <w:r>
              <w:rPr>
                <w:rFonts w:ascii="Times New Roman" w:hAnsi="Times New Roman"/>
                <w:noProof/>
                <w:vertAlign w:val="superscript"/>
              </w:rPr>
              <w:footnoteReference w:id="37"/>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bCs/>
                <w:noProof/>
                <w:szCs w:val="22"/>
              </w:rPr>
            </w:pPr>
            <w:r>
              <w:rPr>
                <w:rFonts w:ascii="Times New Roman" w:hAnsi="Times New Roman"/>
                <w:noProof/>
              </w:rPr>
              <w:t>Euroopa vahistamismäärus</w:t>
            </w:r>
            <w:r>
              <w:rPr>
                <w:rStyle w:val="FootnoteReference"/>
                <w:rFonts w:ascii="Times New Roman" w:hAnsi="Times New Roman"/>
                <w:noProof/>
              </w:rPr>
              <w:footnoteReference w:id="38"/>
            </w:r>
          </w:p>
        </w:tc>
        <w:tc>
          <w:tcPr>
            <w:tcW w:w="4372" w:type="dxa"/>
            <w:tcBorders>
              <w:top w:val="single" w:sz="4" w:space="0" w:color="auto"/>
              <w:left w:val="single" w:sz="4" w:space="0" w:color="auto"/>
              <w:bottom w:val="single" w:sz="4" w:space="0" w:color="auto"/>
              <w:right w:val="single" w:sz="4" w:space="0" w:color="auto"/>
            </w:tcBorders>
          </w:tcPr>
          <w:p>
            <w:pPr>
              <w:pStyle w:val="BodyText"/>
              <w:ind w:left="0" w:right="150"/>
              <w:jc w:val="both"/>
              <w:rPr>
                <w:rFonts w:ascii="Times New Roman" w:hAnsi="Times New Roman" w:cs="Times New Roman"/>
                <w:noProof/>
              </w:rPr>
            </w:pPr>
            <w:r>
              <w:rPr>
                <w:rFonts w:ascii="Times New Roman" w:eastAsiaTheme="minorEastAsia" w:hAnsi="Times New Roman"/>
                <w:noProof/>
              </w:rPr>
              <w:t>Väljaandmise Euroopa konventsioon 1957. aastast (ETS 24)</w:t>
            </w:r>
            <w:r>
              <w:rPr>
                <w:rStyle w:val="FootnoteReference"/>
                <w:rFonts w:ascii="Times New Roman" w:hAnsi="Times New Roman"/>
                <w:noProof/>
              </w:rPr>
              <w:footnoteReference w:id="39"/>
            </w:r>
            <w:r>
              <w:rPr>
                <w:rFonts w:ascii="Times New Roman" w:eastAsiaTheme="minorEastAsia" w:hAnsi="Times New Roman"/>
                <w:noProof/>
              </w:rPr>
              <w:t xml:space="preserve"> </w:t>
            </w:r>
          </w:p>
          <w:p>
            <w:pPr>
              <w:pStyle w:val="BodyText"/>
              <w:ind w:left="0" w:right="150"/>
              <w:jc w:val="both"/>
              <w:rPr>
                <w:rFonts w:ascii="Times New Roman" w:hAnsi="Times New Roman" w:cs="Times New Roman"/>
                <w:noProof/>
              </w:rPr>
            </w:pPr>
          </w:p>
          <w:p>
            <w:pPr>
              <w:keepNext/>
              <w:rPr>
                <w:rFonts w:ascii="Times New Roman" w:hAnsi="Times New Roman" w:cs="Times New Roman"/>
                <w:bCs/>
                <w:noProof/>
                <w:szCs w:val="22"/>
              </w:rPr>
            </w:pPr>
            <w:r>
              <w:rPr>
                <w:rFonts w:ascii="Times New Roman" w:hAnsi="Times New Roman"/>
                <w:noProof/>
              </w:rPr>
              <w:t>Esimene lisaprotokoll 1975. aastast (ETS 86)</w:t>
            </w:r>
            <w:r>
              <w:rPr>
                <w:rStyle w:val="FootnoteReference"/>
                <w:rFonts w:ascii="Times New Roman" w:hAnsi="Times New Roman"/>
                <w:noProof/>
              </w:rPr>
              <w:footnoteReference w:id="40"/>
            </w:r>
          </w:p>
          <w:p>
            <w:pPr>
              <w:rPr>
                <w:rFonts w:ascii="Times New Roman" w:hAnsi="Times New Roman" w:cs="Times New Roman"/>
                <w:noProof/>
                <w:szCs w:val="22"/>
              </w:rPr>
            </w:pPr>
            <w:r>
              <w:rPr>
                <w:rFonts w:ascii="Times New Roman" w:hAnsi="Times New Roman"/>
                <w:noProof/>
              </w:rPr>
              <w:t>Väljaandmise Euroopa konventsiooni teine lisaprotokoll 1983. aastast (ETS 98)</w:t>
            </w:r>
            <w:r>
              <w:rPr>
                <w:rStyle w:val="FootnoteReference"/>
                <w:rFonts w:ascii="Times New Roman" w:hAnsi="Times New Roman"/>
                <w:noProof/>
              </w:rPr>
              <w:footnoteReference w:id="41"/>
            </w:r>
          </w:p>
          <w:p>
            <w:pPr>
              <w:keepNext/>
              <w:rPr>
                <w:rFonts w:ascii="Times New Roman" w:hAnsi="Times New Roman" w:cs="Times New Roman"/>
                <w:bCs/>
                <w:noProof/>
                <w:szCs w:val="22"/>
              </w:rPr>
            </w:pPr>
            <w:r>
              <w:rPr>
                <w:rFonts w:ascii="Times New Roman" w:hAnsi="Times New Roman"/>
                <w:noProof/>
              </w:rPr>
              <w:t>Väljaandmise Euroopa konventsiooni kolmas lisaprotokoll 2010. aastast (CETS 209)</w:t>
            </w:r>
            <w:r>
              <w:rPr>
                <w:rStyle w:val="FootnoteReference"/>
                <w:rFonts w:ascii="Times New Roman" w:hAnsi="Times New Roman"/>
                <w:noProof/>
              </w:rPr>
              <w:footnoteReference w:id="42"/>
            </w:r>
          </w:p>
          <w:p>
            <w:pPr>
              <w:rPr>
                <w:rFonts w:ascii="Times New Roman" w:hAnsi="Times New Roman" w:cs="Times New Roman"/>
                <w:noProof/>
                <w:szCs w:val="22"/>
              </w:rPr>
            </w:pPr>
            <w:r>
              <w:rPr>
                <w:rFonts w:ascii="Times New Roman" w:hAnsi="Times New Roman"/>
                <w:noProof/>
              </w:rPr>
              <w:t>Väljaandmise Euroopa konventsiooni neljas lisaprotokoll 2012. aastast (CETS 212)</w:t>
            </w:r>
            <w:r>
              <w:rPr>
                <w:rStyle w:val="FootnoteReference"/>
                <w:rFonts w:ascii="Times New Roman" w:hAnsi="Times New Roman"/>
                <w:noProof/>
              </w:rPr>
              <w:footnoteReference w:id="43"/>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Euroopa uurimismäärus</w:t>
            </w:r>
            <w:r>
              <w:rPr>
                <w:rStyle w:val="FootnoteReference"/>
                <w:rFonts w:ascii="Times New Roman" w:hAnsi="Times New Roman"/>
                <w:noProof/>
              </w:rPr>
              <w:footnoteReference w:id="44"/>
            </w:r>
          </w:p>
        </w:tc>
        <w:tc>
          <w:tcPr>
            <w:tcW w:w="4372" w:type="dxa"/>
            <w:tcBorders>
              <w:top w:val="single" w:sz="4" w:space="0" w:color="auto"/>
              <w:left w:val="single" w:sz="4" w:space="0" w:color="auto"/>
              <w:bottom w:val="single" w:sz="4" w:space="0" w:color="auto"/>
              <w:right w:val="single" w:sz="4" w:space="0" w:color="auto"/>
            </w:tcBorders>
            <w:hideMark/>
          </w:tcPr>
          <w:p>
            <w:pPr>
              <w:keepNext/>
              <w:rPr>
                <w:rFonts w:ascii="Times New Roman" w:hAnsi="Times New Roman" w:cs="Times New Roman"/>
                <w:bCs/>
                <w:noProof/>
                <w:szCs w:val="22"/>
              </w:rPr>
            </w:pPr>
            <w:r>
              <w:rPr>
                <w:rFonts w:ascii="Times New Roman" w:hAnsi="Times New Roman"/>
                <w:noProof/>
              </w:rPr>
              <w:t>Kriminaalasjades vastastikuse abistamise Euroopa konventsioon 1959. aastast (ETS 30)</w:t>
            </w:r>
            <w:r>
              <w:rPr>
                <w:rStyle w:val="FootnoteReference"/>
                <w:rFonts w:ascii="Times New Roman" w:hAnsi="Times New Roman"/>
                <w:noProof/>
              </w:rPr>
              <w:footnoteReference w:id="45"/>
            </w:r>
          </w:p>
          <w:p>
            <w:pPr>
              <w:keepNext/>
              <w:rPr>
                <w:rFonts w:ascii="Times New Roman" w:hAnsi="Times New Roman" w:cs="Times New Roman"/>
                <w:bCs/>
                <w:noProof/>
                <w:szCs w:val="22"/>
              </w:rPr>
            </w:pPr>
            <w:r>
              <w:rPr>
                <w:rFonts w:ascii="Times New Roman" w:hAnsi="Times New Roman"/>
                <w:noProof/>
              </w:rPr>
              <w:t>Kriminaalasjades vastastikuse abistamise Euroopa konventsiooni lisaprotokoll 1978. aastast (ETS 99)</w:t>
            </w:r>
            <w:r>
              <w:rPr>
                <w:rStyle w:val="FootnoteReference"/>
                <w:rFonts w:ascii="Times New Roman" w:hAnsi="Times New Roman"/>
                <w:noProof/>
              </w:rPr>
              <w:footnoteReference w:id="46"/>
            </w:r>
          </w:p>
          <w:p>
            <w:pPr>
              <w:rPr>
                <w:rFonts w:ascii="Times New Roman" w:hAnsi="Times New Roman" w:cs="Times New Roman"/>
                <w:bCs/>
                <w:noProof/>
                <w:szCs w:val="22"/>
              </w:rPr>
            </w:pPr>
            <w:r>
              <w:rPr>
                <w:rFonts w:ascii="Times New Roman" w:hAnsi="Times New Roman"/>
                <w:noProof/>
              </w:rPr>
              <w:t>Kriminaalasjades vastastikuse abistamise Euroopa konventsiooni teine lisaprotokoll 2001. aastast (ETS 182)</w:t>
            </w:r>
            <w:r>
              <w:rPr>
                <w:rStyle w:val="FootnoteReference"/>
                <w:rFonts w:ascii="Times New Roman" w:hAnsi="Times New Roman"/>
                <w:noProof/>
              </w:rPr>
              <w:footnoteReference w:id="47"/>
            </w:r>
            <w:r>
              <w:rPr>
                <w:rFonts w:ascii="Times New Roman" w:hAnsi="Times New Roman"/>
                <w:noProof/>
              </w:rPr>
              <w:t xml:space="preserve"> </w:t>
            </w:r>
          </w:p>
          <w:p>
            <w:pPr>
              <w:pStyle w:val="BodyText"/>
              <w:ind w:left="0" w:right="150"/>
              <w:jc w:val="both"/>
              <w:rPr>
                <w:rFonts w:ascii="Times New Roman" w:eastAsiaTheme="minorEastAsia" w:hAnsi="Times New Roman" w:cs="Times New Roman"/>
                <w:noProof/>
              </w:rPr>
            </w:pPr>
            <w:r>
              <w:rPr>
                <w:rFonts w:ascii="Times New Roman" w:hAnsi="Times New Roman"/>
                <w:noProof/>
              </w:rPr>
              <w:t>Küberkuritegevuse Euroopa konventsioon 2001. aastast (ETS 185)</w:t>
            </w:r>
            <w:r>
              <w:rPr>
                <w:rStyle w:val="FootnoteReference"/>
                <w:rFonts w:ascii="Times New Roman" w:hAnsi="Times New Roman"/>
                <w:b/>
                <w:noProof/>
              </w:rPr>
              <w:footnoteReference w:id="48"/>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Euroopa arestimis- ja konfiskeerimisotsused</w:t>
            </w:r>
            <w:r>
              <w:rPr>
                <w:rStyle w:val="FootnoteReference"/>
                <w:rFonts w:ascii="Times New Roman" w:hAnsi="Times New Roman"/>
                <w:noProof/>
              </w:rPr>
              <w:footnoteReference w:id="49"/>
            </w:r>
          </w:p>
        </w:tc>
        <w:tc>
          <w:tcPr>
            <w:tcW w:w="4372" w:type="dxa"/>
            <w:tcBorders>
              <w:top w:val="single" w:sz="4" w:space="0" w:color="auto"/>
              <w:left w:val="single" w:sz="4" w:space="0" w:color="auto"/>
              <w:bottom w:val="single" w:sz="4" w:space="0" w:color="auto"/>
              <w:right w:val="single" w:sz="4" w:space="0" w:color="auto"/>
            </w:tcBorders>
            <w:hideMark/>
          </w:tcPr>
          <w:p>
            <w:pPr>
              <w:keepNext/>
              <w:rPr>
                <w:rFonts w:ascii="Times New Roman" w:hAnsi="Times New Roman" w:cs="Times New Roman"/>
                <w:bCs/>
                <w:noProof/>
                <w:szCs w:val="22"/>
              </w:rPr>
            </w:pPr>
            <w:r>
              <w:rPr>
                <w:rFonts w:ascii="Times New Roman" w:hAnsi="Times New Roman"/>
                <w:noProof/>
              </w:rPr>
              <w:t>Euroopa Nõukogu 1990. aasta konventsioon rahapesu ning kriminaaltulu avastamise, arestimise ja konfiskeerimise ning terrorismi rahastamise kohta (ETS 141)</w:t>
            </w:r>
            <w:r>
              <w:rPr>
                <w:rStyle w:val="FootnoteReference"/>
                <w:rFonts w:ascii="Times New Roman" w:hAnsi="Times New Roman"/>
                <w:noProof/>
              </w:rPr>
              <w:footnoteReference w:id="50"/>
            </w:r>
            <w:r>
              <w:rPr>
                <w:rFonts w:ascii="Times New Roman" w:hAnsi="Times New Roman"/>
                <w:noProof/>
              </w:rPr>
              <w:t xml:space="preserve"> </w:t>
            </w:r>
          </w:p>
          <w:p>
            <w:pPr>
              <w:rPr>
                <w:rFonts w:ascii="Times New Roman" w:hAnsi="Times New Roman" w:cs="Times New Roman"/>
                <w:noProof/>
                <w:szCs w:val="22"/>
              </w:rPr>
            </w:pPr>
            <w:r>
              <w:rPr>
                <w:rFonts w:ascii="Times New Roman" w:hAnsi="Times New Roman"/>
                <w:noProof/>
              </w:rPr>
              <w:t>Euroopa Nõukogu 2005. aasta konventsioon rahapesu ning kriminaaltulu avastamise, arestimise ja konfiskeerimise ning terrorismi rahastamise kohta (CETS 198)</w:t>
            </w:r>
            <w:r>
              <w:rPr>
                <w:rStyle w:val="FootnoteReference"/>
                <w:rFonts w:ascii="Times New Roman" w:hAnsi="Times New Roman"/>
                <w:noProof/>
              </w:rPr>
              <w:footnoteReference w:id="51"/>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Kinnipeetavate üleandmine</w:t>
            </w:r>
            <w:r>
              <w:rPr>
                <w:rStyle w:val="FootnoteReference"/>
                <w:rFonts w:ascii="Times New Roman" w:hAnsi="Times New Roman"/>
                <w:noProof/>
              </w:rPr>
              <w:footnoteReference w:id="52"/>
            </w:r>
          </w:p>
        </w:tc>
        <w:tc>
          <w:tcPr>
            <w:tcW w:w="4372" w:type="dxa"/>
            <w:tcBorders>
              <w:top w:val="single" w:sz="4" w:space="0" w:color="auto"/>
              <w:left w:val="single" w:sz="4" w:space="0" w:color="auto"/>
              <w:bottom w:val="single" w:sz="4" w:space="0" w:color="auto"/>
              <w:right w:val="single" w:sz="4" w:space="0" w:color="auto"/>
            </w:tcBorders>
            <w:hideMark/>
          </w:tcPr>
          <w:p>
            <w:pPr>
              <w:pStyle w:val="BodyText"/>
              <w:spacing w:after="240"/>
              <w:ind w:left="0" w:right="147"/>
              <w:jc w:val="both"/>
              <w:rPr>
                <w:rFonts w:ascii="Times New Roman" w:hAnsi="Times New Roman" w:cs="Times New Roman"/>
                <w:noProof/>
              </w:rPr>
            </w:pPr>
            <w:r>
              <w:rPr>
                <w:rFonts w:ascii="Times New Roman" w:eastAsiaTheme="minorHAnsi" w:hAnsi="Times New Roman"/>
                <w:noProof/>
              </w:rPr>
              <w:t>Kohtulikult karistatud isikute üleandmise Euroopa Nõukogu konventsioon 1983. aastast (ETS 112)</w:t>
            </w:r>
            <w:r>
              <w:rPr>
                <w:rStyle w:val="FootnoteReference"/>
                <w:rFonts w:ascii="Times New Roman" w:hAnsi="Times New Roman"/>
                <w:noProof/>
              </w:rPr>
              <w:footnoteReference w:id="53"/>
            </w:r>
          </w:p>
          <w:p>
            <w:pPr>
              <w:pStyle w:val="BodyText"/>
              <w:spacing w:after="240"/>
              <w:ind w:left="0" w:right="147"/>
              <w:jc w:val="both"/>
              <w:rPr>
                <w:rFonts w:ascii="Times New Roman" w:hAnsi="Times New Roman" w:cs="Times New Roman"/>
                <w:noProof/>
              </w:rPr>
            </w:pPr>
            <w:r>
              <w:rPr>
                <w:rFonts w:ascii="Times New Roman" w:eastAsiaTheme="minorHAnsi" w:hAnsi="Times New Roman"/>
                <w:noProof/>
              </w:rPr>
              <w:t>Kohtulikult karistatud isikute üleandmise konventsiooni lisaprotokoll 1997. aastast (CETS 167)</w:t>
            </w:r>
            <w:r>
              <w:rPr>
                <w:rStyle w:val="FootnoteReference"/>
                <w:rFonts w:ascii="Times New Roman" w:hAnsi="Times New Roman"/>
                <w:noProof/>
              </w:rPr>
              <w:footnoteReference w:id="54"/>
            </w:r>
          </w:p>
          <w:p>
            <w:pPr>
              <w:pStyle w:val="BodyText"/>
              <w:spacing w:after="240"/>
              <w:ind w:left="0" w:right="147"/>
              <w:jc w:val="both"/>
              <w:rPr>
                <w:rFonts w:ascii="Times New Roman" w:hAnsi="Times New Roman" w:cs="Times New Roman"/>
                <w:noProof/>
              </w:rPr>
            </w:pPr>
            <w:r>
              <w:rPr>
                <w:rFonts w:ascii="Times New Roman" w:hAnsi="Times New Roman"/>
                <w:noProof/>
              </w:rPr>
              <w:t>Kohtulikult karistatud isikute üleandmise konventsiooni lisaprotokolli muutev protokoll 2017. aastast (CETS 222)</w:t>
            </w:r>
            <w:r>
              <w:rPr>
                <w:rStyle w:val="FootnoteReference"/>
                <w:rFonts w:ascii="Times New Roman" w:hAnsi="Times New Roman"/>
                <w:noProof/>
              </w:rPr>
              <w:footnoteReference w:id="55"/>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Euroopa karistusregistrite infosüsteem (ECRIS)</w:t>
            </w:r>
            <w:r>
              <w:rPr>
                <w:rStyle w:val="FootnoteReference"/>
                <w:rFonts w:ascii="Times New Roman" w:hAnsi="Times New Roman"/>
                <w:noProof/>
              </w:rPr>
              <w:footnoteReference w:id="56"/>
            </w:r>
          </w:p>
        </w:tc>
        <w:tc>
          <w:tcPr>
            <w:tcW w:w="4372" w:type="dxa"/>
            <w:tcBorders>
              <w:top w:val="single" w:sz="4" w:space="0" w:color="auto"/>
              <w:left w:val="single" w:sz="4" w:space="0" w:color="auto"/>
              <w:bottom w:val="single" w:sz="4" w:space="0" w:color="auto"/>
              <w:right w:val="single" w:sz="4" w:space="0" w:color="auto"/>
            </w:tcBorders>
            <w:hideMark/>
          </w:tcPr>
          <w:p>
            <w:pPr>
              <w:pStyle w:val="BodyText"/>
              <w:ind w:left="0" w:right="150"/>
              <w:jc w:val="both"/>
              <w:rPr>
                <w:rFonts w:ascii="Times New Roman" w:eastAsiaTheme="minorEastAsia" w:hAnsi="Times New Roman" w:cs="Times New Roman"/>
                <w:noProof/>
              </w:rPr>
            </w:pPr>
            <w:r>
              <w:rPr>
                <w:rFonts w:ascii="Times New Roman" w:hAnsi="Times New Roman"/>
                <w:noProof/>
                <w:spacing w:val="-2"/>
              </w:rPr>
              <w:t>1959. aasta kriminaalasjades vastastikuse abistamise Euroopa konventsiooni artikkel 13</w:t>
            </w:r>
          </w:p>
        </w:tc>
      </w:tr>
      <w:tr>
        <w:trPr>
          <w:cantSplit/>
          <w:tblHeader/>
        </w:trPr>
        <w:tc>
          <w:tcPr>
            <w:tcW w:w="4348"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Rahaliste karistuste vastastikune tunnustamine</w:t>
            </w:r>
            <w:r>
              <w:rPr>
                <w:rStyle w:val="FootnoteReference"/>
                <w:rFonts w:ascii="Times New Roman" w:hAnsi="Times New Roman"/>
                <w:noProof/>
              </w:rPr>
              <w:footnoteReference w:id="57"/>
            </w:r>
          </w:p>
        </w:tc>
        <w:tc>
          <w:tcPr>
            <w:tcW w:w="4372" w:type="dxa"/>
            <w:tcBorders>
              <w:top w:val="single" w:sz="4" w:space="0" w:color="auto"/>
              <w:left w:val="single" w:sz="4" w:space="0" w:color="auto"/>
              <w:bottom w:val="single" w:sz="4" w:space="0" w:color="auto"/>
              <w:right w:val="single" w:sz="4" w:space="0" w:color="auto"/>
            </w:tcBorders>
            <w:hideMark/>
          </w:tcPr>
          <w:p>
            <w:pPr>
              <w:rPr>
                <w:rFonts w:ascii="Times New Roman" w:hAnsi="Times New Roman" w:cs="Times New Roman"/>
                <w:noProof/>
                <w:szCs w:val="22"/>
              </w:rPr>
            </w:pPr>
            <w:r>
              <w:rPr>
                <w:rFonts w:ascii="Times New Roman" w:hAnsi="Times New Roman"/>
                <w:noProof/>
              </w:rPr>
              <w:t>Kohtuotsuste rahvusvahelise kehtivuse Euroopa Nõukogu konventsioon 1970. aastast (ETS 70)</w:t>
            </w:r>
            <w:r>
              <w:rPr>
                <w:rStyle w:val="FootnoteReference"/>
                <w:rFonts w:ascii="Times New Roman" w:hAnsi="Times New Roman"/>
                <w:noProof/>
              </w:rPr>
              <w:footnoteReference w:id="58"/>
            </w:r>
            <w:r>
              <w:rPr>
                <w:rFonts w:ascii="Times New Roman" w:hAnsi="Times New Roman"/>
                <w:noProof/>
              </w:rPr>
              <w:t xml:space="preserve"> </w:t>
            </w:r>
          </w:p>
        </w:tc>
      </w:tr>
    </w:tbl>
    <w:p>
      <w:pPr>
        <w:spacing w:after="120"/>
        <w:rPr>
          <w:noProof/>
          <w:sz w:val="22"/>
          <w:szCs w:val="22"/>
        </w:rPr>
      </w:pPr>
    </w:p>
    <w:p>
      <w:pPr>
        <w:pStyle w:val="Text1"/>
        <w:ind w:left="0"/>
        <w:rPr>
          <w:noProof/>
        </w:rPr>
      </w:pPr>
    </w:p>
    <w:sectPr>
      <w:headerReference w:type="even" r:id="rId24"/>
      <w:headerReference w:type="default" r:id="rId25"/>
      <w:footerReference w:type="even" r:id="rId26"/>
      <w:footerReference w:type="default" r:id="rId27"/>
      <w:headerReference w:type="first" r:id="rId28"/>
      <w:footerReference w:type="first" r:id="rId29"/>
      <w:pgSz w:w="11906" w:h="16838" w:code="9"/>
      <w:pgMar w:top="1021" w:right="1701" w:bottom="851" w:left="1588" w:header="60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vertAlign w:val="superscript"/>
        </w:rPr>
        <w:footnoteRef/>
      </w:r>
      <w:r>
        <w:t xml:space="preserve"> </w:t>
      </w:r>
      <w:r>
        <w:tab/>
        <w:t>Euroopa Ülemkogu 22. märtsi 2019. aasta otsus 2019/476, tehtud kokkuleppel Ühendkuningriigiga, millega pikendatakse ELi lepingu artikli 50 lõike 3 kohast tähtaega (ELT L 80I, 22.3.2019, lk 1).</w:t>
      </w:r>
    </w:p>
  </w:footnote>
  <w:footnote w:id="3">
    <w:p>
      <w:pPr>
        <w:pStyle w:val="FootnoteText"/>
      </w:pPr>
      <w:r>
        <w:rPr>
          <w:rStyle w:val="FootnoteReference"/>
        </w:rPr>
        <w:footnoteRef/>
      </w:r>
      <w:r>
        <w:t xml:space="preserve"> </w:t>
      </w:r>
      <w:r>
        <w:tab/>
        <w:t>Näiteks Schengeni infosüsteem (SIS-II), Europoli infosüsteem (EIS), EURODAC, ECRIS.</w:t>
      </w:r>
    </w:p>
  </w:footnote>
  <w:footnote w:id="4">
    <w:p>
      <w:pPr>
        <w:pStyle w:val="FootnoteText"/>
      </w:pPr>
      <w:r>
        <w:rPr>
          <w:rStyle w:val="FootnoteReference"/>
        </w:rPr>
        <w:footnoteRef/>
      </w:r>
      <w:r>
        <w:t xml:space="preserve"> </w:t>
      </w:r>
      <w:r>
        <w:tab/>
        <w:t>Näiteks Euroopa vahistamismäärus.</w:t>
      </w:r>
    </w:p>
  </w:footnote>
  <w:footnote w:id="5">
    <w:p>
      <w:pPr>
        <w:pStyle w:val="FootnoteText"/>
        <w:rPr>
          <w:lang w:val="pt-PT"/>
        </w:rPr>
      </w:pPr>
      <w:r>
        <w:rPr>
          <w:rStyle w:val="FootnoteReference"/>
        </w:rPr>
        <w:footnoteRef/>
      </w:r>
      <w:r>
        <w:t xml:space="preserve"> </w:t>
      </w:r>
      <w:r>
        <w:tab/>
        <w:t>Näiteks Europol, Eurojust ja eu-LISA.</w:t>
      </w:r>
    </w:p>
  </w:footnote>
  <w:footnote w:id="6">
    <w:p>
      <w:pPr>
        <w:pStyle w:val="FootnoteText"/>
      </w:pPr>
      <w:r>
        <w:rPr>
          <w:rStyle w:val="FootnoteReference"/>
        </w:rPr>
        <w:footnoteRef/>
      </w:r>
      <w:r>
        <w:t xml:space="preserve"> </w:t>
      </w:r>
      <w:r>
        <w:tab/>
        <w:t>Ülevaate alternatiivsetest mehhanismidest leiab I lisast.</w:t>
      </w:r>
    </w:p>
  </w:footnote>
  <w:footnote w:id="7">
    <w:p>
      <w:pPr>
        <w:pStyle w:val="FootnoteText"/>
      </w:pPr>
      <w:r>
        <w:rPr>
          <w:rStyle w:val="FootnoteReference"/>
        </w:rPr>
        <w:footnoteRef/>
      </w:r>
      <w:r>
        <w:t xml:space="preserve"> </w:t>
      </w:r>
      <w:r>
        <w:tab/>
        <w:t xml:space="preserve">Schengeni lepinguga ühinenud riigid, st Island, Liechtenstein, Norra ja Šveits, on samuti seotud politsei- ja õiguskoostöö õigustiku teatavate vahenditega, kuivõrd need on Schengeni </w:t>
      </w:r>
      <w:r>
        <w:rPr>
          <w:i/>
        </w:rPr>
        <w:t>acquis</w:t>
      </w:r>
      <w:r>
        <w:t>’ osa. Seetõttu tuleb käesolevas dokumendis mõiste „EL 27 liikmesriigid“ all mõista ka Schengeni lepinguga ühinenud riike vahendite osas, mis on nende jaoks siduvad.</w:t>
      </w:r>
    </w:p>
  </w:footnote>
  <w:footnote w:id="8">
    <w:p>
      <w:pPr>
        <w:pStyle w:val="FootnoteText"/>
      </w:pPr>
      <w:r>
        <w:rPr>
          <w:rStyle w:val="FootnoteReference"/>
          <w:rFonts w:eastAsiaTheme="minorHAnsi"/>
        </w:rPr>
        <w:footnoteRef/>
      </w:r>
      <w:r>
        <w:t xml:space="preserve"> </w:t>
      </w:r>
      <w:r>
        <w:tab/>
        <w:t>Euroopa Parlamendi ja nõukogu 27. aprilli 2016. aasta määrus (EL) 2016/679 üksikisikute kaitse kohta isikuandmete töötlemisel ja selliste andmete vaba liikumise kohta ning millega tunnistatakse kehtetuks direktiiv 95/46/EÜ (isikuandmete kaitse üldmäärus) (EMPs kohaldatav tekst) (ELT L 119, 4.5.2016, lk 1).</w:t>
      </w:r>
    </w:p>
  </w:footnote>
  <w:footnote w:id="9">
    <w:p>
      <w:pPr>
        <w:pStyle w:val="FootnoteText"/>
      </w:pPr>
      <w:r>
        <w:rPr>
          <w:rStyle w:val="FootnoteReference"/>
          <w:rFonts w:eastAsiaTheme="minorHAnsi"/>
        </w:rPr>
        <w:footnoteRef/>
      </w:r>
      <w:r>
        <w:t xml:space="preserve"> </w:t>
      </w:r>
      <w: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w:t>
      </w:r>
    </w:p>
  </w:footnote>
  <w:footnote w:id="10">
    <w:p>
      <w:pPr>
        <w:pStyle w:val="FootnoteText"/>
      </w:pPr>
      <w:r>
        <w:rPr>
          <w:rStyle w:val="FootnoteReference"/>
        </w:rPr>
        <w:footnoteRef/>
      </w:r>
      <w:r>
        <w:t xml:space="preserve"> </w:t>
      </w:r>
      <w:r>
        <w:tab/>
        <w:t>Teadete puhul on tegemist rahvusvaheliste koostöötaotluste või hoiatusteadetega, mis võimaldavad politseil keskselt jagada kuriteoga seotud kriitilise tähtsusega teavet kõigi teiste Interpoli liikmesriikidega. Märgukirjad on vähem ametlikud vahendid, mis võimaldavad Interpoli liikmesriikidel otse taotleda koostööd kõigilt või teatavatelt liikmesriikidelt.</w:t>
      </w:r>
    </w:p>
  </w:footnote>
  <w:footnote w:id="11">
    <w:p>
      <w:pPr>
        <w:pStyle w:val="FootnoteText"/>
      </w:pPr>
      <w:r>
        <w:rPr>
          <w:rStyle w:val="FootnoteReference"/>
        </w:rPr>
        <w:footnoteRef/>
      </w:r>
      <w:r>
        <w:t xml:space="preserve"> </w:t>
      </w:r>
      <w:r>
        <w:tab/>
        <w:t xml:space="preserve">Ühendkuningriigi siseministri Rt Hon Sajid Javid MP 15. veebruari 2019. aasta kiri EL 27 liikmesriikide sise- ja justiitsministritele. </w:t>
      </w:r>
    </w:p>
  </w:footnote>
  <w:footnote w:id="12">
    <w:p>
      <w:pPr>
        <w:pStyle w:val="FootnoteText"/>
      </w:pPr>
      <w:r>
        <w:rPr>
          <w:rStyle w:val="FootnoteReference"/>
        </w:rPr>
        <w:footnoteRef/>
      </w:r>
      <w:r>
        <w:t xml:space="preserve"> </w:t>
      </w:r>
      <w:r>
        <w:tab/>
        <w:t>Euroopa Parlamendi ja nõukogu 11. mai 2016. aasta määrus (EL) 2016/794, mis käsitleb Euroopa Liidu Õiguskaitsekoostöö Ametit (Europol) ning millega asendatakse ja tunnistatakse kehtetuks nõukogu otsused 2009/371/JSK, 2009/934/JSK, 2009/935/JSK, 2009/936/JSK ja 2009/968/JSK (ELT L 135, 24.5.2016, lk 53).</w:t>
      </w:r>
    </w:p>
  </w:footnote>
  <w:footnote w:id="13">
    <w:p>
      <w:pPr>
        <w:pStyle w:val="FootnoteText"/>
      </w:pPr>
      <w:r>
        <w:rPr>
          <w:rStyle w:val="FootnoteReference"/>
        </w:rPr>
        <w:footnoteRef/>
      </w:r>
      <w:r>
        <w:t xml:space="preserve"> </w:t>
      </w:r>
      <w:r>
        <w:tab/>
        <w:t>Euroopa Parlamendi ja nõukogu 14. novembri 2018. aasta määrus (EL) 2018/1727 Euroopa Liidu Kriminaalõigusalase Koostöö Ameti (Eurojust) kohta ning millega asendatakse ja tunnistatakse kehtetuks nõukogu otsus 2002/187/JSK (ELT L 295, 21.11.2018, lk 138).</w:t>
      </w:r>
    </w:p>
  </w:footnote>
  <w:footnote w:id="14">
    <w:p>
      <w:pPr>
        <w:pStyle w:val="FootnoteText"/>
      </w:pPr>
      <w:r>
        <w:rPr>
          <w:rStyle w:val="FootnoteReference"/>
        </w:rPr>
        <w:footnoteRef/>
      </w:r>
      <w:r>
        <w:t xml:space="preserve"> </w:t>
      </w:r>
      <w:r>
        <w:tab/>
        <w:t>Euroopa Parlamendi ja nõukogu 14. novembri 2018. aasta määrus (EL) 2018/1726, mis käsitleb Vabadusel, Turvalisusel ja Õigusel Rajaneva Ala Suuremahuliste IT-süsteemide Operatiivjuhtimise Euroopa Liidu Ametit (eu-LISA) ning millega muudetakse määrust (EÜ) nr 1987/2006 ja nõukogu otsust 2007/533/JSK ja tunnistatakse kehtetuks määrus (EL) nr 1077/2011 (ELT L 295, 21.11.2018, lk 99).</w:t>
      </w:r>
    </w:p>
  </w:footnote>
  <w:footnote w:id="15">
    <w:p>
      <w:pPr>
        <w:pStyle w:val="FootnoteText"/>
      </w:pPr>
      <w:r>
        <w:rPr>
          <w:rStyle w:val="FootnoteReference"/>
        </w:rPr>
        <w:footnoteRef/>
      </w:r>
      <w:r>
        <w:t xml:space="preserve"> </w:t>
      </w:r>
      <w:r>
        <w:tab/>
        <w:t>Vt Euroopa Parlamendi ja nõukogu 11. mai 2016. aasta määrus (EL) 2016/794, mis käsitleb Euroopa Liidu Õiguskaitsekoostöö Ametit (Europol) ning millega asendatakse ja tunnistatakse kehtetuks nõukogu otsused 2009/371/JSK, 2009/934/JSK, 2009/935/JSK, 2009/936/JSK ja 2009/968/JSK (ELT L 135, 24.5.2016, lk 53).</w:t>
      </w:r>
    </w:p>
  </w:footnote>
  <w:footnote w:id="16">
    <w:p>
      <w:pPr>
        <w:pStyle w:val="FootnoteText"/>
      </w:pPr>
      <w:r>
        <w:rPr>
          <w:rStyle w:val="FootnoteReference"/>
        </w:rPr>
        <w:footnoteRef/>
      </w:r>
      <w:r>
        <w:t xml:space="preserve"> </w:t>
      </w:r>
      <w:r>
        <w:tab/>
        <w:t xml:space="preserve">Kindlaksmääratud juhtudel ning sõltuvalt kohaldatavatest tingimustest ja kaitsemeetmetest võimaldab Europoli asutamismäärus edastada isikuandmeid juhtumipõhiselt kolmandatele riikidele, kellega koostöökokkulepe puudub. Asutamismäärus võimaldab ajutiselt ka andmete korduvat edastamist, tingimusel et täidetakse kohaldatavaid tingimusi ja kaitsemeetmeid, mille hulka kuulub ka nõusoleku saamine Euroopa Andmekaitseinspektorilt. </w:t>
      </w:r>
    </w:p>
  </w:footnote>
  <w:footnote w:id="17">
    <w:p>
      <w:pPr>
        <w:pStyle w:val="FootnoteText"/>
      </w:pPr>
      <w:r>
        <w:rPr>
          <w:rStyle w:val="FootnoteReference"/>
          <w:rFonts w:eastAsiaTheme="minorHAnsi"/>
        </w:rPr>
        <w:footnoteRef/>
      </w:r>
      <w:r>
        <w:t xml:space="preserve"> </w:t>
      </w:r>
      <w:r>
        <w:tab/>
        <w:t>Kõiki kindlaks tehtud alternatiivseid vahendeid tuleb kasutada, järgides täielikult kohaldatavaid ELi andmekaitsenorme.</w:t>
      </w:r>
    </w:p>
  </w:footnote>
  <w:footnote w:id="18">
    <w:p>
      <w:pPr>
        <w:pStyle w:val="FootnoteText"/>
      </w:pPr>
      <w:r>
        <w:rPr>
          <w:rStyle w:val="FootnoteReference"/>
        </w:rPr>
        <w:footnoteRef/>
      </w:r>
      <w:r>
        <w:t xml:space="preserve"> </w:t>
      </w:r>
      <w:r>
        <w:tab/>
        <w:t>Euroopa Parlamendi ja nõukogu 20. detsembri 2006. aasta määrus (EÜ) nr 1987/2006, mis käsitleb teise põlvkonna Schengeni infosüsteemi (SIS II) loomist, toimimist ja kasutamist (ELT L 381, 28.12.2006, lk 4); Euroopa Parlamendi ja nõukogu 20. detsembri 2006. aasta määrus (EÜ) nr 1986/2006, mis käsitleb liikmesriikides sõidukite registreerimistunnistusi väljaandvate teenistuste juurdepääsu teise põlvkonna Schengeni infosüsteemile (SIS II) (ELT L 381, 28.12.2006, lk 1); nõukogu 12. juuni 2007. aasta otsus 2007/533/JSK, mis käsitleb teise põlvkonna Schengeni infosüsteemi (SIS II) loomist, toimimist ja kasutamist (ELT L 205, 7.8.2007, lk 63).</w:t>
      </w:r>
    </w:p>
  </w:footnote>
  <w:footnote w:id="19">
    <w:p>
      <w:pPr>
        <w:pStyle w:val="FootnoteText"/>
      </w:pPr>
      <w:r>
        <w:rPr>
          <w:rStyle w:val="FootnoteReference"/>
        </w:rPr>
        <w:footnoteRef/>
      </w:r>
      <w:r>
        <w:t xml:space="preserve"> </w:t>
      </w:r>
      <w:r>
        <w:tab/>
        <w:t>Euroopa Parlamendi ja nõukogu 11. mai 2016. aasta määrus (EL) 2016/794, mis käsitleb Euroopa Liidu Õiguskaitsekoostöö Ametit (Europol) ning millega asendatakse ja tunnistatakse kehtetuks nõukogu otsused 2009/371/JSK, 2009/934/JSK, 2009/935/JSK, 2009/936/JSK ja 2009/968/JSK (ELT L 135, 24.5.2016, lk 53).</w:t>
      </w:r>
    </w:p>
  </w:footnote>
  <w:footnote w:id="20">
    <w:p>
      <w:pPr>
        <w:pStyle w:val="FootnoteText"/>
      </w:pPr>
      <w:r>
        <w:rPr>
          <w:rStyle w:val="FootnoteReference"/>
        </w:rPr>
        <w:footnoteRef/>
      </w:r>
      <w:r>
        <w:t xml:space="preserve"> </w:t>
      </w:r>
      <w:r>
        <w:tab/>
        <w:t>Nõukogu 23. juuni 2008. aasta otsus 2008/615/JSK piiriülese koostöö tõhustamise kohta, eelkõige seoses terrorismi- ja piiriülese kuritegevuse vastase võitlusega (ELT L 210, 6.8.2008, lk 1–11); nõukogu 23. juuni 2008. aasta otsus 2008/616/JSK, millega rakendatakse otsust 2008/615/JSK piiriülese koostöö tõhustamise kohta, eelkõige seoses terrorismi- ja piiriülese kuritegevuse vastase võitlusega (ELT L 210, 6.8.2008, lk 12).</w:t>
      </w:r>
    </w:p>
  </w:footnote>
  <w:footnote w:id="21">
    <w:p>
      <w:pPr>
        <w:pStyle w:val="FootnoteText"/>
      </w:pPr>
      <w:r>
        <w:rPr>
          <w:rStyle w:val="FootnoteReference"/>
        </w:rPr>
        <w:footnoteRef/>
      </w:r>
      <w:r>
        <w:t xml:space="preserve"> </w:t>
      </w:r>
      <w:r>
        <w:tab/>
        <w:t>Nõukogu 18. detsembri 2006. aasta raamotsus 2006/960/JSK Euroopa Liidu liikmesriikide õiguskaitseasutuste vahelise teabe ja jälitusteabe vahetamise lihtsustamise kohta (ELT L 386, 29.12.2006, lk 89).</w:t>
      </w:r>
    </w:p>
  </w:footnote>
  <w:footnote w:id="22">
    <w:p>
      <w:pPr>
        <w:pStyle w:val="FootnoteText"/>
      </w:pPr>
      <w:r>
        <w:rPr>
          <w:rStyle w:val="FootnoteReference"/>
        </w:rPr>
        <w:footnoteRef/>
      </w:r>
      <w:r>
        <w:t xml:space="preserve"> </w:t>
      </w:r>
      <w:r>
        <w:tab/>
        <w:t>Nõukogu 6. detsembri 2007. aasta otsus 2007/845/JSK, mis käsitleb kriminaaltulu jälitamise talituste vahelist koostööd kuritegelikul teel saadud tulu või kuritegevusega seotud muu vara jälitamise ja tuvastamise valdkonnas (ELT L 332, 18.12.2007, lk 103).</w:t>
      </w:r>
    </w:p>
  </w:footnote>
  <w:footnote w:id="23">
    <w:p>
      <w:pPr>
        <w:pStyle w:val="FootnoteText"/>
      </w:pPr>
      <w:r>
        <w:rPr>
          <w:rStyle w:val="FootnoteReference"/>
        </w:rPr>
        <w:footnoteRef/>
      </w:r>
      <w:r>
        <w:t xml:space="preserve"> </w:t>
      </w:r>
      <w:r>
        <w:tab/>
        <w:t>3. detsembri 1998. aasta ühismeede 98/700/JSK, mille nõukogu võttis vastu Euroopa Liidu lepingu artikli K.3 alusel Euroopa kuvaarhiveerimissüsteemi (FADO) rajamise kohta (EÜT L 333, 9.12.1998, lk 4).</w:t>
      </w:r>
    </w:p>
  </w:footnote>
  <w:footnote w:id="24">
    <w:p>
      <w:pPr>
        <w:pStyle w:val="FootnoteText"/>
      </w:pPr>
      <w:r>
        <w:rPr>
          <w:rStyle w:val="FootnoteReference"/>
        </w:rPr>
        <w:footnoteRef/>
      </w:r>
      <w:r>
        <w:t xml:space="preserve"> </w:t>
      </w:r>
      <w:r>
        <w:tab/>
        <w:t>Nõukogu 25. aprilli 2002. aasta otsus 2002/348/JSK rahvusvahelise mõõtmega jalgpallivõistluste turvalisuse kohta (EÜT L 121, 8.5.2002, lk 1).</w:t>
      </w:r>
    </w:p>
  </w:footnote>
  <w:footnote w:id="25">
    <w:p>
      <w:pPr>
        <w:pStyle w:val="FootnoteText"/>
      </w:pPr>
      <w:r>
        <w:rPr>
          <w:rStyle w:val="FootnoteReference"/>
          <w:rFonts w:eastAsiaTheme="minorHAnsi"/>
        </w:rPr>
        <w:footnoteRef/>
      </w:r>
      <w:r>
        <w:t xml:space="preserve"> </w:t>
      </w:r>
      <w:r>
        <w:tab/>
        <w:t>Austria, Belgia, Bulgaaria, Horvaatia, Küpros, Tšehhi, Taani, Eesti, Soome, Saksamaa, Kreeka, Ungari, Iirimaa, Itaalia, Läti, Leedu, Luksemburg, Madalmaad, Rumeenia, Slovakkia, Sloveenia, Hispaania ja Rootsi ei ole seda ratifitseerinud. Ühendkuningriik ei ole seda ratifitseerinud.</w:t>
      </w:r>
    </w:p>
  </w:footnote>
  <w:footnote w:id="26">
    <w:p>
      <w:pPr>
        <w:pStyle w:val="FootnoteText"/>
      </w:pPr>
      <w:r>
        <w:rPr>
          <w:rStyle w:val="FootnoteReference"/>
        </w:rPr>
        <w:footnoteRef/>
      </w:r>
      <w:r>
        <w:t xml:space="preserve"> </w:t>
      </w:r>
      <w:r>
        <w:tab/>
        <w:t>Nõukogu resolutsioon ühise uurimisrühma loomise näidiskokkuleppe kohta (ELT C 18, 19.1.2017, lk 1).</w:t>
      </w:r>
    </w:p>
  </w:footnote>
  <w:footnote w:id="27">
    <w:p>
      <w:pPr>
        <w:pStyle w:val="FootnoteText"/>
      </w:pPr>
      <w:r>
        <w:rPr>
          <w:rStyle w:val="FootnoteReference"/>
        </w:rPr>
        <w:footnoteRef/>
      </w:r>
      <w:r>
        <w:t xml:space="preserve"> </w:t>
      </w:r>
      <w:r>
        <w:tab/>
        <w:t>Konventsioon, mille nõukogu on koostanud Euroopa Liidu lepingu artikli 34 alusel Euroopa Liidu liikmesriikide vahelise vastastikuse õigusabi kohta kriminaalasjades – Nõukogu deklaratsioon artikli 10 lõike 9 kohta – Ühendkuningriigi deklaratsioon artikli 20 kohta (EÜT C 197, 12.7.2000, lk 3–23). Nõukogu 29. mai 2000. aasta akt, millega kehtestatakse Euroopa Liidu lepingu artikli 34 kohane konventsioon Euroopa Liidu riikide vahelise vastastikuse õigusabi kohta kriminaalasjades (EÜT C 197, 12.7.2000, lk 1).</w:t>
      </w:r>
    </w:p>
  </w:footnote>
  <w:footnote w:id="28">
    <w:p>
      <w:pPr>
        <w:pStyle w:val="FootnoteText"/>
      </w:pPr>
      <w:r>
        <w:rPr>
          <w:rStyle w:val="FootnoteReference"/>
        </w:rPr>
        <w:footnoteRef/>
      </w:r>
      <w:r>
        <w:t xml:space="preserve"> </w:t>
      </w:r>
      <w:r>
        <w:tab/>
        <w:t>5. detsembri 1997. aasta ühismeede 97/827/JSK, mille nõukogu on vastu võtnud Euroopa Liidu lepingu artikli K.3 alusel ja millega luuakse organiseeritud kuritegevuse vastase võitlusega seotud rahvusvaheliste kohustuste siseriiklikul tasandil kohaldamise ja rakendamise hindamise mehhanism (EÜT, L 344, 15.12.1997, lk 7).</w:t>
      </w:r>
    </w:p>
  </w:footnote>
  <w:footnote w:id="29">
    <w:p>
      <w:pPr>
        <w:pStyle w:val="FootnoteText"/>
      </w:pPr>
      <w:r>
        <w:rPr>
          <w:rStyle w:val="FootnoteReference"/>
        </w:rPr>
        <w:footnoteRef/>
      </w:r>
      <w:r>
        <w:t xml:space="preserve"> </w:t>
      </w:r>
      <w:r>
        <w:tab/>
        <w:t>Euroopa Parlamendi ja nõukogu 26. juuni 2013. aasta määrus (EL) nr 603/2013, millega luuakse sõrmejälgede võrdlemise Eurodac-süsteem määruse (EL) nr 604/2013 (millega kehtestatakse kriteeriumid ja mehhanismid selle liikmesriigi määramiseks, kes vastutab mõnes liikmesriigis kolmanda riigi kodaniku või kodakondsuseta isiku esitatud rahvusvahelise kaitse taotluse läbivaatamise eest) tõhusaks kohaldamiseks ning mis käsitleb liikmesriikide õiguskaitseasutuste ja Europoli taotlusi sõrmejälgede andmete võrdlemiseks Eurodac-süsteemi andmetega õiguskaitse eesmärgil ning millega muudetakse määrust (EL) nr 1077/2011, millega asutatakse Vabadusel, Turvalisusel ja Õigusel Rajaneva Ala Suuremahuliste IT-süsteemide Operatiivjuhtimise Euroopa Amet (ELT L 180, 29.6.2013, lk 1).</w:t>
      </w:r>
    </w:p>
  </w:footnote>
  <w:footnote w:id="30">
    <w:p>
      <w:pPr>
        <w:pStyle w:val="FootnoteText"/>
      </w:pPr>
      <w:r>
        <w:rPr>
          <w:rStyle w:val="FootnoteReference"/>
        </w:rPr>
        <w:footnoteRef/>
      </w:r>
      <w:r>
        <w:t xml:space="preserve"> </w:t>
      </w:r>
      <w:r>
        <w:tab/>
        <w:t>Euroopa Parlamendi ja nõukogu 12. augusti 2013. aasta direktiiv 2013/40/EL, milles käsitletakse infosüsteemide vastu suunatud ründeid ja millega asendatakse nõukogu raamotsus 2005/222/JSK (ELT L 218, 14.8.2013, lk 8).</w:t>
      </w:r>
    </w:p>
  </w:footnote>
  <w:footnote w:id="31">
    <w:p>
      <w:pPr>
        <w:pStyle w:val="FootnoteText"/>
      </w:pPr>
      <w:r>
        <w:rPr>
          <w:rStyle w:val="FootnoteReference"/>
          <w:rFonts w:eastAsiaTheme="minorHAnsi"/>
        </w:rPr>
        <w:footnoteRef/>
      </w:r>
      <w:r>
        <w:t xml:space="preserve"> </w:t>
      </w:r>
      <w:r>
        <w:tab/>
        <w:t>Iirimaa ja Rootsi ei ole seda ratifitseerinud.</w:t>
      </w:r>
    </w:p>
  </w:footnote>
  <w:footnote w:id="32">
    <w:p>
      <w:pPr>
        <w:pStyle w:val="FootnoteText"/>
      </w:pPr>
      <w:r>
        <w:rPr>
          <w:rStyle w:val="FootnoteReference"/>
          <w:rFonts w:eastAsiaTheme="minorHAnsi"/>
        </w:rPr>
        <w:footnoteRef/>
      </w:r>
      <w:r>
        <w:t xml:space="preserve"> </w:t>
      </w:r>
      <w:r>
        <w:tab/>
        <w:t>Austria, Belgia, Bulgaaria, Eesti, Ungari, Iirimaa, Itaalia, Malta ja Rootsi ei ole seda ratifitseerinud. Ühendkuningriik ei ole seda ratifitseerinud.</w:t>
      </w:r>
    </w:p>
  </w:footnote>
  <w:footnote w:id="33">
    <w:p>
      <w:pPr>
        <w:pStyle w:val="FootnoteText"/>
      </w:pPr>
      <w:r>
        <w:rPr>
          <w:rStyle w:val="FootnoteReference"/>
        </w:rPr>
        <w:footnoteRef/>
      </w:r>
      <w:r>
        <w:t xml:space="preserve"> </w:t>
      </w:r>
      <w:r>
        <w:tab/>
        <w:t>Euroopa Parlamendi ja nõukogu 13. detsembri 2011. aasta direktiiv 2011/93/EL, mis käsitleb laste seksuaalse kuritarvitamise ja ärakasutamise ning lasteporno vastast võitlust ja mis asendab nõukogu raamotsuse 2004/68/JSK (ELT L 335, 17.12.2011, lk 1).</w:t>
      </w:r>
    </w:p>
  </w:footnote>
  <w:footnote w:id="34">
    <w:p>
      <w:pPr>
        <w:pStyle w:val="FootnoteText"/>
      </w:pPr>
      <w:r>
        <w:rPr>
          <w:rStyle w:val="FootnoteReference"/>
        </w:rPr>
        <w:footnoteRef/>
      </w:r>
      <w:r>
        <w:t xml:space="preserve"> </w:t>
      </w:r>
      <w:r>
        <w:tab/>
        <w:t>Nõukogu 29. mai 2000. aasta otsus lapsporno vastase võitluse kohta Internetis (EÜT L 138, 9.6.2000, lk 1).</w:t>
      </w:r>
    </w:p>
  </w:footnote>
  <w:footnote w:id="35">
    <w:p>
      <w:pPr>
        <w:pStyle w:val="FootnoteText"/>
      </w:pPr>
      <w:r>
        <w:rPr>
          <w:rStyle w:val="FootnoteReference"/>
          <w:rFonts w:eastAsiaTheme="minorHAnsi"/>
        </w:rPr>
        <w:footnoteRef/>
      </w:r>
      <w:r>
        <w:t xml:space="preserve"> </w:t>
      </w:r>
      <w:r>
        <w:tab/>
        <w:t>Iirimaa ei ole seda ratifitseerinud.</w:t>
      </w:r>
    </w:p>
  </w:footnote>
  <w:footnote w:id="36">
    <w:p>
      <w:pPr>
        <w:pStyle w:val="FootnoteText"/>
      </w:pPr>
      <w:r>
        <w:rPr>
          <w:rStyle w:val="FootnoteReference"/>
        </w:rPr>
        <w:footnoteRef/>
      </w:r>
      <w:r>
        <w:t xml:space="preserve"> </w:t>
      </w:r>
      <w:r>
        <w:tab/>
        <w:t>Euroopa Parlamendi ja nõukogu 5. aprilli 2011. aasta direktiiv 2011/36/EL, milles käsitletakse inimkaubanduse tõkestamist ja sellevastast võitlust ning inimkaubanduse ohvrite kaitset ja millega asendatakse nõukogu raamotsus 2002/629/JSK (ELT L 101, 15.4.2011, lk 1).</w:t>
      </w:r>
    </w:p>
  </w:footnote>
  <w:footnote w:id="37">
    <w:p>
      <w:pPr>
        <w:pStyle w:val="FootnoteText"/>
      </w:pPr>
      <w:r>
        <w:rPr>
          <w:rStyle w:val="FootnoteReference"/>
          <w:rFonts w:eastAsiaTheme="minorHAnsi"/>
        </w:rPr>
        <w:footnoteRef/>
      </w:r>
      <w:r>
        <w:t xml:space="preserve"> </w:t>
      </w:r>
      <w:r>
        <w:tab/>
        <w:t>Kõik liikmesriigid on selle ratifitseerinud.</w:t>
      </w:r>
    </w:p>
  </w:footnote>
  <w:footnote w:id="38">
    <w:p>
      <w:pPr>
        <w:pStyle w:val="FootnoteText"/>
      </w:pPr>
      <w:r>
        <w:rPr>
          <w:rStyle w:val="FootnoteReference"/>
        </w:rPr>
        <w:footnoteRef/>
      </w:r>
      <w:r>
        <w:t xml:space="preserve"> </w:t>
      </w:r>
      <w:r>
        <w:tab/>
        <w:t>Nõukogu 13. juuni 2002. aasta raamotsus 2002/584/JHA Euroopa vahistamismääruse ja liikmesriikidevahelise üleandmiskorra kohta — Teatavate liikmesriikide avaldused raamotsuse vastuvõtmisel (EÜT L 190, 18.7.2002, lk 1).</w:t>
      </w:r>
    </w:p>
  </w:footnote>
  <w:footnote w:id="39">
    <w:p>
      <w:pPr>
        <w:pStyle w:val="FootnoteText"/>
      </w:pPr>
      <w:r>
        <w:rPr>
          <w:rStyle w:val="FootnoteReference"/>
        </w:rPr>
        <w:footnoteRef/>
      </w:r>
      <w:r>
        <w:t xml:space="preserve"> </w:t>
      </w:r>
      <w:r>
        <w:tab/>
        <w:t>Selle on ratifitseerinud kõik liikmesriigid ja Ühendkuningriik.</w:t>
      </w:r>
    </w:p>
  </w:footnote>
  <w:footnote w:id="40">
    <w:p>
      <w:pPr>
        <w:spacing w:after="120"/>
        <w:ind w:left="357" w:hanging="357"/>
        <w:rPr>
          <w:strike/>
          <w:sz w:val="20"/>
        </w:rPr>
      </w:pPr>
      <w:r>
        <w:rPr>
          <w:rStyle w:val="FootnoteReference"/>
          <w:sz w:val="20"/>
        </w:rPr>
        <w:footnoteRef/>
      </w:r>
      <w:r>
        <w:rPr>
          <w:sz w:val="20"/>
        </w:rPr>
        <w:t xml:space="preserve"> </w:t>
      </w:r>
      <w:r>
        <w:tab/>
      </w:r>
      <w:r>
        <w:rPr>
          <w:color w:val="000000"/>
          <w:sz w:val="20"/>
          <w:bdr w:val="none" w:sz="0" w:space="0" w:color="auto" w:frame="1"/>
        </w:rPr>
        <w:t>Seda ei ole ratifitseerinud Ühendkuningriik, Austria, Soome, Prantsusmaa, Saksamaa, Kreeka, Iirimaa ega Itaalia.</w:t>
      </w:r>
    </w:p>
  </w:footnote>
  <w:footnote w:id="41">
    <w:p>
      <w:pPr>
        <w:spacing w:after="120"/>
        <w:ind w:left="357" w:hanging="357"/>
        <w:rPr>
          <w:sz w:val="20"/>
        </w:rPr>
      </w:pPr>
      <w:r>
        <w:rPr>
          <w:rStyle w:val="FootnoteReference"/>
          <w:sz w:val="20"/>
        </w:rPr>
        <w:footnoteRef/>
      </w:r>
      <w:r>
        <w:rPr>
          <w:sz w:val="20"/>
        </w:rPr>
        <w:t xml:space="preserve"> </w:t>
      </w:r>
      <w:r>
        <w:tab/>
      </w:r>
      <w:r>
        <w:rPr>
          <w:color w:val="000000"/>
          <w:sz w:val="20"/>
          <w:bdr w:val="none" w:sz="0" w:space="0" w:color="auto" w:frame="1"/>
        </w:rPr>
        <w:t>Seda ei ole ratifitseerinud Prantsusmaa, Kreeka, Iirimaa ega Luksemburg.</w:t>
      </w:r>
    </w:p>
  </w:footnote>
  <w:footnote w:id="42">
    <w:p>
      <w:pPr>
        <w:pStyle w:val="FootnoteText"/>
      </w:pPr>
      <w:r>
        <w:rPr>
          <w:rStyle w:val="FootnoteReference"/>
        </w:rPr>
        <w:footnoteRef/>
      </w:r>
      <w:r>
        <w:t xml:space="preserve"> </w:t>
      </w:r>
      <w:r>
        <w:tab/>
        <w:t>Seda ei ole ratifitseerinud Belgia, Bulgaaria, Tšehhi, Horvaatia, Eesti, Kreeka, Iirimaa, Soome, Prantsusmaa, Ungari, Itaalia, Luksemburg, Malta, Poola, Portugal, Rootsi ega Slovakkia.</w:t>
      </w:r>
    </w:p>
  </w:footnote>
  <w:footnote w:id="43">
    <w:p>
      <w:pPr>
        <w:pStyle w:val="FootnoteText"/>
      </w:pPr>
      <w:r>
        <w:rPr>
          <w:rStyle w:val="FootnoteReference"/>
        </w:rPr>
        <w:footnoteRef/>
      </w:r>
      <w:r>
        <w:t xml:space="preserve"> </w:t>
      </w:r>
      <w:r>
        <w:tab/>
        <w:t>Selle on ratifitseerinud ainult Austria, Läti ja Sloveenia ning Ühendkuningriik.</w:t>
      </w:r>
    </w:p>
  </w:footnote>
  <w:footnote w:id="44">
    <w:p>
      <w:pPr>
        <w:pStyle w:val="FootnoteText"/>
      </w:pPr>
      <w:r>
        <w:rPr>
          <w:rStyle w:val="FootnoteReference"/>
        </w:rPr>
        <w:footnoteRef/>
      </w:r>
      <w:r>
        <w:t xml:space="preserve"> </w:t>
      </w:r>
      <w:r>
        <w:tab/>
        <w:t>Euroopa Parlamendi ja nõukogu 3. aprilli 2014. aasta direktiiv 2014/41/EL, mis käsitleb Euroopa uurimismäärust kriminaalasjades (ELT L 130, 1.5.2014, lk 1).</w:t>
      </w:r>
    </w:p>
  </w:footnote>
  <w:footnote w:id="45">
    <w:p>
      <w:pPr>
        <w:pStyle w:val="FootnoteText"/>
      </w:pPr>
      <w:r>
        <w:rPr>
          <w:rStyle w:val="FootnoteReference"/>
        </w:rPr>
        <w:footnoteRef/>
      </w:r>
      <w:r>
        <w:t xml:space="preserve"> </w:t>
      </w:r>
      <w:r>
        <w:tab/>
        <w:t>Selle on ratifitseerinud kõik liikmesriigid ja Ühendkuningriik.</w:t>
      </w:r>
    </w:p>
  </w:footnote>
  <w:footnote w:id="46">
    <w:p>
      <w:pPr>
        <w:pStyle w:val="FootnoteText"/>
      </w:pPr>
      <w:r>
        <w:rPr>
          <w:rStyle w:val="FootnoteReference"/>
        </w:rPr>
        <w:footnoteRef/>
      </w:r>
      <w:r>
        <w:t xml:space="preserve"> </w:t>
      </w:r>
      <w:r>
        <w:tab/>
        <w:t>Selle on ratifitseerinud kõik liikmesriigid ja Ühendkuningriik.</w:t>
      </w:r>
    </w:p>
  </w:footnote>
  <w:footnote w:id="47">
    <w:p>
      <w:pPr>
        <w:pStyle w:val="FootnoteText"/>
      </w:pPr>
      <w:r>
        <w:rPr>
          <w:rStyle w:val="FootnoteReference"/>
        </w:rPr>
        <w:footnoteRef/>
      </w:r>
      <w:r>
        <w:t xml:space="preserve"> </w:t>
      </w:r>
      <w:r>
        <w:tab/>
        <w:t>Seda ei ole ratifitseerinud Kreeka, Itaalia ega Luksemburg.</w:t>
      </w:r>
    </w:p>
  </w:footnote>
  <w:footnote w:id="48">
    <w:p>
      <w:pPr>
        <w:pStyle w:val="FootnoteText"/>
      </w:pPr>
      <w:r>
        <w:rPr>
          <w:rStyle w:val="FootnoteReference"/>
        </w:rPr>
        <w:footnoteRef/>
      </w:r>
      <w:r>
        <w:t xml:space="preserve"> </w:t>
      </w:r>
      <w:r>
        <w:tab/>
        <w:t>Seda ei ole ratifitseerinud Iirimaa ega Rootsi.</w:t>
      </w:r>
    </w:p>
  </w:footnote>
  <w:footnote w:id="49">
    <w:p>
      <w:pPr>
        <w:pStyle w:val="FootnoteText"/>
      </w:pPr>
      <w:r>
        <w:rPr>
          <w:rStyle w:val="FootnoteReference"/>
        </w:rPr>
        <w:footnoteRef/>
      </w:r>
      <w:r>
        <w:t xml:space="preserve"> </w:t>
      </w:r>
      <w:r>
        <w:tab/>
        <w:t>Nõukogu 6. oktoobri 2006. aasta raamotsus 2006/783/JSK konfiskeerimisotsuste suhtes vastastikuse tunnustamise põhimõtte kohaldamise kohta (ELT L 328, 24.11.2006, lk 59–78). Nõukogu 22. juuli 2003. aasta raamotsus 2003/577/JSK vara või tõendite arestimise otsuste täitmise kohta Euroopa Liidus (ELT L 196, 2.8.2003, lk 45–55).</w:t>
      </w:r>
    </w:p>
  </w:footnote>
  <w:footnote w:id="50">
    <w:p>
      <w:pPr>
        <w:pStyle w:val="FootnoteText"/>
      </w:pPr>
      <w:r>
        <w:rPr>
          <w:rStyle w:val="FootnoteReference"/>
        </w:rPr>
        <w:footnoteRef/>
      </w:r>
      <w:r>
        <w:t xml:space="preserve"> </w:t>
      </w:r>
      <w:r>
        <w:tab/>
        <w:t>Selle on ratifitseerinud kõik liikmesriigid ja Ühendkuningriik.</w:t>
      </w:r>
    </w:p>
  </w:footnote>
  <w:footnote w:id="51">
    <w:p>
      <w:pPr>
        <w:pStyle w:val="FootnoteText"/>
      </w:pPr>
      <w:r>
        <w:rPr>
          <w:rStyle w:val="FootnoteReference"/>
        </w:rPr>
        <w:footnoteRef/>
      </w:r>
      <w:r>
        <w:t xml:space="preserve"> </w:t>
      </w:r>
      <w:r>
        <w:tab/>
        <w:t>Seda ei ole ratifitseerinud Austria, Tšehhi, Eesti, Soome, Iirimaa, Leedu ega Luksemburg.</w:t>
      </w:r>
    </w:p>
  </w:footnote>
  <w:footnote w:id="52">
    <w:p>
      <w:pPr>
        <w:pStyle w:val="FootnoteText"/>
      </w:pPr>
      <w:r>
        <w:rPr>
          <w:rStyle w:val="FootnoteReference"/>
        </w:rPr>
        <w:footnoteRef/>
      </w:r>
      <w:r>
        <w:t xml:space="preserve"> </w:t>
      </w:r>
      <w:r>
        <w:tab/>
        <w:t>Nõukogu 27. novembri 2008. aasta raamotsus 2008/909/JHA vastastikuse tunnustamise põhimõtte kohaldamise kohta kriminaalasjades tehtud otsuste suhtes, millega määratakse vabadusekaotuslikud karistused või vabadust piiravad meetmed, nende Euroopa Liidus täideviimise eesmärgil (ELT L 327, 5.12.2008, lk 27).</w:t>
      </w:r>
    </w:p>
  </w:footnote>
  <w:footnote w:id="53">
    <w:p>
      <w:pPr>
        <w:pStyle w:val="FootnoteText"/>
      </w:pPr>
      <w:r>
        <w:rPr>
          <w:rStyle w:val="FootnoteReference"/>
        </w:rPr>
        <w:footnoteRef/>
      </w:r>
      <w:r>
        <w:t xml:space="preserve"> </w:t>
      </w:r>
      <w:r>
        <w:tab/>
        <w:t xml:space="preserve">Selle on ratifitseerinud kõik liikmesriigid ja Ühendkuningriik. </w:t>
      </w:r>
    </w:p>
  </w:footnote>
  <w:footnote w:id="54">
    <w:p>
      <w:pPr>
        <w:pStyle w:val="FootnoteText"/>
      </w:pPr>
      <w:r>
        <w:rPr>
          <w:rStyle w:val="FootnoteReference"/>
        </w:rPr>
        <w:footnoteRef/>
      </w:r>
      <w:r>
        <w:t xml:space="preserve"> </w:t>
      </w:r>
      <w:r>
        <w:tab/>
        <w:t>Seda ei ole ratifitseerinud Itaalia, Portugal ega Slovakkia.</w:t>
      </w:r>
    </w:p>
  </w:footnote>
  <w:footnote w:id="55">
    <w:p>
      <w:pPr>
        <w:pStyle w:val="FootnoteText"/>
      </w:pPr>
      <w:r>
        <w:rPr>
          <w:rStyle w:val="FootnoteReference"/>
        </w:rPr>
        <w:footnoteRef/>
      </w:r>
      <w:r>
        <w:t xml:space="preserve"> </w:t>
      </w:r>
      <w:r>
        <w:tab/>
        <w:t>Seda ei ole ratifitseerinud ükski liikmesriik ega Ühendkuningriik.</w:t>
      </w:r>
    </w:p>
  </w:footnote>
  <w:footnote w:id="56">
    <w:p>
      <w:pPr>
        <w:pStyle w:val="FootnoteText"/>
      </w:pPr>
      <w:r>
        <w:rPr>
          <w:rStyle w:val="FootnoteReference"/>
        </w:rPr>
        <w:footnoteRef/>
      </w:r>
      <w:r>
        <w:t xml:space="preserve"> </w:t>
      </w:r>
      <w:r>
        <w:tab/>
        <w:t>Nõukogu 24. juuli 2008. aasta raamotsus 2008/675/JSK, mis käsitleb Euroopa Liidu liikmesriikides tehtud süüdimõistvate kohtuotsuste arvessevõtmist uutes kriminaalmenetlustes (ELT L 220, 15.8.2008, lk 32).</w:t>
      </w:r>
    </w:p>
  </w:footnote>
  <w:footnote w:id="57">
    <w:p>
      <w:pPr>
        <w:pStyle w:val="FootnoteText"/>
      </w:pPr>
      <w:r>
        <w:rPr>
          <w:rStyle w:val="FootnoteReference"/>
        </w:rPr>
        <w:footnoteRef/>
      </w:r>
      <w:r>
        <w:t xml:space="preserve"> </w:t>
      </w:r>
      <w:r>
        <w:tab/>
        <w:t>Nõukogu 24. veebruari 2005. aasta raamotsus 2005/214/JSK rahaliste karistuste vastastikuse tunnustamise põhimõtte kohaldamise kohta (ELT L 76, 22.3.2005, lk 16).</w:t>
      </w:r>
    </w:p>
  </w:footnote>
  <w:footnote w:id="58">
    <w:p>
      <w:pPr>
        <w:pStyle w:val="FootnoteText"/>
      </w:pPr>
      <w:r>
        <w:rPr>
          <w:rStyle w:val="FootnoteReference"/>
        </w:rPr>
        <w:footnoteRef/>
      </w:r>
      <w:r>
        <w:t xml:space="preserve"> </w:t>
      </w:r>
      <w:r>
        <w:tab/>
        <w:t>Seda ei ole ratifitseerinud Ühendkuningriik ega Horvaatia, Tšehhi, Soome, Prantsusmaa, Saksamaa, Kreeka, Ungari, Iirimaa, Itaalia, Luksemburg, Malta, Poola, Portugal ja Slovakkia.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39657"/>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AA6A57F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A24EFF4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47DE5BA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943EA5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4DBCAA4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A96C127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92D226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4068631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BB2C0B9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34A4EF2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48653B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0D189DC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2FC8873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4C477C97"/>
    <w:multiLevelType w:val="multilevel"/>
    <w:tmpl w:val="14D69CFA"/>
    <w:numStyleLink w:val="ImportedStyle1"/>
  </w:abstractNum>
  <w:abstractNum w:abstractNumId="15">
    <w:nsid w:val="4E1A982C"/>
    <w:multiLevelType w:val="multilevel"/>
    <w:tmpl w:val="625CE4A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99A4CB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F47CD8F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E9E61DF"/>
    <w:multiLevelType w:val="hybridMultilevel"/>
    <w:tmpl w:val="E4E010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65145E"/>
    <w:multiLevelType w:val="multilevel"/>
    <w:tmpl w:val="1A02468C"/>
    <w:name w:val="EurolookHeading"/>
    <w:lvl w:ilvl="0">
      <w:start w:val="1"/>
      <w:numFmt w:val="decimal"/>
      <w:pStyle w:val="Heading1"/>
      <w:lvlText w:val="%1."/>
      <w:lvlJc w:val="left"/>
      <w:pPr>
        <w:tabs>
          <w:tab w:val="num" w:pos="482"/>
        </w:tabs>
        <w:ind w:left="482" w:hanging="482"/>
      </w:pPr>
      <w:rPr>
        <w:rFonts w:hint="default"/>
      </w:rPr>
    </w:lvl>
    <w:lvl w:ilvl="1">
      <w:start w:val="1"/>
      <w:numFmt w:val="decimal"/>
      <w:pStyle w:val="Heading2"/>
      <w:lvlText w:val="%1.%2."/>
      <w:lvlJc w:val="left"/>
      <w:pPr>
        <w:tabs>
          <w:tab w:val="num" w:pos="1202"/>
        </w:tabs>
        <w:ind w:left="1202" w:hanging="720"/>
      </w:pPr>
      <w:rPr>
        <w:rFonts w:hint="default"/>
      </w:rPr>
    </w:lvl>
    <w:lvl w:ilvl="2">
      <w:start w:val="1"/>
      <w:numFmt w:val="decimal"/>
      <w:pStyle w:val="Heading3"/>
      <w:lvlText w:val="%1.%2.%3."/>
      <w:lvlJc w:val="left"/>
      <w:pPr>
        <w:tabs>
          <w:tab w:val="num" w:pos="1922"/>
        </w:tabs>
        <w:ind w:left="1922" w:hanging="720"/>
      </w:pPr>
      <w:rPr>
        <w:rFonts w:hint="default"/>
      </w:rPr>
    </w:lvl>
    <w:lvl w:ilvl="3">
      <w:start w:val="1"/>
      <w:numFmt w:val="decimal"/>
      <w:pStyle w:val="Heading4"/>
      <w:lvlText w:val="%1.%2.%3.%4."/>
      <w:lvlJc w:val="left"/>
      <w:pPr>
        <w:tabs>
          <w:tab w:val="num" w:pos="1922"/>
        </w:tabs>
        <w:ind w:left="1922" w:hanging="720"/>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abstractNum w:abstractNumId="20">
    <w:nsid w:val="7C651460"/>
    <w:multiLevelType w:val="multilevel"/>
    <w:tmpl w:val="DCAA060D"/>
    <w:name w:val="AnnexHeading"/>
    <w:lvl w:ilvl="0">
      <w:start w:val="1"/>
      <w:numFmt w:val="decimal"/>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8"/>
  </w:num>
  <w:num w:numId="2">
    <w:abstractNumId w:val="19"/>
  </w:num>
  <w:num w:numId="3">
    <w:abstractNumId w:val="15"/>
  </w:num>
  <w:num w:numId="4">
    <w:abstractNumId w:val="11"/>
  </w:num>
  <w:num w:numId="5">
    <w:abstractNumId w:val="7"/>
  </w:num>
  <w:num w:numId="6">
    <w:abstractNumId w:val="4"/>
  </w:num>
  <w:num w:numId="7">
    <w:abstractNumId w:val="3"/>
  </w:num>
  <w:num w:numId="8">
    <w:abstractNumId w:val="2"/>
  </w:num>
  <w:num w:numId="9">
    <w:abstractNumId w:val="12"/>
  </w:num>
  <w:num w:numId="10">
    <w:abstractNumId w:val="5"/>
  </w:num>
  <w:num w:numId="11">
    <w:abstractNumId w:val="1"/>
  </w:num>
  <w:num w:numId="12">
    <w:abstractNumId w:val="17"/>
  </w:num>
  <w:num w:numId="13">
    <w:abstractNumId w:val="16"/>
  </w:num>
  <w:num w:numId="14">
    <w:abstractNumId w:val="10"/>
  </w:num>
  <w:num w:numId="15">
    <w:abstractNumId w:val="6"/>
  </w:num>
  <w:num w:numId="16">
    <w:abstractNumId w:val="9"/>
  </w:num>
  <w:num w:numId="17">
    <w:abstractNumId w:val="0"/>
  </w:num>
  <w:num w:numId="18">
    <w:abstractNumId w:val="20"/>
  </w:num>
  <w:num w:numId="19">
    <w:abstractNumId w:val="13"/>
  </w:num>
  <w:num w:numId="20">
    <w:abstractNumId w:val="14"/>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
    <w:docVar w:name="LW_ANNEX_NBR_FIRST" w:val="3"/>
    <w:docVar w:name="LW_ANNEX_NBR_LAST" w:val="3"/>
    <w:docVar w:name="LW_ANNEX_UNIQUE" w:val="0"/>
    <w:docVar w:name="LW_CORRIGENDUM" w:val="&lt;UNUSED&gt;"/>
    <w:docVar w:name="LW_COVERPAGE_EXISTS" w:val="True"/>
    <w:docVar w:name="LW_COVERPAGE_GUID" w:val="254F9A26-267E-479C-9548-433E91625074"/>
    <w:docVar w:name="LW_COVERPAGE_TYPE" w:val="1"/>
    <w:docVar w:name="LW_CROSSREFERENCE" w:val="&lt;UNUSED&gt;"/>
    <w:docVar w:name="LW_DocType" w:val="EUROLOOK"/>
    <w:docVar w:name="LW_EMISSION" w:val="10.4.2019"/>
    <w:docVar w:name="LW_EMISSION_ISODATE" w:val="2019-04-10"/>
    <w:docVar w:name="LW_EMISSION_LOCATION" w:val="BRX"/>
    <w:docVar w:name="LW_EMISSION_PREFIX" w:val="Brüssel,"/>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Kuidas tulla toime Ühendkuningriigi kokkuleppeta liidust väljaastumisega: liidu kooskõlastatud käsitlus_x000b__x000b_Politsei- ja õiguskoostöö kriminaalasjades:_x000b_kooskõlastatud käsitlus Ühendkuningriigi kokkuleppeta liidust väljaastumise korral"/>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_x000b_"/>
    <w:docVar w:name="LW_TYPEACTEPRINCIPAL.CP" w:val="KOMISJONI TEATIS EUROOPA PARLAMENDILE,  EUROOPA ÜLEMKOGULE, NÕUKOGULE, EUROOPA KESKPANGALE, EUROOPA MAJANDUS- JA SOTSIAALKOMITEELE, REGIOONIDE KOMITEELE JA EUROOPA INVESTEERIMISPANGA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t-EE" w:eastAsia="et-EE" w:bidi="et-EE"/>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header" w:semiHidden="0" w:uiPriority="99"/>
    <w:lsdException w:name="footer" w:semiHidden="0"/>
    <w:lsdException w:name="caption" w:semiHidden="0"/>
    <w:lsdException w:name="footnote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Body Text" w:uiPriority="1" w:qFormat="1"/>
    <w:lsdException w:name="Date" w:semiHidden="0"/>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qFormat/>
    <w:pPr>
      <w:keepNext/>
      <w:numPr>
        <w:ilvl w:val="4"/>
        <w:numId w:val="2"/>
      </w:numPr>
      <w:outlineLvl w:val="4"/>
    </w:pPr>
  </w:style>
  <w:style w:type="paragraph" w:styleId="Heading6">
    <w:name w:val="heading 6"/>
    <w:basedOn w:val="Normal"/>
    <w:next w:val="Normal"/>
    <w:semiHidden/>
    <w:qFormat/>
    <w:pPr>
      <w:keepNext/>
      <w:numPr>
        <w:ilvl w:val="5"/>
        <w:numId w:val="2"/>
      </w:numPr>
      <w:outlineLvl w:val="5"/>
    </w:pPr>
  </w:style>
  <w:style w:type="paragraph" w:styleId="Heading7">
    <w:name w:val="heading 7"/>
    <w:basedOn w:val="Normal"/>
    <w:next w:val="Normal"/>
    <w:semiHidden/>
    <w:qFormat/>
    <w:pPr>
      <w:keepNext/>
      <w:numPr>
        <w:ilvl w:val="6"/>
        <w:numId w:val="2"/>
      </w:numPr>
      <w:outlineLvl w:val="6"/>
    </w:pPr>
  </w:style>
  <w:style w:type="paragraph" w:styleId="Heading8">
    <w:name w:val="heading 8"/>
    <w:basedOn w:val="Normal"/>
    <w:next w:val="Normal"/>
    <w:semiHidden/>
    <w:qFormat/>
    <w:pPr>
      <w:keepNext/>
      <w:numPr>
        <w:ilvl w:val="7"/>
        <w:numId w:val="2"/>
      </w:numPr>
      <w:outlineLvl w:val="7"/>
    </w:pPr>
  </w:style>
  <w:style w:type="paragraph" w:styleId="Heading9">
    <w:name w:val="heading 9"/>
    <w:basedOn w:val="Normal"/>
    <w:next w:val="Normal"/>
    <w:semiHidden/>
    <w:qFormat/>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table" w:styleId="TableGrid">
    <w:name w:val="Table Grid"/>
    <w:basedOn w:val="TableNormal"/>
    <w:uiPriority w:val="59"/>
    <w:locked/>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locked/>
    <w:pPr>
      <w:widowControl w:val="0"/>
      <w:spacing w:after="0"/>
      <w:ind w:left="112"/>
      <w:jc w:val="left"/>
    </w:pPr>
    <w:rPr>
      <w:rFonts w:ascii="Calibri" w:eastAsia="Calibri" w:hAnsi="Calibri" w:cstheme="minorBidi"/>
      <w:sz w:val="22"/>
      <w:szCs w:val="22"/>
    </w:rPr>
  </w:style>
  <w:style w:type="character" w:customStyle="1" w:styleId="BodyTextChar">
    <w:name w:val="Body Text Char"/>
    <w:basedOn w:val="DefaultParagraphFont"/>
    <w:link w:val="BodyText"/>
    <w:uiPriority w:val="1"/>
    <w:rPr>
      <w:rFonts w:ascii="Calibri" w:eastAsia="Calibri" w:hAnsi="Calibri" w:cstheme="minorBidi"/>
      <w:sz w:val="22"/>
      <w:szCs w:val="22"/>
      <w:lang w:val="et-EE" w:eastAsia="et-E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Heading1Char">
    <w:name w:val="Heading 1 Char"/>
    <w:basedOn w:val="DefaultParagraphFont"/>
    <w:link w:val="Heading1"/>
    <w:uiPriority w:val="90"/>
    <w:rPr>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t-EE" w:eastAsia="et-EE" w:bidi="et-EE"/>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toc 4" w:uiPriority="99"/>
    <w:lsdException w:name="header" w:semiHidden="0" w:uiPriority="99"/>
    <w:lsdException w:name="footer" w:semiHidden="0"/>
    <w:lsdException w:name="caption" w:semiHidden="0"/>
    <w:lsdException w:name="footnote reference" w:uiPriority="99"/>
    <w:lsdException w:name="macro" w:uiPriority="90"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Body Text" w:uiPriority="1" w:qFormat="1"/>
    <w:lsdException w:name="Date" w:semiHidden="0"/>
    <w:lsdException w:name="Normal Table" w:uiPriority="99" w:unhideWhenUsed="1"/>
    <w:lsdException w:name="No List" w:uiPriority="99"/>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uiPriority="99"/>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qFormat/>
    <w:pPr>
      <w:keepNext/>
      <w:numPr>
        <w:ilvl w:val="4"/>
        <w:numId w:val="2"/>
      </w:numPr>
      <w:outlineLvl w:val="4"/>
    </w:pPr>
  </w:style>
  <w:style w:type="paragraph" w:styleId="Heading6">
    <w:name w:val="heading 6"/>
    <w:basedOn w:val="Normal"/>
    <w:next w:val="Normal"/>
    <w:semiHidden/>
    <w:qFormat/>
    <w:pPr>
      <w:keepNext/>
      <w:numPr>
        <w:ilvl w:val="5"/>
        <w:numId w:val="2"/>
      </w:numPr>
      <w:outlineLvl w:val="5"/>
    </w:pPr>
  </w:style>
  <w:style w:type="paragraph" w:styleId="Heading7">
    <w:name w:val="heading 7"/>
    <w:basedOn w:val="Normal"/>
    <w:next w:val="Normal"/>
    <w:semiHidden/>
    <w:qFormat/>
    <w:pPr>
      <w:keepNext/>
      <w:numPr>
        <w:ilvl w:val="6"/>
        <w:numId w:val="2"/>
      </w:numPr>
      <w:outlineLvl w:val="6"/>
    </w:pPr>
  </w:style>
  <w:style w:type="paragraph" w:styleId="Heading8">
    <w:name w:val="heading 8"/>
    <w:basedOn w:val="Normal"/>
    <w:next w:val="Normal"/>
    <w:semiHidden/>
    <w:qFormat/>
    <w:pPr>
      <w:keepNext/>
      <w:numPr>
        <w:ilvl w:val="7"/>
        <w:numId w:val="2"/>
      </w:numPr>
      <w:outlineLvl w:val="7"/>
    </w:pPr>
  </w:style>
  <w:style w:type="paragraph" w:styleId="Heading9">
    <w:name w:val="heading 9"/>
    <w:basedOn w:val="Normal"/>
    <w:next w:val="Normal"/>
    <w:semiHidden/>
    <w:qFormat/>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contextualSpacing/>
      <w:jc w:val="righ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s>
    </w:pPr>
  </w:style>
  <w:style w:type="paragraph" w:styleId="TOC5">
    <w:name w:val="toc 5"/>
    <w:basedOn w:val="Normal"/>
    <w:next w:val="Normal"/>
    <w:semiHidden/>
    <w:pPr>
      <w:tabs>
        <w:tab w:val="right" w:leader="dot" w:pos="8640"/>
      </w:tabs>
      <w:spacing w:before="120" w:after="60"/>
      <w:ind w:right="720"/>
    </w:pPr>
    <w:rPr>
      <w:b/>
    </w:rPr>
  </w:style>
  <w:style w:type="paragraph" w:styleId="TOC4">
    <w:name w:val="toc 4"/>
    <w:basedOn w:val="Normal"/>
    <w:next w:val="Normal"/>
    <w:uiPriority w:val="99"/>
    <w:semiHidden/>
    <w:pPr>
      <w:tabs>
        <w:tab w:val="left" w:pos="1446"/>
        <w:tab w:val="left" w:pos="1587"/>
        <w:tab w:val="right" w:leader="dot" w:pos="8640"/>
      </w:tabs>
      <w:spacing w:after="60"/>
      <w:ind w:left="1445" w:right="720" w:hanging="850"/>
    </w:pPr>
    <w:rPr>
      <w:noProof/>
      <w:sz w:val="20"/>
    </w:rPr>
  </w:style>
  <w:style w:type="paragraph" w:styleId="TOC3">
    <w:name w:val="toc 3"/>
    <w:basedOn w:val="Normal"/>
    <w:next w:val="Normal"/>
    <w:uiPriority w:val="99"/>
    <w:semiHidden/>
    <w:pPr>
      <w:tabs>
        <w:tab w:val="left" w:pos="595"/>
        <w:tab w:val="right" w:leader="dot" w:pos="8640"/>
      </w:tabs>
      <w:spacing w:after="60"/>
      <w:ind w:left="1190" w:right="720" w:hanging="595"/>
    </w:pPr>
    <w:rPr>
      <w:sz w:val="20"/>
    </w:rPr>
  </w:style>
  <w:style w:type="paragraph" w:styleId="TOC2">
    <w:name w:val="toc 2"/>
    <w:basedOn w:val="Normal"/>
    <w:next w:val="Normal"/>
    <w:uiPriority w:val="39"/>
    <w:semiHidden/>
    <w:pPr>
      <w:tabs>
        <w:tab w:val="left" w:pos="595"/>
        <w:tab w:val="right" w:leader="dot" w:pos="8640"/>
      </w:tabs>
      <w:spacing w:after="60"/>
      <w:ind w:left="595" w:right="720" w:hanging="595"/>
    </w:pPr>
    <w:rPr>
      <w:noProof/>
      <w:sz w:val="20"/>
    </w:rPr>
  </w:style>
  <w:style w:type="paragraph" w:styleId="TOC1">
    <w:name w:val="toc 1"/>
    <w:basedOn w:val="Normal"/>
    <w:next w:val="Normal"/>
    <w:uiPriority w:val="39"/>
    <w:semiHidden/>
    <w:pPr>
      <w:tabs>
        <w:tab w:val="left" w:pos="595"/>
        <w:tab w:val="right" w:leader="dot" w:pos="8640"/>
      </w:tabs>
      <w:spacing w:after="60"/>
      <w:ind w:left="595" w:right="720" w:hanging="595"/>
    </w:pPr>
    <w:rPr>
      <w:b/>
      <w:caps/>
      <w:sz w:val="20"/>
    </w:rPr>
  </w:style>
  <w:style w:type="paragraph" w:styleId="TOCHeading">
    <w:name w:val="TOC Heading"/>
    <w:basedOn w:val="Normal"/>
    <w:next w:val="Normal"/>
    <w:semiHidden/>
    <w:pPr>
      <w:spacing w:after="120"/>
      <w:jc w:val="center"/>
    </w:pPr>
    <w:rPr>
      <w:rFonts w:ascii="Times New Roman Bold" w:hAnsi="Times New Roman Bold"/>
      <w:b/>
      <w:sz w:val="32"/>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pPr>
      <w:spacing w:after="120"/>
      <w:ind w:left="357" w:hanging="357"/>
    </w:pPr>
    <w:rPr>
      <w:sz w:val="20"/>
    </w:r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HistoryTable"/>
    <w:pPr>
      <w:spacing w:after="120"/>
      <w:jc w:val="center"/>
    </w:pPr>
    <w:rPr>
      <w:rFonts w:ascii="Times New Roman Bold" w:hAnsi="Times New Roman Bold"/>
      <w:b/>
      <w:sz w:val="32"/>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customStyle="1" w:styleId="AnnexHeading1">
    <w:name w:val="Annex Heading 1"/>
    <w:basedOn w:val="Normal"/>
    <w:next w:val="Normal"/>
    <w:pPr>
      <w:pageBreakBefore/>
      <w:spacing w:before="240"/>
      <w:outlineLvl w:val="0"/>
    </w:pPr>
    <w:rPr>
      <w:b/>
      <w:smallCaps/>
      <w:sz w:val="36"/>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numbering" w:customStyle="1" w:styleId="ImportedStyle1">
    <w:name w:val="Imported Style 1"/>
    <w:pPr>
      <w:numPr>
        <w:numId w:val="19"/>
      </w:numPr>
    </w:pPr>
  </w:style>
  <w:style w:type="character" w:customStyle="1" w:styleId="FootnoteTextChar">
    <w:name w:val="Footnote Text Char"/>
    <w:basedOn w:val="DefaultParagraphFont"/>
    <w:link w:val="FootnoteText"/>
    <w:rPr>
      <w:sz w:val="20"/>
    </w:rPr>
  </w:style>
  <w:style w:type="character" w:styleId="FootnoteReference">
    <w:name w:val="footnote reference"/>
    <w:basedOn w:val="DefaultParagraphFont"/>
    <w:uiPriority w:val="99"/>
    <w:semiHidden/>
    <w:locked/>
    <w:rPr>
      <w:vertAlign w:val="superscript"/>
    </w:rPr>
  </w:style>
  <w:style w:type="character" w:styleId="Hyperlink">
    <w:name w:val="Hyperlink"/>
    <w:basedOn w:val="DefaultParagraphFont"/>
    <w:semiHidden/>
    <w:locked/>
    <w:rPr>
      <w:color w:val="0563C1" w:themeColor="hyperlink"/>
      <w:u w:val="single"/>
    </w:rPr>
  </w:style>
  <w:style w:type="table" w:styleId="TableGrid">
    <w:name w:val="Table Grid"/>
    <w:basedOn w:val="TableNormal"/>
    <w:uiPriority w:val="59"/>
    <w:locked/>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locked/>
    <w:pPr>
      <w:widowControl w:val="0"/>
      <w:spacing w:after="0"/>
      <w:ind w:left="112"/>
      <w:jc w:val="left"/>
    </w:pPr>
    <w:rPr>
      <w:rFonts w:ascii="Calibri" w:eastAsia="Calibri" w:hAnsi="Calibri" w:cstheme="minorBidi"/>
      <w:sz w:val="22"/>
      <w:szCs w:val="22"/>
    </w:rPr>
  </w:style>
  <w:style w:type="character" w:customStyle="1" w:styleId="BodyTextChar">
    <w:name w:val="Body Text Char"/>
    <w:basedOn w:val="DefaultParagraphFont"/>
    <w:link w:val="BodyText"/>
    <w:uiPriority w:val="1"/>
    <w:rPr>
      <w:rFonts w:ascii="Calibri" w:eastAsia="Calibri" w:hAnsi="Calibri" w:cstheme="minorBidi"/>
      <w:sz w:val="22"/>
      <w:szCs w:val="22"/>
      <w:lang w:val="et-EE" w:eastAsia="et-EE"/>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Heading1Char">
    <w:name w:val="Heading 1 Char"/>
    <w:basedOn w:val="DefaultParagraphFont"/>
    <w:link w:val="Heading1"/>
    <w:uiPriority w:val="90"/>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613">
      <w:bodyDiv w:val="1"/>
      <w:marLeft w:val="0"/>
      <w:marRight w:val="0"/>
      <w:marTop w:val="0"/>
      <w:marBottom w:val="0"/>
      <w:divBdr>
        <w:top w:val="none" w:sz="0" w:space="0" w:color="auto"/>
        <w:left w:val="none" w:sz="0" w:space="0" w:color="auto"/>
        <w:bottom w:val="none" w:sz="0" w:space="0" w:color="auto"/>
        <w:right w:val="none" w:sz="0" w:space="0" w:color="auto"/>
      </w:divBdr>
    </w:div>
    <w:div w:id="398133988">
      <w:bodyDiv w:val="1"/>
      <w:marLeft w:val="0"/>
      <w:marRight w:val="0"/>
      <w:marTop w:val="0"/>
      <w:marBottom w:val="0"/>
      <w:divBdr>
        <w:top w:val="none" w:sz="0" w:space="0" w:color="auto"/>
        <w:left w:val="none" w:sz="0" w:space="0" w:color="auto"/>
        <w:bottom w:val="none" w:sz="0" w:space="0" w:color="auto"/>
        <w:right w:val="none" w:sz="0" w:space="0" w:color="auto"/>
      </w:divBdr>
      <w:divsChild>
        <w:div w:id="581988272">
          <w:marLeft w:val="0"/>
          <w:marRight w:val="0"/>
          <w:marTop w:val="0"/>
          <w:marBottom w:val="0"/>
          <w:divBdr>
            <w:top w:val="none" w:sz="0" w:space="0" w:color="auto"/>
            <w:left w:val="none" w:sz="0" w:space="0" w:color="auto"/>
            <w:bottom w:val="none" w:sz="0" w:space="0" w:color="auto"/>
            <w:right w:val="none" w:sz="0" w:space="0" w:color="auto"/>
          </w:divBdr>
        </w:div>
        <w:div w:id="1346637533">
          <w:marLeft w:val="0"/>
          <w:marRight w:val="0"/>
          <w:marTop w:val="0"/>
          <w:marBottom w:val="0"/>
          <w:divBdr>
            <w:top w:val="none" w:sz="0" w:space="0" w:color="auto"/>
            <w:left w:val="none" w:sz="0" w:space="0" w:color="auto"/>
            <w:bottom w:val="none" w:sz="0" w:space="0" w:color="auto"/>
            <w:right w:val="none" w:sz="0" w:space="0" w:color="auto"/>
          </w:divBdr>
        </w:div>
        <w:div w:id="1127504172">
          <w:marLeft w:val="0"/>
          <w:marRight w:val="0"/>
          <w:marTop w:val="0"/>
          <w:marBottom w:val="0"/>
          <w:divBdr>
            <w:top w:val="none" w:sz="0" w:space="0" w:color="auto"/>
            <w:left w:val="none" w:sz="0" w:space="0" w:color="auto"/>
            <w:bottom w:val="none" w:sz="0" w:space="0" w:color="auto"/>
            <w:right w:val="none" w:sz="0" w:space="0" w:color="auto"/>
          </w:divBdr>
        </w:div>
      </w:divsChild>
    </w:div>
    <w:div w:id="1033118567">
      <w:bodyDiv w:val="1"/>
      <w:marLeft w:val="0"/>
      <w:marRight w:val="0"/>
      <w:marTop w:val="0"/>
      <w:marBottom w:val="0"/>
      <w:divBdr>
        <w:top w:val="none" w:sz="0" w:space="0" w:color="auto"/>
        <w:left w:val="none" w:sz="0" w:space="0" w:color="auto"/>
        <w:bottom w:val="none" w:sz="0" w:space="0" w:color="auto"/>
        <w:right w:val="none" w:sz="0" w:space="0" w:color="auto"/>
      </w:divBdr>
    </w:div>
    <w:div w:id="1051345696">
      <w:bodyDiv w:val="1"/>
      <w:marLeft w:val="0"/>
      <w:marRight w:val="0"/>
      <w:marTop w:val="0"/>
      <w:marBottom w:val="0"/>
      <w:divBdr>
        <w:top w:val="none" w:sz="0" w:space="0" w:color="auto"/>
        <w:left w:val="none" w:sz="0" w:space="0" w:color="auto"/>
        <w:bottom w:val="none" w:sz="0" w:space="0" w:color="auto"/>
        <w:right w:val="none" w:sz="0" w:space="0" w:color="auto"/>
      </w:divBdr>
    </w:div>
    <w:div w:id="1678384263">
      <w:bodyDiv w:val="1"/>
      <w:marLeft w:val="0"/>
      <w:marRight w:val="0"/>
      <w:marTop w:val="0"/>
      <w:marBottom w:val="0"/>
      <w:divBdr>
        <w:top w:val="none" w:sz="0" w:space="0" w:color="auto"/>
        <w:left w:val="none" w:sz="0" w:space="0" w:color="auto"/>
        <w:bottom w:val="none" w:sz="0" w:space="0" w:color="auto"/>
        <w:right w:val="none" w:sz="0" w:space="0" w:color="auto"/>
      </w:divBdr>
    </w:div>
    <w:div w:id="185784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c.europa.eu/info/brexit/brexit-preparedness/preparedness-notices_en" TargetMode="External"/><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FooterFax>Fax</FooterFax>
  <FooterOffice>Office:</FooterOffice>
  <SecurityOlafInvestigations>OLAF investigations</SecurityOlafInvestigations>
  <TechHistory>Document History</TechHistory>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TechHistoryComment>Comment</TechHistoryCommen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5.xml><?xml version="1.0" encoding="utf-8"?>
<EurolookProperties>
  <ProductCustomizationId>EC</ProductCustomizationId>
  <Created>
    <Version>10.0.38495.0</Version>
    <Date>2019-04-05T17:56:24</Date>
    <Language>EN</Language>
  </Created>
  <Edited>
    <Version>10.0.38495.0</Version>
    <Date>2019-04-09T20:21:05</Date>
  </Edited>
  <DocumentModel>
    <Id>6cbda13a-4db2-46c6-876a-ef72275827ef</Id>
    <Name>Report</Name>
  </DocumentModel>
  <DocumentDate>2019-04-05T17:56:24</DocumentDate>
  <DocumentVersion>0.1</DocumentVersion>
  <CompatibilityMode>Eurolook10</CompatibilityMode>
  <Address/>
</Eurolook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6DB34209-E859-4B82-A3DD-06A92C72615C}">
  <ds:schemaRefs>
    <ds:schemaRef ds:uri="office.server.policy"/>
  </ds:schemaRefs>
</ds:datastoreItem>
</file>

<file path=customXml/itemProps3.xml><?xml version="1.0" encoding="utf-8"?>
<ds:datastoreItem xmlns:ds="http://schemas.openxmlformats.org/officeDocument/2006/customXml" ds:itemID="{B9E471EE-83A7-483D-B898-B9ED6DC4E8A4}">
  <ds:schemaRefs>
    <ds:schemaRef ds:uri="http://schemas.microsoft.com/sharepoint/v3/contenttype/forms"/>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E3972FAA-CEB2-4BE3-9A7B-C781970E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3DD64D9-D310-4D3E-B7A8-915F4A78BF9E}">
  <ds:schemaRefs>
    <ds:schemaRef ds:uri="http://www.w3.org/XML/1998/namespace"/>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fields"/>
    <ds:schemaRef ds:uri="http://schemas.microsoft.com/sharepoint/v3"/>
    <ds:schemaRef ds:uri="http://purl.org/dc/terms/"/>
  </ds:schemaRefs>
</ds:datastoreItem>
</file>

<file path=customXml/itemProps8.xml><?xml version="1.0" encoding="utf-8"?>
<ds:datastoreItem xmlns:ds="http://schemas.openxmlformats.org/officeDocument/2006/customXml" ds:itemID="{9FA77242-592A-44C0-9E50-4931B8A0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1885</Words>
  <Characters>15176</Characters>
  <Application>Microsoft Office Word</Application>
  <DocSecurity>0</DocSecurity>
  <PresentationFormat>Microsoft Word 14.0</PresentationFormat>
  <Lines>309</Lines>
  <Paragraphs>105</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THERACE Christine (SG)</dc:creator>
  <cp:lastModifiedBy>WES PDFC Administrator</cp:lastModifiedBy>
  <cp:revision>18</cp:revision>
  <cp:lastPrinted>2019-04-09T16:22:00Z</cp:lastPrinted>
  <dcterms:created xsi:type="dcterms:W3CDTF">2019-04-10T09:00:00Z</dcterms:created>
  <dcterms:modified xsi:type="dcterms:W3CDTF">2019-04-10T10:38:00Z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First annex">
    <vt:lpwstr>3</vt:lpwstr>
  </property>
  <property fmtid="{D5CDD505-2E9C-101B-9397-08002B2CF9AE}" pid="6" name="Last annex">
    <vt:lpwstr>3</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Created using">
    <vt:lpwstr>LW 6.0.1, Build 20180503</vt:lpwstr>
  </property>
  <property fmtid="{D5CDD505-2E9C-101B-9397-08002B2CF9AE}" pid="12" name="Last edited using">
    <vt:lpwstr>LW 6.0.1, Build 20180503</vt:lpwstr>
  </property>
  <property fmtid="{D5CDD505-2E9C-101B-9397-08002B2CF9AE}" pid="13" name="ContentTypeId">
    <vt:lpwstr>0x010100258AA79CEB83498886A3A0868112325000D33D44CF0C8FEB45875F235DEEF2E1B9</vt:lpwstr>
  </property>
</Properties>
</file>