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B8" w:rsidRDefault="00941F7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85C56DD-846C-45E9-9041-9446FADF2148" style="width:450.6pt;height:448.15pt">
            <v:imagedata r:id="rId15" o:title=""/>
          </v:shape>
        </w:pict>
      </w:r>
    </w:p>
    <w:bookmarkEnd w:id="0"/>
    <w:p w:rsidR="00747CB8" w:rsidRDefault="00747CB8">
      <w:pPr>
        <w:rPr>
          <w:noProof/>
        </w:rPr>
        <w:sectPr w:rsidR="00747CB8">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747CB8" w:rsidRDefault="00941F73">
      <w:pPr>
        <w:pStyle w:val="Heading1"/>
        <w:rPr>
          <w:noProof/>
        </w:rPr>
      </w:pPr>
      <w:r>
        <w:rPr>
          <w:noProof/>
        </w:rPr>
        <w:lastRenderedPageBreak/>
        <w:t>Uvod</w:t>
      </w:r>
    </w:p>
    <w:p w:rsidR="00747CB8" w:rsidRDefault="00941F73">
      <w:pPr>
        <w:pStyle w:val="Text1"/>
        <w:ind w:left="0"/>
        <w:rPr>
          <w:noProof/>
        </w:rPr>
      </w:pPr>
      <w:r>
        <w:rPr>
          <w:noProof/>
        </w:rPr>
        <w:t xml:space="preserve">Združeno kraljestvo je 29. marca 2017 podalo uradno obvestilo, da namerava izstopiti iz Unije. </w:t>
      </w:r>
      <w:r>
        <w:rPr>
          <w:noProof/>
          <w:color w:val="000000"/>
          <w:u w:color="000000"/>
          <w:bdr w:val="nil"/>
        </w:rPr>
        <w:t xml:space="preserve">Komisija še vedno meni, da je najprimernejša </w:t>
      </w:r>
      <w:r>
        <w:rPr>
          <w:noProof/>
          <w:color w:val="000000"/>
          <w:u w:color="000000"/>
          <w:bdr w:val="nil"/>
        </w:rPr>
        <w:t>rešitev urejen izstop Združenega kraljestva iz Unije na podlagi sporazuma o izstopu, o katerem je bil dosežen dogovor z vlado Združenega kraljestva in ki ga je Evropski svet (člen 50) potrdil 25. novembra 2018. Komisija svoja prizadevanja še naprej usmerja</w:t>
      </w:r>
      <w:r>
        <w:rPr>
          <w:noProof/>
          <w:color w:val="000000"/>
          <w:u w:color="000000"/>
          <w:bdr w:val="nil"/>
        </w:rPr>
        <w:t xml:space="preserve"> v ta cilj. Vendar pa se je dva dneva pred 12. aprilom 2019, ko se izteče rok, kot ga je podaljšal Evropski svet</w:t>
      </w:r>
      <w:r>
        <w:rPr>
          <w:noProof/>
          <w:color w:val="000000"/>
          <w:u w:color="000000"/>
          <w:bdr w:val="nil"/>
          <w:vertAlign w:val="superscript"/>
        </w:rPr>
        <w:footnoteReference w:id="1"/>
      </w:r>
      <w:r>
        <w:rPr>
          <w:noProof/>
          <w:color w:val="000000"/>
          <w:u w:color="000000"/>
          <w:bdr w:val="nil"/>
        </w:rPr>
        <w:t>, verjetnost neurejenega izstopa Združenega kraljestva iz Unije bistveno povečala.</w:t>
      </w:r>
      <w:r>
        <w:rPr>
          <w:noProof/>
        </w:rPr>
        <w:t xml:space="preserve"> </w:t>
      </w:r>
    </w:p>
    <w:p w:rsidR="00747CB8" w:rsidRDefault="00941F73">
      <w:pPr>
        <w:pStyle w:val="Heading1"/>
        <w:rPr>
          <w:noProof/>
        </w:rPr>
      </w:pPr>
      <w:r>
        <w:rPr>
          <w:noProof/>
        </w:rPr>
        <w:t>Prenos podatkov v Združeno kraljestvo v primeru izstopa bre</w:t>
      </w:r>
      <w:r>
        <w:rPr>
          <w:noProof/>
        </w:rPr>
        <w:t>z dogovora</w:t>
      </w:r>
    </w:p>
    <w:p w:rsidR="00747CB8" w:rsidRDefault="00941F73">
      <w:pPr>
        <w:pStyle w:val="Text1"/>
        <w:ind w:left="0"/>
        <w:rPr>
          <w:noProof/>
        </w:rPr>
      </w:pPr>
      <w:r>
        <w:rPr>
          <w:noProof/>
        </w:rPr>
        <w:t>Unija ima celovit sklop pravil, ki urejajo prenos osebnih podatkov v tretje države. Na tej podlagi bo potekal tudi prenos podatkov v Združeno kraljestvo, če pride do izstopa brez dogovora. Ta pravila vključujejo zlasti Splošno uredbo o varstvu p</w:t>
      </w:r>
      <w:r>
        <w:rPr>
          <w:noProof/>
        </w:rPr>
        <w:t>odatkov</w:t>
      </w:r>
      <w:r>
        <w:rPr>
          <w:noProof/>
          <w:vertAlign w:val="superscript"/>
        </w:rPr>
        <w:footnoteReference w:id="2"/>
      </w:r>
      <w:r>
        <w:rPr>
          <w:noProof/>
        </w:rPr>
        <w:t xml:space="preserve"> in direktivo o varstvu podatkov pri preprečevanju, odkrivanju in preiskovanju kaznivih dejanj</w:t>
      </w:r>
      <w:r>
        <w:rPr>
          <w:noProof/>
          <w:vertAlign w:val="superscript"/>
        </w:rPr>
        <w:footnoteReference w:id="3"/>
      </w:r>
      <w:r>
        <w:rPr>
          <w:noProof/>
        </w:rPr>
        <w:t xml:space="preserve">. To obvestilo se osredotoča predvsem na orodja iz splošne uredbe o varstvu podatkov. </w:t>
      </w:r>
    </w:p>
    <w:p w:rsidR="00747CB8" w:rsidRDefault="00941F73">
      <w:pPr>
        <w:pStyle w:val="Text1"/>
        <w:ind w:left="0"/>
        <w:rPr>
          <w:noProof/>
        </w:rPr>
      </w:pPr>
      <w:r>
        <w:rPr>
          <w:noProof/>
        </w:rPr>
        <w:t xml:space="preserve">Kot je navedeno v sporočilu Komisije </w:t>
      </w:r>
      <w:bookmarkStart w:id="1" w:name="_GoBack"/>
      <w:r>
        <w:rPr>
          <w:noProof/>
        </w:rPr>
        <w:t xml:space="preserve">o </w:t>
      </w:r>
      <w:hyperlink r:id="rId22">
        <w:r w:rsidRPr="00941F73">
          <w:t>pripravljenosti na izstop Združenega kraljestva iz EU z dne 13. novembra 2018</w:t>
        </w:r>
      </w:hyperlink>
      <w:r>
        <w:rPr>
          <w:noProof/>
        </w:rPr>
        <w:t xml:space="preserve">, Komisija </w:t>
      </w:r>
      <w:bookmarkEnd w:id="1"/>
      <w:r>
        <w:rPr>
          <w:noProof/>
        </w:rPr>
        <w:t>meni, da obstoječa orodja za izmenjavo podatkov zadostujejo za zadovoljitev takojšnjih potreb prenosa po</w:t>
      </w:r>
      <w:r>
        <w:rPr>
          <w:noProof/>
        </w:rPr>
        <w:t>datkov v Združeno kraljestvo v primeru scenarija brez dogovora. Ta orodja se že uporabljajo za prenose podatkov v vse države po svetu, razen za trinajst tretjih držav ali ozemelj, ki so (delno) zajeti v enem od sklepov o ustreznosti</w:t>
      </w:r>
      <w:r>
        <w:rPr>
          <w:noProof/>
          <w:vertAlign w:val="superscript"/>
        </w:rPr>
        <w:footnoteReference w:id="4"/>
      </w:r>
      <w:r>
        <w:rPr>
          <w:noProof/>
        </w:rPr>
        <w:t>. Glede na navedeno Kom</w:t>
      </w:r>
      <w:r>
        <w:rPr>
          <w:noProof/>
        </w:rPr>
        <w:t xml:space="preserve">isija na tem področju ni sprejela ukrepa za nepredvidljive razmere in v tej fazi ne namerava sprejeti sklepa o ustreznosti za Združeno kraljestvo. </w:t>
      </w:r>
    </w:p>
    <w:p w:rsidR="00747CB8" w:rsidRDefault="00941F73">
      <w:pPr>
        <w:pStyle w:val="Text1"/>
        <w:ind w:left="0"/>
        <w:rPr>
          <w:noProof/>
        </w:rPr>
      </w:pPr>
      <w:r>
        <w:rPr>
          <w:noProof/>
        </w:rPr>
        <w:t xml:space="preserve">Določbe iz poglavja V Splošne uredbe o varstvu podatkov zagotavljajo širok nabor orodij za prenose podatkov </w:t>
      </w:r>
      <w:r>
        <w:rPr>
          <w:noProof/>
        </w:rPr>
        <w:t xml:space="preserve">v tretje države tako za zasebne subjekte kot javne organe, kot so: </w:t>
      </w:r>
    </w:p>
    <w:p w:rsidR="00747CB8" w:rsidRDefault="00941F73">
      <w:pPr>
        <w:pStyle w:val="Text1"/>
        <w:numPr>
          <w:ilvl w:val="0"/>
          <w:numId w:val="21"/>
        </w:numPr>
        <w:ind w:left="284" w:hanging="284"/>
        <w:rPr>
          <w:noProof/>
        </w:rPr>
      </w:pPr>
      <w:r>
        <w:rPr>
          <w:b/>
          <w:noProof/>
        </w:rPr>
        <w:t>Standardne pogodbene klavzule</w:t>
      </w:r>
      <w:r>
        <w:rPr>
          <w:noProof/>
        </w:rPr>
        <w:t xml:space="preserve">: Komisija je odobrila tri sklope standardnih pogodbenih klavzul, na katere se lahko poslovni subjekti neposredno sklicujejo v </w:t>
      </w:r>
      <w:r>
        <w:rPr>
          <w:noProof/>
        </w:rPr>
        <w:lastRenderedPageBreak/>
        <w:t>zvezi s svojimi prenosi v tretje</w:t>
      </w:r>
      <w:r>
        <w:rPr>
          <w:noProof/>
        </w:rPr>
        <w:t xml:space="preserve"> države. Te standardne klavzule so na voljo na spletni strani Komisije</w:t>
      </w:r>
      <w:r>
        <w:rPr>
          <w:noProof/>
          <w:vertAlign w:val="superscript"/>
        </w:rPr>
        <w:footnoteReference w:id="5"/>
      </w:r>
      <w:r>
        <w:rPr>
          <w:noProof/>
        </w:rPr>
        <w:t xml:space="preserve">. </w:t>
      </w:r>
    </w:p>
    <w:p w:rsidR="00747CB8" w:rsidRDefault="00941F73">
      <w:pPr>
        <w:pStyle w:val="Text1"/>
        <w:numPr>
          <w:ilvl w:val="0"/>
          <w:numId w:val="21"/>
        </w:numPr>
        <w:ind w:left="284" w:hanging="284"/>
        <w:rPr>
          <w:noProof/>
        </w:rPr>
      </w:pPr>
      <w:r>
        <w:rPr>
          <w:b/>
          <w:noProof/>
        </w:rPr>
        <w:t>Zavezujoča poslovna pravila</w:t>
      </w:r>
      <w:r>
        <w:rPr>
          <w:noProof/>
        </w:rPr>
        <w:t>: Pravno zavezujoča pravila o varstvu podatkov, ki jih je odobril pristojni organ za varstvo podatkov, se lahko uporabljajo znotraj skupine podjetij.</w:t>
      </w:r>
    </w:p>
    <w:p w:rsidR="00747CB8" w:rsidRDefault="00941F73">
      <w:pPr>
        <w:pStyle w:val="Text1"/>
        <w:numPr>
          <w:ilvl w:val="0"/>
          <w:numId w:val="21"/>
        </w:numPr>
        <w:ind w:left="284" w:hanging="284"/>
        <w:rPr>
          <w:noProof/>
        </w:rPr>
      </w:pPr>
      <w:r>
        <w:rPr>
          <w:b/>
          <w:noProof/>
        </w:rPr>
        <w:t>Kodek</w:t>
      </w:r>
      <w:r>
        <w:rPr>
          <w:b/>
          <w:noProof/>
        </w:rPr>
        <w:t xml:space="preserve">si ravnanja in mehanizmi potrjevanja: </w:t>
      </w:r>
      <w:r>
        <w:rPr>
          <w:noProof/>
        </w:rPr>
        <w:t>Ta orodja lahko zagotavljajo ustrezne zaščitne ukrepe za prenos osebnih podatkov, če vsebujejo zavezujoče in izvršljive obveznosti organizacije v tretji državi, vključno v zvezi s pravicami posameznikov.</w:t>
      </w:r>
    </w:p>
    <w:p w:rsidR="00747CB8" w:rsidRDefault="00941F73">
      <w:pPr>
        <w:pStyle w:val="Text1"/>
        <w:numPr>
          <w:ilvl w:val="0"/>
          <w:numId w:val="21"/>
        </w:numPr>
        <w:ind w:left="284" w:hanging="284"/>
        <w:rPr>
          <w:noProof/>
        </w:rPr>
      </w:pPr>
      <w:r>
        <w:rPr>
          <w:b/>
          <w:noProof/>
        </w:rPr>
        <w:t>Odstopanja</w:t>
      </w:r>
      <w:r>
        <w:rPr>
          <w:noProof/>
        </w:rPr>
        <w:t xml:space="preserve">, tj. „zakonska podlaga“ za prenose, kot so npr. privolitev, izvedba naročila, uveljavljanje pravnih zahtevkov ali pomembni razlogi javnega interesa (za nadaljnje informacije o odstopanjih glej oddelek 3). </w:t>
      </w:r>
    </w:p>
    <w:p w:rsidR="00747CB8" w:rsidRDefault="00941F73">
      <w:pPr>
        <w:pStyle w:val="Text1"/>
        <w:ind w:left="0"/>
        <w:rPr>
          <w:noProof/>
        </w:rPr>
      </w:pPr>
      <w:r>
        <w:rPr>
          <w:noProof/>
        </w:rPr>
        <w:t>Več informacij je na voljo v obvestilu o pripravl</w:t>
      </w:r>
      <w:r>
        <w:rPr>
          <w:noProof/>
        </w:rPr>
        <w:t>jenosti na izstop Združenega kraljestva na področju varstva podatkov</w:t>
      </w:r>
      <w:r>
        <w:rPr>
          <w:noProof/>
          <w:vertAlign w:val="superscript"/>
        </w:rPr>
        <w:footnoteReference w:id="6"/>
      </w:r>
      <w:r>
        <w:rPr>
          <w:noProof/>
        </w:rPr>
        <w:t xml:space="preserve"> in informativnem obvestilu, ki ga je Evropski odbor za varstvo podatkov izdal v zvezi s prenosom podatkov na podlagi Splošne uredbe o varstvu podatkov v primeru izstopa Združenega kralje</w:t>
      </w:r>
      <w:r>
        <w:rPr>
          <w:noProof/>
        </w:rPr>
        <w:t>stva iz EU brez dogovora</w:t>
      </w:r>
      <w:r>
        <w:rPr>
          <w:noProof/>
          <w:vertAlign w:val="superscript"/>
        </w:rPr>
        <w:footnoteReference w:id="7"/>
      </w:r>
      <w:r>
        <w:rPr>
          <w:noProof/>
        </w:rPr>
        <w:t>.</w:t>
      </w:r>
    </w:p>
    <w:p w:rsidR="00747CB8" w:rsidRDefault="00941F73">
      <w:pPr>
        <w:pStyle w:val="Heading1"/>
        <w:rPr>
          <w:noProof/>
        </w:rPr>
      </w:pPr>
      <w:r>
        <w:rPr>
          <w:noProof/>
        </w:rPr>
        <w:t>Praktični ukrepi, ki jih morajo sprejeti izvozniki podatkov iz EU (podjetja in organi), da se zagotovi nadaljnja skladnost s pravili EU</w:t>
      </w:r>
    </w:p>
    <w:p w:rsidR="00747CB8" w:rsidRDefault="00941F73">
      <w:pPr>
        <w:pStyle w:val="Text1"/>
        <w:ind w:left="0"/>
        <w:rPr>
          <w:noProof/>
        </w:rPr>
      </w:pPr>
      <w:r>
        <w:rPr>
          <w:noProof/>
        </w:rPr>
        <w:t xml:space="preserve">Izvozniki podatkov bi morali uporabljati orodja, ki so po njihovem mnenju najprimernejša za </w:t>
      </w:r>
      <w:r>
        <w:rPr>
          <w:noProof/>
        </w:rPr>
        <w:t>prenos posameznih podatkov v Združeno kraljestvo.</w:t>
      </w:r>
    </w:p>
    <w:p w:rsidR="00747CB8" w:rsidRDefault="00941F73">
      <w:pPr>
        <w:pStyle w:val="Text1"/>
        <w:ind w:left="0"/>
        <w:rPr>
          <w:noProof/>
        </w:rPr>
      </w:pPr>
      <w:r>
        <w:rPr>
          <w:noProof/>
        </w:rPr>
        <w:t>Pred prenosom podatkov v Združeno kraljestvo bi morali izvozniki podatkov:</w:t>
      </w:r>
    </w:p>
    <w:p w:rsidR="00747CB8" w:rsidRDefault="00941F73">
      <w:pPr>
        <w:pStyle w:val="Text1"/>
        <w:numPr>
          <w:ilvl w:val="0"/>
          <w:numId w:val="22"/>
        </w:numPr>
        <w:ind w:left="284" w:hanging="284"/>
        <w:rPr>
          <w:noProof/>
        </w:rPr>
      </w:pPr>
      <w:r>
        <w:rPr>
          <w:noProof/>
        </w:rPr>
        <w:t>ugotoviti, katere dejavnosti obdelave bodo vključevale prenos osebnih podatkov v Združeno kraljestvo;</w:t>
      </w:r>
    </w:p>
    <w:p w:rsidR="00747CB8" w:rsidRDefault="00941F73">
      <w:pPr>
        <w:pStyle w:val="Text1"/>
        <w:numPr>
          <w:ilvl w:val="0"/>
          <w:numId w:val="22"/>
        </w:numPr>
        <w:ind w:left="284" w:hanging="284"/>
        <w:rPr>
          <w:noProof/>
        </w:rPr>
      </w:pPr>
      <w:r>
        <w:rPr>
          <w:noProof/>
        </w:rPr>
        <w:t xml:space="preserve">določiti ustrezni instrument </w:t>
      </w:r>
      <w:r>
        <w:rPr>
          <w:noProof/>
        </w:rPr>
        <w:t>za prenos podatkov glede na razmere;</w:t>
      </w:r>
    </w:p>
    <w:p w:rsidR="00747CB8" w:rsidRDefault="00941F73">
      <w:pPr>
        <w:pStyle w:val="Text1"/>
        <w:numPr>
          <w:ilvl w:val="0"/>
          <w:numId w:val="22"/>
        </w:numPr>
        <w:ind w:left="284" w:hanging="284"/>
        <w:rPr>
          <w:noProof/>
        </w:rPr>
      </w:pPr>
      <w:r>
        <w:rPr>
          <w:noProof/>
        </w:rPr>
        <w:t xml:space="preserve">pripraviti izbrani instrument za prenos podatkov, tako da bo pripravljen na datum izstopa; </w:t>
      </w:r>
    </w:p>
    <w:p w:rsidR="00747CB8" w:rsidRDefault="00941F73">
      <w:pPr>
        <w:pStyle w:val="Text1"/>
        <w:numPr>
          <w:ilvl w:val="0"/>
          <w:numId w:val="22"/>
        </w:numPr>
        <w:ind w:left="284" w:hanging="284"/>
        <w:rPr>
          <w:noProof/>
        </w:rPr>
      </w:pPr>
      <w:r>
        <w:rPr>
          <w:noProof/>
        </w:rPr>
        <w:t>v notranji dokumentaciji navesti, da bodo opravljeni prenosi v Združeno kraljestvo; in</w:t>
      </w:r>
    </w:p>
    <w:p w:rsidR="00747CB8" w:rsidRDefault="00941F73">
      <w:pPr>
        <w:pStyle w:val="Text1"/>
        <w:numPr>
          <w:ilvl w:val="0"/>
          <w:numId w:val="22"/>
        </w:numPr>
        <w:ind w:left="284" w:hanging="284"/>
        <w:rPr>
          <w:noProof/>
        </w:rPr>
      </w:pPr>
      <w:r>
        <w:rPr>
          <w:noProof/>
        </w:rPr>
        <w:t xml:space="preserve">po potrebi ustrezno posodobiti izjavo o </w:t>
      </w:r>
      <w:r>
        <w:rPr>
          <w:noProof/>
        </w:rPr>
        <w:t>varstvu osebnih podatkov, da obvestijo posameznike.</w:t>
      </w:r>
    </w:p>
    <w:p w:rsidR="00747CB8" w:rsidRDefault="00941F73">
      <w:pPr>
        <w:pStyle w:val="Text1"/>
        <w:ind w:left="0"/>
        <w:rPr>
          <w:i/>
          <w:noProof/>
        </w:rPr>
      </w:pPr>
      <w:r>
        <w:rPr>
          <w:i/>
          <w:noProof/>
        </w:rPr>
        <w:t>Prenos podatkov na podlagi odstopanj</w:t>
      </w:r>
    </w:p>
    <w:p w:rsidR="00747CB8" w:rsidRDefault="00941F73">
      <w:pPr>
        <w:pStyle w:val="Text1"/>
        <w:ind w:left="0"/>
        <w:rPr>
          <w:noProof/>
        </w:rPr>
      </w:pPr>
      <w:r>
        <w:rPr>
          <w:noProof/>
        </w:rPr>
        <w:t>Kar zadeva prenose podatkov v Združeno kraljestvo, ki temeljijo na odstopanjih</w:t>
      </w:r>
      <w:r>
        <w:rPr>
          <w:i/>
          <w:noProof/>
          <w:vertAlign w:val="superscript"/>
        </w:rPr>
        <w:footnoteReference w:id="8"/>
      </w:r>
      <w:r>
        <w:rPr>
          <w:noProof/>
        </w:rPr>
        <w:t>, bi se morali upravljavci podatkov zavedati, da so ta odstopanja izjeme od pravila o ob</w:t>
      </w:r>
      <w:r>
        <w:rPr>
          <w:noProof/>
        </w:rPr>
        <w:t xml:space="preserve">vezni </w:t>
      </w:r>
      <w:r>
        <w:rPr>
          <w:noProof/>
        </w:rPr>
        <w:lastRenderedPageBreak/>
        <w:t>uvedbi ustreznih zaščitnih ukrepov. Zato jih je treba razlagati restriktivno in se večinoma nanašajo na dejavnosti obdelave, ki so priložnostne in se ne ponavljajo.</w:t>
      </w:r>
    </w:p>
    <w:p w:rsidR="00747CB8" w:rsidRDefault="00941F73">
      <w:pPr>
        <w:pStyle w:val="Text1"/>
        <w:ind w:left="0"/>
        <w:rPr>
          <w:noProof/>
        </w:rPr>
      </w:pPr>
      <w:r>
        <w:rPr>
          <w:noProof/>
        </w:rPr>
        <w:t xml:space="preserve">Ta odstopanja med drugim vključujejo naslednje primere: </w:t>
      </w:r>
    </w:p>
    <w:p w:rsidR="00747CB8" w:rsidRDefault="00941F73">
      <w:pPr>
        <w:pStyle w:val="Text1"/>
        <w:numPr>
          <w:ilvl w:val="0"/>
          <w:numId w:val="21"/>
        </w:numPr>
        <w:ind w:left="284" w:hanging="284"/>
        <w:rPr>
          <w:noProof/>
        </w:rPr>
      </w:pPr>
      <w:r>
        <w:rPr>
          <w:noProof/>
        </w:rPr>
        <w:t>če je posameznik izrecno pri</w:t>
      </w:r>
      <w:r>
        <w:rPr>
          <w:noProof/>
        </w:rPr>
        <w:t xml:space="preserve">volil v predlagani prenos, potem ko je prejel vse potrebne informacije o tveganjih, povezanih s prenosom; </w:t>
      </w:r>
    </w:p>
    <w:p w:rsidR="00747CB8" w:rsidRDefault="00941F73">
      <w:pPr>
        <w:pStyle w:val="Text1"/>
        <w:numPr>
          <w:ilvl w:val="0"/>
          <w:numId w:val="21"/>
        </w:numPr>
        <w:ind w:left="284" w:hanging="284"/>
        <w:rPr>
          <w:noProof/>
        </w:rPr>
      </w:pPr>
      <w:r>
        <w:rPr>
          <w:noProof/>
        </w:rPr>
        <w:t xml:space="preserve">če je prenos potreben za izvedbo ali sklenitev pogodbe med posameznikom in upravljavcem ali je sklenjena pogodba v interesu posameznika; </w:t>
      </w:r>
    </w:p>
    <w:p w:rsidR="00747CB8" w:rsidRDefault="00941F73">
      <w:pPr>
        <w:pStyle w:val="Text1"/>
        <w:numPr>
          <w:ilvl w:val="0"/>
          <w:numId w:val="21"/>
        </w:numPr>
        <w:ind w:left="284" w:hanging="284"/>
        <w:rPr>
          <w:noProof/>
        </w:rPr>
      </w:pPr>
      <w:r>
        <w:rPr>
          <w:noProof/>
        </w:rPr>
        <w:t>če je preno</w:t>
      </w:r>
      <w:r>
        <w:rPr>
          <w:noProof/>
        </w:rPr>
        <w:t>s potreben zaradi pomembnih razlogov javnega interesa: primer prenosa podatkov iz pomembnih razlogov javnega interesa je lahko mednarodna izmenjava podatkov med službami, pristojnimi za zadeve s področja socialne varnosti</w:t>
      </w:r>
      <w:r>
        <w:rPr>
          <w:noProof/>
          <w:vertAlign w:val="superscript"/>
        </w:rPr>
        <w:footnoteReference w:id="9"/>
      </w:r>
      <w:r>
        <w:rPr>
          <w:noProof/>
        </w:rPr>
        <w:t xml:space="preserve">; </w:t>
      </w:r>
    </w:p>
    <w:p w:rsidR="00747CB8" w:rsidRDefault="00941F73">
      <w:pPr>
        <w:pStyle w:val="Text1"/>
        <w:numPr>
          <w:ilvl w:val="0"/>
          <w:numId w:val="21"/>
        </w:numPr>
        <w:ind w:left="284" w:hanging="284"/>
        <w:rPr>
          <w:noProof/>
        </w:rPr>
      </w:pPr>
      <w:r>
        <w:rPr>
          <w:noProof/>
        </w:rPr>
        <w:t xml:space="preserve">če je prenos podatkov potreben </w:t>
      </w:r>
      <w:r>
        <w:rPr>
          <w:noProof/>
        </w:rPr>
        <w:t>zaradi nujnih zakonitih interesov organizacije, kadar nad takimi interesi ne prevladajo interesi posameznika. Ob uporabi tega odstopanja mora organizacija zagotoviti ustrezne zaščitne ukrepe v zvezi z varstvom osebnih podatkov.</w:t>
      </w:r>
    </w:p>
    <w:p w:rsidR="00747CB8" w:rsidRDefault="00941F73">
      <w:pPr>
        <w:pStyle w:val="Text1"/>
        <w:ind w:left="0"/>
        <w:rPr>
          <w:noProof/>
        </w:rPr>
      </w:pPr>
      <w:r>
        <w:rPr>
          <w:noProof/>
        </w:rPr>
        <w:t>Nadaljnje usmeritve in pojas</w:t>
      </w:r>
      <w:r>
        <w:rPr>
          <w:noProof/>
        </w:rPr>
        <w:t>nila v zvezi z odstopanji in načinom njihove uporabe so na voljo v smernicah Evropskega odbora za varstvo podatkov o odstopanjih iz člena 49</w:t>
      </w:r>
      <w:r>
        <w:rPr>
          <w:noProof/>
          <w:vertAlign w:val="superscript"/>
        </w:rPr>
        <w:footnoteReference w:id="10"/>
      </w:r>
      <w:r>
        <w:rPr>
          <w:noProof/>
        </w:rPr>
        <w:t>.</w:t>
      </w:r>
    </w:p>
    <w:p w:rsidR="00747CB8" w:rsidRDefault="00941F73">
      <w:pPr>
        <w:pStyle w:val="Text1"/>
        <w:keepNext/>
        <w:ind w:left="0"/>
        <w:rPr>
          <w:i/>
          <w:noProof/>
        </w:rPr>
      </w:pPr>
      <w:r>
        <w:rPr>
          <w:i/>
          <w:noProof/>
        </w:rPr>
        <w:t>Instrumenti, ki so na voljo izključno javnim organom ali telesom</w:t>
      </w:r>
    </w:p>
    <w:p w:rsidR="00747CB8" w:rsidRDefault="00941F73">
      <w:pPr>
        <w:pStyle w:val="Text1"/>
        <w:ind w:left="0"/>
        <w:rPr>
          <w:noProof/>
        </w:rPr>
      </w:pPr>
      <w:r>
        <w:rPr>
          <w:noProof/>
        </w:rPr>
        <w:t>Organi držav članic lahko uporabljajo tudi pravn</w:t>
      </w:r>
      <w:r>
        <w:rPr>
          <w:noProof/>
        </w:rPr>
        <w:t>o nezavezujoče upravne dogovore, kot so memorandumi o soglasju</w:t>
      </w:r>
      <w:r>
        <w:rPr>
          <w:noProof/>
          <w:vertAlign w:val="superscript"/>
        </w:rPr>
        <w:footnoteReference w:id="11"/>
      </w:r>
      <w:r>
        <w:rPr>
          <w:noProof/>
        </w:rPr>
        <w:t>. Takšne upravne dogovore mora odobriti pristojni nacionalni organ za varstvo podatkov na podlagi mnenja Evropskega odbora za varstvo podatkov.</w:t>
      </w:r>
    </w:p>
    <w:p w:rsidR="00747CB8" w:rsidRDefault="00941F73">
      <w:pPr>
        <w:pStyle w:val="Text1"/>
        <w:ind w:left="0"/>
        <w:rPr>
          <w:noProof/>
        </w:rPr>
      </w:pPr>
      <w:r>
        <w:rPr>
          <w:noProof/>
        </w:rPr>
        <w:t>V skladu z direktivo o varstvu podatkov pri prepr</w:t>
      </w:r>
      <w:r>
        <w:rPr>
          <w:noProof/>
        </w:rPr>
        <w:t>ečevanju, odkrivanju in preiskovanju kaznivih dejanj lahko organi kazenskega pregona (npr. policija, tožilci) osebne podatke posredujejo organom Združenega kraljestva, če na podlagi lastne ocene okoliščin v zvezi s prenosom ugotovijo, da obstajajo ustrezni</w:t>
      </w:r>
      <w:r>
        <w:rPr>
          <w:noProof/>
        </w:rPr>
        <w:t xml:space="preserve"> zaščitni ukrepi v zvezi z varstvom podatkov</w:t>
      </w:r>
      <w:r>
        <w:rPr>
          <w:noProof/>
          <w:vertAlign w:val="superscript"/>
        </w:rPr>
        <w:footnoteReference w:id="12"/>
      </w:r>
      <w:r>
        <w:rPr>
          <w:noProof/>
        </w:rPr>
        <w:t>. Uredba o Europolu</w:t>
      </w:r>
      <w:r>
        <w:rPr>
          <w:noProof/>
          <w:vertAlign w:val="superscript"/>
        </w:rPr>
        <w:footnoteReference w:id="13"/>
      </w:r>
      <w:r>
        <w:rPr>
          <w:noProof/>
        </w:rPr>
        <w:t xml:space="preserve"> in direktiva o evidenci podatkov o potnikih</w:t>
      </w:r>
      <w:r>
        <w:rPr>
          <w:noProof/>
          <w:vertAlign w:val="superscript"/>
        </w:rPr>
        <w:footnoteReference w:id="14"/>
      </w:r>
      <w:r>
        <w:rPr>
          <w:noProof/>
        </w:rPr>
        <w:t xml:space="preserve"> vsebujeta </w:t>
      </w:r>
      <w:r>
        <w:rPr>
          <w:noProof/>
        </w:rPr>
        <w:lastRenderedPageBreak/>
        <w:t>posebne določbe o prenosu osebnih podatkov organom tretjih držav s strani Europola oziroma pristojnih organov držav članic.</w:t>
      </w:r>
    </w:p>
    <w:p w:rsidR="00747CB8" w:rsidRDefault="00941F73">
      <w:pPr>
        <w:pStyle w:val="Text1"/>
        <w:keepNext/>
        <w:ind w:left="0"/>
        <w:rPr>
          <w:b/>
          <w:i/>
          <w:noProof/>
        </w:rPr>
      </w:pPr>
      <w:r>
        <w:rPr>
          <w:i/>
          <w:noProof/>
        </w:rPr>
        <w:t>Prenos poda</w:t>
      </w:r>
      <w:r>
        <w:rPr>
          <w:i/>
          <w:noProof/>
        </w:rPr>
        <w:t>tkov v Združeno kraljestvo s strani komercialnih operaterjev</w:t>
      </w:r>
    </w:p>
    <w:p w:rsidR="00747CB8" w:rsidRDefault="00941F73">
      <w:pPr>
        <w:pStyle w:val="Text1"/>
        <w:ind w:left="0"/>
        <w:rPr>
          <w:noProof/>
        </w:rPr>
      </w:pPr>
      <w:r>
        <w:rPr>
          <w:noProof/>
        </w:rPr>
        <w:t>Orodja, ki so zasebnim podjetjem na voljo za prenos podatkov v tretje države, bi morali biti poslovnim subjektom v državah članicah in Združenem kraljestvu dobro znani, saj se že uporabljajo za p</w:t>
      </w:r>
      <w:r>
        <w:rPr>
          <w:noProof/>
        </w:rPr>
        <w:t>renos osebnih podatkov v tretje države. Informacije o uporabi takšnih orodij za prenos so bile nedavno predstavljene deležnikom v okviru začetka uporabe nove zakonodaje o varstvu podatkov maja 2018. Vendar se države članice spodbujajo, naj poskrbijo, da se</w:t>
      </w:r>
      <w:r>
        <w:rPr>
          <w:noProof/>
        </w:rPr>
        <w:t xml:space="preserve"> s temi orodji seznanijo tudi podjetja, ki še nimajo izkušenj s prenosom podatkov v tretje države, npr. mala in srednja podjetja, ki so v preteklosti poslovala samo z državami članicami. </w:t>
      </w:r>
    </w:p>
    <w:p w:rsidR="00747CB8" w:rsidRDefault="00941F73">
      <w:pPr>
        <w:pStyle w:val="Text1"/>
        <w:keepNext/>
        <w:ind w:left="0"/>
        <w:rPr>
          <w:i/>
          <w:noProof/>
        </w:rPr>
      </w:pPr>
      <w:r>
        <w:rPr>
          <w:i/>
          <w:noProof/>
        </w:rPr>
        <w:t>Nadaljnja podpora državam članicam</w:t>
      </w:r>
    </w:p>
    <w:p w:rsidR="00747CB8" w:rsidRDefault="00941F73">
      <w:pPr>
        <w:pStyle w:val="Text1"/>
        <w:ind w:left="0"/>
        <w:rPr>
          <w:noProof/>
        </w:rPr>
      </w:pPr>
      <w:r>
        <w:rPr>
          <w:noProof/>
        </w:rPr>
        <w:t>Komisija, zlasti njen Generalni direktorat za pravosodje in potrošnike, sodeluje z deležniki in organi za varstvo podatkov, da bi kar najbolje izkoristili nabor orodij za prenos podatkov iz splošne uredbe o varstvu podatkov, in je pripravljena podpreti drž</w:t>
      </w:r>
      <w:r>
        <w:rPr>
          <w:noProof/>
        </w:rPr>
        <w:t>ave članice pri uporabi razpoložljivih orodij. Poleg tega je Komisija ustanovila strokovno skupino deležnikov, ki jo sestavljajo predstavniki industrije, civilne družbe in akademikov in je namenjena podpori uporabe Splošne uredbe o varstvu podatkov. Deležn</w:t>
      </w:r>
      <w:r>
        <w:rPr>
          <w:noProof/>
        </w:rPr>
        <w:t xml:space="preserve">iki se lahko obrnejo tudi na svoje nacionalne organe za varstvo podatkov, kjer lahko prejmejo podrobnejše informacije v zvezi z uporabo orodij za prenos podatkov. </w:t>
      </w:r>
    </w:p>
    <w:p w:rsidR="00747CB8" w:rsidRDefault="00941F73">
      <w:pPr>
        <w:pStyle w:val="Heading1"/>
        <w:rPr>
          <w:noProof/>
        </w:rPr>
      </w:pPr>
      <w:r>
        <w:rPr>
          <w:noProof/>
        </w:rPr>
        <w:t>Dodatne informacije</w:t>
      </w:r>
    </w:p>
    <w:p w:rsidR="00747CB8" w:rsidRDefault="00941F73">
      <w:pPr>
        <w:pStyle w:val="Text1"/>
        <w:ind w:left="0"/>
        <w:rPr>
          <w:noProof/>
        </w:rPr>
      </w:pPr>
      <w:r>
        <w:rPr>
          <w:noProof/>
        </w:rPr>
        <w:t>Javni organi in deležniki lahko dodatne informacije o posledicah neureje</w:t>
      </w:r>
      <w:r>
        <w:rPr>
          <w:noProof/>
        </w:rPr>
        <w:t>nega izstopa Združenega kraljestva za varstvo podatkov najdejo na naslednji spletni strani Komisije:</w:t>
      </w:r>
    </w:p>
    <w:p w:rsidR="00747CB8" w:rsidRDefault="00941F73">
      <w:pPr>
        <w:pStyle w:val="Text1"/>
        <w:ind w:left="0"/>
        <w:rPr>
          <w:noProof/>
        </w:rPr>
      </w:pPr>
      <w:hyperlink r:id="rId23">
        <w:r>
          <w:rPr>
            <w:rStyle w:val="Hyperlink"/>
            <w:noProof/>
          </w:rPr>
          <w:t>https://ec.europa.eu/info/brexit/brexit-preparedness/prepar</w:t>
        </w:r>
        <w:r>
          <w:rPr>
            <w:rStyle w:val="Hyperlink"/>
            <w:noProof/>
          </w:rPr>
          <w:t>edness-notices_sl</w:t>
        </w:r>
        <w:r>
          <w:rPr>
            <w:rStyle w:val="Hyperlink"/>
            <w:noProof/>
            <w:u w:val="none"/>
          </w:rPr>
          <w:t>.</w:t>
        </w:r>
      </w:hyperlink>
    </w:p>
    <w:p w:rsidR="00747CB8" w:rsidRDefault="00747CB8">
      <w:pPr>
        <w:pStyle w:val="Text1"/>
        <w:ind w:left="0"/>
        <w:rPr>
          <w:noProof/>
        </w:rPr>
      </w:pPr>
    </w:p>
    <w:sectPr w:rsidR="00747CB8">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B8" w:rsidRDefault="00941F73">
      <w:pPr>
        <w:spacing w:after="0"/>
      </w:pPr>
      <w:r>
        <w:separator/>
      </w:r>
    </w:p>
  </w:endnote>
  <w:endnote w:type="continuationSeparator" w:id="0">
    <w:p w:rsidR="00747CB8" w:rsidRDefault="00941F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941F73">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941F73">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941F73">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B8" w:rsidRDefault="00941F73">
      <w:pPr>
        <w:spacing w:after="0"/>
      </w:pPr>
      <w:r>
        <w:separator/>
      </w:r>
    </w:p>
  </w:footnote>
  <w:footnote w:type="continuationSeparator" w:id="0">
    <w:p w:rsidR="00747CB8" w:rsidRDefault="00941F73">
      <w:pPr>
        <w:spacing w:after="0"/>
      </w:pPr>
      <w:r>
        <w:continuationSeparator/>
      </w:r>
    </w:p>
  </w:footnote>
  <w:footnote w:id="1">
    <w:p w:rsidR="00747CB8" w:rsidRDefault="00941F73">
      <w:pPr>
        <w:pStyle w:val="FootnoteText"/>
        <w:ind w:left="284" w:hanging="284"/>
      </w:pPr>
      <w:r>
        <w:rPr>
          <w:vertAlign w:val="superscript"/>
        </w:rPr>
        <w:footnoteRef/>
      </w:r>
      <w:r>
        <w:t xml:space="preserve"> </w:t>
      </w:r>
      <w:r>
        <w:tab/>
        <w:t xml:space="preserve">Sklep Evropskega sveta (EU) 2019/476, sprejet v dogovoru z Združenim kraljestvom, z dne 22. marca 2019 o podaljšanju obdobja na podlagi člena </w:t>
      </w:r>
      <w:r>
        <w:t>50(3) PEU (UL L 80I, 22.3.2019, str. 1).</w:t>
      </w:r>
    </w:p>
  </w:footnote>
  <w:footnote w:id="2">
    <w:p w:rsidR="00747CB8" w:rsidRDefault="00941F73">
      <w:pPr>
        <w:pStyle w:val="FootnoteText"/>
        <w:ind w:left="284" w:hanging="284"/>
      </w:pPr>
      <w:r>
        <w:rPr>
          <w:rStyle w:val="FootnoteReference"/>
        </w:rPr>
        <w:footnoteRef/>
      </w:r>
      <w:r>
        <w:t xml:space="preserve"> </w:t>
      </w:r>
      <w:r>
        <w:tab/>
        <w:t>Uredba (EU) 2016/679 Evropskega parlamenta in Sveta z dne 27. aprila 2016 o varstvu posameznikov pri obdelavi osebnih podatkov in o prostem pretoku takih podatkov ter o razveljavitvi Direktive 95/46/ES (Splošna u</w:t>
      </w:r>
      <w:r>
        <w:t>redba o varstvu podatkov) (UL L 119, 4.5.2016, str. 1).</w:t>
      </w:r>
    </w:p>
  </w:footnote>
  <w:footnote w:id="3">
    <w:p w:rsidR="00747CB8" w:rsidRDefault="00941F73">
      <w:pPr>
        <w:pStyle w:val="FootnoteText"/>
        <w:ind w:left="284" w:hanging="284"/>
      </w:pPr>
      <w:r>
        <w:rPr>
          <w:rStyle w:val="FootnoteReference"/>
        </w:rPr>
        <w:footnoteRef/>
      </w:r>
      <w:r>
        <w:t xml:space="preserve"> </w:t>
      </w:r>
      <w:r>
        <w:tab/>
        <w:t>Direktiva (EU) 2016/680 Evropskega parlamenta in Sveta z dne 27. aprila 2016 o varstvu posameznikov pri obdelavi osebnih podatkov, ki jih pristojni organi obdelujejo za namene preprečevanja, preisk</w:t>
      </w:r>
      <w:r>
        <w:t>ovanja, odkrivanja ali pregona kaznivih dejanj ali izvrševanja kazenskih sankcij, in o prostem pretoku takih podatkov ter o razveljavitvi Okvirnega sklepa Sveta 2008/977/PNZ (UL L 119, 4.5.2016, str. 89).</w:t>
      </w:r>
    </w:p>
  </w:footnote>
  <w:footnote w:id="4">
    <w:p w:rsidR="00747CB8" w:rsidRDefault="00941F73">
      <w:pPr>
        <w:pStyle w:val="FootnoteText"/>
        <w:ind w:left="284" w:hanging="284"/>
      </w:pPr>
      <w:r>
        <w:rPr>
          <w:rStyle w:val="FootnoteReference"/>
        </w:rPr>
        <w:footnoteRef/>
      </w:r>
      <w:r>
        <w:t xml:space="preserve"> </w:t>
      </w:r>
      <w:r>
        <w:tab/>
        <w:t xml:space="preserve">Te države in ozemlja so </w:t>
      </w:r>
      <w:hyperlink r:id="rId1">
        <w:r>
          <w:t>Andora</w:t>
        </w:r>
      </w:hyperlink>
      <w:r>
        <w:t xml:space="preserve">, </w:t>
      </w:r>
      <w:hyperlink r:id="rId2">
        <w:r>
          <w:t>Argentina</w:t>
        </w:r>
      </w:hyperlink>
      <w:r>
        <w:t xml:space="preserve">, </w:t>
      </w:r>
      <w:hyperlink r:id="rId3">
        <w:r>
          <w:t>Kanada</w:t>
        </w:r>
      </w:hyperlink>
      <w:r>
        <w:t xml:space="preserve"> (samo za komercialne organizacije), </w:t>
      </w:r>
      <w:hyperlink r:id="rId4">
        <w:r>
          <w:t>Ferski otoki</w:t>
        </w:r>
      </w:hyperlink>
      <w:r>
        <w:t xml:space="preserve">, </w:t>
      </w:r>
      <w:hyperlink r:id="rId5">
        <w:r>
          <w:t>Guernsey</w:t>
        </w:r>
      </w:hyperlink>
      <w:r>
        <w:t xml:space="preserve">, </w:t>
      </w:r>
      <w:hyperlink r:id="rId6">
        <w:r>
          <w:t>Izrael</w:t>
        </w:r>
      </w:hyperlink>
      <w:r>
        <w:t xml:space="preserve">, </w:t>
      </w:r>
      <w:hyperlink r:id="rId7">
        <w:r>
          <w:t>Otok Man</w:t>
        </w:r>
      </w:hyperlink>
      <w:r>
        <w:t xml:space="preserve">, </w:t>
      </w:r>
      <w:hyperlink r:id="rId8">
        <w:r>
          <w:t>Japonska</w:t>
        </w:r>
      </w:hyperlink>
      <w:r>
        <w:t xml:space="preserve">, </w:t>
      </w:r>
      <w:hyperlink r:id="rId9">
        <w:r>
          <w:t>Jersey</w:t>
        </w:r>
      </w:hyperlink>
      <w:r>
        <w:t xml:space="preserve">, </w:t>
      </w:r>
      <w:hyperlink r:id="rId10">
        <w:r>
          <w:t>Nova Zelandija</w:t>
        </w:r>
      </w:hyperlink>
      <w:r>
        <w:t xml:space="preserve">, </w:t>
      </w:r>
      <w:hyperlink r:id="rId11">
        <w:r>
          <w:t>Švica</w:t>
        </w:r>
      </w:hyperlink>
      <w:r>
        <w:t xml:space="preserve">, </w:t>
      </w:r>
      <w:hyperlink r:id="rId12">
        <w:r>
          <w:t>Urugvaj</w:t>
        </w:r>
      </w:hyperlink>
      <w:r>
        <w:t xml:space="preserve"> in </w:t>
      </w:r>
      <w:hyperlink r:id="rId13">
        <w:r>
          <w:t>Združene države Amerike</w:t>
        </w:r>
      </w:hyperlink>
      <w:r>
        <w:t xml:space="preserve"> (omejeno na </w:t>
      </w:r>
      <w:hyperlink r:id="rId14">
        <w:r>
          <w:t>okvir zasebnostnega ščita</w:t>
        </w:r>
      </w:hyperlink>
      <w:r>
        <w:t>).</w:t>
      </w:r>
    </w:p>
  </w:footnote>
  <w:footnote w:id="5">
    <w:p w:rsidR="00747CB8" w:rsidRDefault="00941F73">
      <w:pPr>
        <w:pStyle w:val="FootnoteText"/>
      </w:pPr>
      <w:r>
        <w:t xml:space="preserve"> </w:t>
      </w:r>
      <w:r>
        <w:rPr>
          <w:rStyle w:val="FootnoteReference"/>
        </w:rPr>
        <w:footnoteRef/>
      </w:r>
      <w:r>
        <w:t xml:space="preserve"> </w:t>
      </w:r>
      <w:r>
        <w:tab/>
      </w:r>
      <w:hyperlink r:id="rId15">
        <w:r>
          <w:rPr>
            <w:rStyle w:val="Hyperlink"/>
          </w:rPr>
          <w:t>https://ec.europa.eu/info/law/law-topic/data-protection/data-transfers-outside-eu/model-contracts-transfer-personal-data-third-countries_sl</w:t>
        </w:r>
        <w:r>
          <w:rPr>
            <w:rStyle w:val="Hyperlink"/>
            <w:u w:val="none"/>
          </w:rPr>
          <w:t>.</w:t>
        </w:r>
      </w:hyperlink>
      <w:r>
        <w:t xml:space="preserve"> </w:t>
      </w:r>
    </w:p>
  </w:footnote>
  <w:footnote w:id="6">
    <w:p w:rsidR="00747CB8" w:rsidRDefault="00941F73">
      <w:pPr>
        <w:pStyle w:val="FootnoteText"/>
      </w:pPr>
      <w:r>
        <w:rPr>
          <w:rStyle w:val="FootnoteReference"/>
        </w:rPr>
        <w:footnoteRef/>
      </w:r>
      <w:r>
        <w:t xml:space="preserve"> </w:t>
      </w:r>
      <w:r>
        <w:tab/>
      </w:r>
      <w:hyperlink r:id="rId16">
        <w:r>
          <w:rPr>
            <w:rStyle w:val="Hyperlink"/>
          </w:rPr>
          <w:t>https://ec.europa.eu/info/sites/info/files/file_import/data_protection_sl.pdf</w:t>
        </w:r>
        <w:r>
          <w:rPr>
            <w:rStyle w:val="Hyperlink"/>
            <w:u w:val="none"/>
          </w:rPr>
          <w:t>.</w:t>
        </w:r>
      </w:hyperlink>
      <w:r>
        <w:t xml:space="preserve"> </w:t>
      </w:r>
    </w:p>
  </w:footnote>
  <w:footnote w:id="7">
    <w:p w:rsidR="00747CB8" w:rsidRDefault="00941F73">
      <w:pPr>
        <w:pStyle w:val="FootnoteText"/>
      </w:pPr>
      <w:r>
        <w:rPr>
          <w:rStyle w:val="FootnoteReference"/>
        </w:rPr>
        <w:footnoteRef/>
      </w:r>
      <w:r>
        <w:t xml:space="preserve"> </w:t>
      </w:r>
      <w:r>
        <w:tab/>
      </w:r>
      <w:hyperlink r:id="rId17">
        <w:r>
          <w:rPr>
            <w:rStyle w:val="Hyperlink"/>
          </w:rPr>
          <w:t>https://edpb.europa.eu/our-work-tools/our-documents/other/information-note-data-transfers-under-gdpr-event-no-deal-brexit_sl</w:t>
        </w:r>
        <w:r>
          <w:rPr>
            <w:rStyle w:val="Hyperlink"/>
            <w:u w:val="none"/>
          </w:rPr>
          <w:t>.</w:t>
        </w:r>
      </w:hyperlink>
      <w:r>
        <w:t xml:space="preserve"> </w:t>
      </w:r>
    </w:p>
  </w:footnote>
  <w:footnote w:id="8">
    <w:p w:rsidR="00747CB8" w:rsidRDefault="00941F73">
      <w:pPr>
        <w:pStyle w:val="FootnoteText"/>
      </w:pPr>
      <w:r>
        <w:rPr>
          <w:rStyle w:val="FootnoteReference"/>
        </w:rPr>
        <w:footnoteRef/>
      </w:r>
      <w:r>
        <w:t xml:space="preserve"> </w:t>
      </w:r>
      <w:r>
        <w:tab/>
        <w:t>Na podlagi člena 49 Splošne uredbe o varstvu podatkov.</w:t>
      </w:r>
    </w:p>
  </w:footnote>
  <w:footnote w:id="9">
    <w:p w:rsidR="00747CB8" w:rsidRDefault="00941F73">
      <w:pPr>
        <w:pStyle w:val="FootnoteText"/>
        <w:ind w:left="284" w:hanging="284"/>
      </w:pPr>
      <w:r>
        <w:rPr>
          <w:rStyle w:val="FootnoteReference"/>
        </w:rPr>
        <w:footnoteRef/>
      </w:r>
      <w:r>
        <w:rPr>
          <w:rStyle w:val="FootnoteReference"/>
        </w:rPr>
        <w:t xml:space="preserve"> </w:t>
      </w:r>
      <w:r>
        <w:tab/>
        <w:t>U</w:t>
      </w:r>
      <w:r>
        <w:t xml:space="preserve">vodna izjava 112 uredbe Splošne uredbe o varstvu podatkov. </w:t>
      </w:r>
    </w:p>
  </w:footnote>
  <w:footnote w:id="10">
    <w:p w:rsidR="00747CB8" w:rsidRDefault="00941F73">
      <w:pPr>
        <w:pStyle w:val="FootnoteText"/>
        <w:ind w:left="284" w:hanging="284"/>
      </w:pPr>
      <w:r>
        <w:rPr>
          <w:rStyle w:val="FootnoteReference"/>
        </w:rPr>
        <w:footnoteRef/>
      </w:r>
      <w:r>
        <w:t xml:space="preserve"> </w:t>
      </w:r>
      <w:r>
        <w:tab/>
      </w:r>
      <w:hyperlink r:id="rId18">
        <w:r>
          <w:rPr>
            <w:rStyle w:val="Hyperlink"/>
          </w:rPr>
          <w:t>https://edpb.europa.eu/our-work-tools/our-docu</w:t>
        </w:r>
        <w:r>
          <w:rPr>
            <w:rStyle w:val="Hyperlink"/>
          </w:rPr>
          <w:t>ments/nasoki/guidelines-22018-derogations-article-49-under-regulation-2016679_sl</w:t>
        </w:r>
        <w:r>
          <w:rPr>
            <w:rStyle w:val="Hyperlink"/>
            <w:u w:val="none"/>
          </w:rPr>
          <w:t>.</w:t>
        </w:r>
      </w:hyperlink>
      <w:r>
        <w:t xml:space="preserve"> </w:t>
      </w:r>
    </w:p>
  </w:footnote>
  <w:footnote w:id="11">
    <w:p w:rsidR="00747CB8" w:rsidRDefault="00941F73">
      <w:pPr>
        <w:pStyle w:val="FootnoteText"/>
        <w:ind w:left="284" w:hanging="284"/>
      </w:pPr>
      <w:r>
        <w:rPr>
          <w:rStyle w:val="FootnoteReference"/>
        </w:rPr>
        <w:footnoteRef/>
      </w:r>
      <w:r>
        <w:t xml:space="preserve"> </w:t>
      </w:r>
      <w:r>
        <w:tab/>
        <w:t xml:space="preserve">Člen 46(3)(b) Splošne uredbe o varstvu podatkov. Nedaven primer takšnega dogovora, ki je prejel pozitivno mnenje Evropskega odbora za varstvo podatkov (EDPB), je upravni </w:t>
      </w:r>
      <w:r>
        <w:t xml:space="preserve">dogovor za prenos osebnih podatkov med organi finančnega nadzora znotraj Evropskega gospodarskega prostora (EGP) in organi finančnega nadzora zunaj EGP. Besedilo dogovora je na voljo na spletni strani Evropskega odbora za varstvo podatkov: </w:t>
      </w:r>
      <w:hyperlink r:id="rId19">
        <w:r>
          <w:rPr>
            <w:rStyle w:val="Hyperlink"/>
          </w:rPr>
          <w:t>https://edpb.europa.eu/our-work-tools/our-documents/other/draft-administrative-arrangement-transfer-personal-data-between_sl</w:t>
        </w:r>
        <w:r>
          <w:rPr>
            <w:rStyle w:val="Hyperlink"/>
            <w:u w:val="none"/>
          </w:rPr>
          <w:t>.</w:t>
        </w:r>
      </w:hyperlink>
      <w:r>
        <w:t xml:space="preserve"> </w:t>
      </w:r>
    </w:p>
  </w:footnote>
  <w:footnote w:id="12">
    <w:p w:rsidR="00747CB8" w:rsidRDefault="00941F73">
      <w:pPr>
        <w:pStyle w:val="FootnoteText"/>
        <w:ind w:left="284" w:hanging="284"/>
      </w:pPr>
      <w:r>
        <w:rPr>
          <w:rStyle w:val="FootnoteReference"/>
        </w:rPr>
        <w:footnoteRef/>
      </w:r>
      <w:r>
        <w:t xml:space="preserve"> </w:t>
      </w:r>
      <w:r>
        <w:tab/>
        <w:t>Člen 37(1)(b) Direktive (EU) 2016/680.</w:t>
      </w:r>
    </w:p>
  </w:footnote>
  <w:footnote w:id="13">
    <w:p w:rsidR="00747CB8" w:rsidRDefault="00941F73">
      <w:pPr>
        <w:pStyle w:val="FootnoteText"/>
        <w:ind w:left="284" w:hanging="284"/>
      </w:pPr>
      <w:r>
        <w:rPr>
          <w:rStyle w:val="FootnoteReference"/>
        </w:rPr>
        <w:footnoteRef/>
      </w:r>
      <w:r>
        <w:t xml:space="preserve"> </w:t>
      </w:r>
      <w:r>
        <w:tab/>
        <w:t xml:space="preserve">Člen 25 Uredbe (EU) 2016/794 Evropskega parlamenta in Sveta z dne 11. maja 2016 o Agenciji Evropske unije za sodelovanje na področju preprečevanja, odkrivanja in preiskovanja kaznivih dejanj (Europol) (UL L 135, </w:t>
      </w:r>
      <w:r>
        <w:t>24.5.2016, str. 53).</w:t>
      </w:r>
    </w:p>
  </w:footnote>
  <w:footnote w:id="14">
    <w:p w:rsidR="00747CB8" w:rsidRDefault="00941F73">
      <w:pPr>
        <w:pStyle w:val="FootnoteText"/>
        <w:ind w:left="284" w:hanging="284"/>
      </w:pPr>
      <w:r>
        <w:rPr>
          <w:rStyle w:val="FootnoteReference"/>
        </w:rPr>
        <w:footnoteRef/>
      </w:r>
      <w:r>
        <w:t xml:space="preserve"> </w:t>
      </w:r>
      <w:r>
        <w:tab/>
        <w:t>Člen 11 Direktive (EU) 2016/681 Evropskega parlamenta in Sveta z dne 27. aprila 2016 o uporabi podatkov iz evidence podatkov o potnikih (PNR) za preprečevanje, odkrivanje, preiskovanje in pregon terorističnih in hudih kaznivih dejan</w:t>
      </w:r>
      <w:r>
        <w:t>j (UL L 119, 4.5.2016, str. 132).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B8" w:rsidRDefault="00747C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39657"/>
      <w:docPartObj>
        <w:docPartGallery w:val="Page Numbers (Top of Page)"/>
        <w:docPartUnique/>
      </w:docPartObj>
    </w:sdtPr>
    <w:sdtEndPr>
      <w:rPr>
        <w:noProof/>
      </w:rPr>
    </w:sdtEndPr>
    <w:sdtContent>
      <w:p w:rsidR="00747CB8" w:rsidRDefault="00941F7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47CB8" w:rsidRDefault="00747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103EAB"/>
    <w:multiLevelType w:val="hybridMultilevel"/>
    <w:tmpl w:val="D4403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477C97"/>
    <w:multiLevelType w:val="multilevel"/>
    <w:tmpl w:val="14D69CFA"/>
    <w:numStyleLink w:val="ImportedStyle1"/>
  </w:abstractNum>
  <w:abstractNum w:abstractNumId="16" w15:restartNumberingAfterBreak="0">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9807DF9"/>
    <w:multiLevelType w:val="hybridMultilevel"/>
    <w:tmpl w:val="F4643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9"/>
  </w:num>
  <w:num w:numId="2">
    <w:abstractNumId w:val="20"/>
  </w:num>
  <w:num w:numId="3">
    <w:abstractNumId w:val="16"/>
  </w:num>
  <w:num w:numId="4">
    <w:abstractNumId w:val="12"/>
  </w:num>
  <w:num w:numId="5">
    <w:abstractNumId w:val="8"/>
  </w:num>
  <w:num w:numId="6">
    <w:abstractNumId w:val="4"/>
  </w:num>
  <w:num w:numId="7">
    <w:abstractNumId w:val="3"/>
  </w:num>
  <w:num w:numId="8">
    <w:abstractNumId w:val="2"/>
  </w:num>
  <w:num w:numId="9">
    <w:abstractNumId w:val="13"/>
  </w:num>
  <w:num w:numId="10">
    <w:abstractNumId w:val="6"/>
  </w:num>
  <w:num w:numId="11">
    <w:abstractNumId w:val="1"/>
  </w:num>
  <w:num w:numId="12">
    <w:abstractNumId w:val="18"/>
  </w:num>
  <w:num w:numId="13">
    <w:abstractNumId w:val="17"/>
  </w:num>
  <w:num w:numId="14">
    <w:abstractNumId w:val="11"/>
  </w:num>
  <w:num w:numId="15">
    <w:abstractNumId w:val="7"/>
  </w:num>
  <w:num w:numId="16">
    <w:abstractNumId w:val="10"/>
  </w:num>
  <w:num w:numId="17">
    <w:abstractNumId w:val="0"/>
  </w:num>
  <w:num w:numId="18">
    <w:abstractNumId w:val="21"/>
  </w:num>
  <w:num w:numId="19">
    <w:abstractNumId w:val="14"/>
  </w:num>
  <w:num w:numId="20">
    <w:abstractNumId w:val="15"/>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6"/>
    <w:docVar w:name="LW_ANNEX_NBR_LAST" w:val="6"/>
    <w:docVar w:name="LW_ANNEX_UNIQUE" w:val="0"/>
    <w:docVar w:name="LW_CORRIGENDUM" w:val="&lt;UNUSED&gt;"/>
    <w:docVar w:name="LW_COVERPAGE_EXISTS" w:val="True"/>
    <w:docVar w:name="LW_COVERPAGE_GUID" w:val="785C56DD-846C-45E9-9041-9446FADF2148"/>
    <w:docVar w:name="LW_COVERPAGE_TYPE" w:val="1"/>
    <w:docVar w:name="LW_CROSSREFERENCE" w:val="&lt;UNUSED&gt;"/>
    <w:docVar w:name="LW_DocType" w:val="EUROLOOK"/>
    <w:docVar w:name="LW_EMISSION" w:val="10.4.2019"/>
    <w:docVar w:name="LW_EMISSION_ISODATE" w:val="2019-04-10"/>
    <w:docVar w:name="LW_EMISSION_LOCATION" w:val="BRX"/>
    <w:docVar w:name="LW_EMISSION_PREFIX" w:val="Bruselj, "/>
    <w:docVar w:name="LW_EMISSION_SUFFIX" w:val=" "/>
    <w:docVar w:name="LW_ID_DOCTYPE_NONLW" w:val="CP-039"/>
    <w:docVar w:name="LW_LANGUE" w:val="SL"/>
    <w:docVar w:name="LW_LEVEL_OF_SENSITIVITY" w:val="Standard treatment"/>
    <w:docVar w:name="LW_NOM.INST" w:val="EVROPSKA KOMISIJA"/>
    <w:docVar w:name="LW_NOM.INST_JOINTDOC" w:val="&lt;EMPTY&gt;"/>
    <w:docVar w:name="LW_OBJETACTEPRINCIPAL.CP" w:val="Obravnava posledic izstopa Zdru\u382?enega kraljestva iz Unije brez sporazuma: usklajen pristop Unije_x000b__x000b_Varstvo podatkov:_x000b_usklajen pristop v primeru izstopa Zdru\u382?enega kraljestva iz Unije brez dogovora"/>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GA_x000b_"/>
    <w:docVar w:name="LW_TYPEACTEPRINCIPAL.CP" w:val="SPORO\u268?ILU KOMISIJE EVROPSKEMU PARLAMENTU, EVROPSKEMU SVETU, SVETU, EVROPSKI CENTRALNI BANKI, EVROPSKEMU EKONOMSKO-SOCIALNEMU ODBORU, ODBORU REGIJ IN EVROPSKI INVESTICIJSKI BANKI"/>
  </w:docVars>
  <w:rsids>
    <w:rsidRoot w:val="00747CB8"/>
    <w:rsid w:val="00747CB8"/>
    <w:rsid w:val="0094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3476AA-E294-4833-BBAA-DA7FC94C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l-SI" w:eastAsia="sl-SI" w:bidi="sl-SI"/>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semiHidden/>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ec.europa.eu/info/brexit/brexit-preparedness/preparedness-notices_sl" TargetMode="Externa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SL/TXT/?uri=CELEX%3A52018DC0880" TargetMode="Externa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ELEX:32019D0419" TargetMode="External"/><Relationship Id="rId13" Type="http://schemas.openxmlformats.org/officeDocument/2006/relationships/hyperlink" Target="https://eur-lex.europa.eu/legal-content/SL/TXT/?uri=CELEX:32016D1250" TargetMode="External"/><Relationship Id="rId18" Type="http://schemas.openxmlformats.org/officeDocument/2006/relationships/hyperlink" Target="https://edpb.europa.eu/our-work-tools/our-documents/nasoki/guidelines-22018-derogations-article-49-under-regulation-2016679_sl." TargetMode="External"/><Relationship Id="rId3" Type="http://schemas.openxmlformats.org/officeDocument/2006/relationships/hyperlink" Target="https://eur-lex.europa.eu/legal-content/sl/TXT/?uri=CELEX:32002D0002" TargetMode="External"/><Relationship Id="rId7" Type="http://schemas.openxmlformats.org/officeDocument/2006/relationships/hyperlink" Target="https://eur-lex.europa.eu/legal-content/SL/TXT/?uri=CELEX:32004D0411" TargetMode="External"/><Relationship Id="rId12" Type="http://schemas.openxmlformats.org/officeDocument/2006/relationships/hyperlink" Target="https://eur-lex.europa.eu/legal-content/SL/TXT/?uri=CELEX:32012D0484" TargetMode="External"/><Relationship Id="rId17" Type="http://schemas.openxmlformats.org/officeDocument/2006/relationships/hyperlink" Target="https://edpb.europa.eu/our-work-tools/our-documents/other/information-note-data-transfers-under-gdpr-event-no-deal-brexit_sl" TargetMode="External"/><Relationship Id="rId2" Type="http://schemas.openxmlformats.org/officeDocument/2006/relationships/hyperlink" Target="https://eur-lex.europa.eu/legal-content/SL/TXT/?uri=CELEX:32003D0490" TargetMode="External"/><Relationship Id="rId16" Type="http://schemas.openxmlformats.org/officeDocument/2006/relationships/hyperlink" Target="https://ec.europa.eu/info/sites/info/files/file_import/data_protection_sl.pdf" TargetMode="External"/><Relationship Id="rId1" Type="http://schemas.openxmlformats.org/officeDocument/2006/relationships/hyperlink" Target="https://eur-lex.europa.eu/legal-content/SL/TXT/?uri=CELEX:32010D0625" TargetMode="External"/><Relationship Id="rId6" Type="http://schemas.openxmlformats.org/officeDocument/2006/relationships/hyperlink" Target="https://eur-lex.europa.eu/legal-content/SL/TXT/?uri=CELEX:32011D0061" TargetMode="External"/><Relationship Id="rId11" Type="http://schemas.openxmlformats.org/officeDocument/2006/relationships/hyperlink" Target="https://eur-lex.europa.eu/legal-content/SL/TXT/?uri=CELEX:32000D0518" TargetMode="External"/><Relationship Id="rId5" Type="http://schemas.openxmlformats.org/officeDocument/2006/relationships/hyperlink" Target="https://eur-lex.europa.eu/legal-content/SL/TXT/?uri=CELEX:32003D0821" TargetMode="External"/><Relationship Id="rId15" Type="http://schemas.openxmlformats.org/officeDocument/2006/relationships/hyperlink" Target="https://ec.europa.eu/info/law/law-topic/data-protection/data-transfers-outside-eu/model-contracts-transfer-personal-data-third-countries_sl" TargetMode="External"/><Relationship Id="rId10" Type="http://schemas.openxmlformats.org/officeDocument/2006/relationships/hyperlink" Target="https://eur-lex.europa.eu/legal-content/SL/ALL/?uri=CELEX:32013D0065" TargetMode="External"/><Relationship Id="rId19" Type="http://schemas.openxmlformats.org/officeDocument/2006/relationships/hyperlink" Target="https://edpb.europa.eu/our-work-tools/our-documents/other/draft-administrative-arrangement-transfer-personal-data-between_sl" TargetMode="External"/><Relationship Id="rId4" Type="http://schemas.openxmlformats.org/officeDocument/2006/relationships/hyperlink" Target="https://eur-lex.europa.eu/legal-content/sl/ALL/?uri=CELEX:32010D0146" TargetMode="External"/><Relationship Id="rId9" Type="http://schemas.openxmlformats.org/officeDocument/2006/relationships/hyperlink" Target="https://eur-lex.europa.eu/legal-content/SL/TXT/?uri=CELEX:32008D0393" TargetMode="External"/><Relationship Id="rId14" Type="http://schemas.openxmlformats.org/officeDocument/2006/relationships/hyperlink" Target="https://ec.europa.eu/info/digital-economy-and-society/data-protection/data-transfers-outside-eu/eu-us-privacy-shield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5.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6.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7.xml><?xml version="1.0" encoding="utf-8"?>
<EurolookProperties>
  <ProductCustomizationId>EC</ProductCustomizationId>
  <Created>
    <Version>10.0.38495.0</Version>
    <Date>2019-04-05T17:56:24</Date>
    <Language>EN</Language>
  </Created>
  <Edited>
    <Version>10.0.38495.0</Version>
    <Date>2019-04-10T12:50:57</Date>
  </Edited>
  <DocumentModel>
    <Id>6cbda13a-4db2-46c6-876a-ef72275827ef</Id>
    <Name>Report</Name>
  </DocumentModel>
  <DocumentDate>2019-04-05T17:56:24</DocumentDate>
  <DocumentVersion>0.1</DocumentVersion>
  <CompatibilityMode>Eurolook10</CompatibilityMode>
  <Address/>
</EurolookProperties>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A74005-01F3-4FBA-96CE-542E5DAC1761}">
  <ds:schemaRefs>
    <ds:schemaRef ds:uri="http://schemas.microsoft.com/sharepoint/v3/contenttype/forms"/>
  </ds:schemaRefs>
</ds:datastoreItem>
</file>

<file path=customXml/itemProps2.xml><?xml version="1.0" encoding="utf-8"?>
<ds:datastoreItem xmlns:ds="http://schemas.openxmlformats.org/officeDocument/2006/customXml" ds:itemID="{33073BC7-B523-4909-A03E-0444E3A5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6941F-2406-4B07-9578-C0CA62D4DE8E}">
  <ds:schemaRefs>
    <ds:schemaRef ds:uri="office.server.policy"/>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EF3BA1D0-E751-44AD-85E9-0A503AE72139}">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3EA5527-7367-4268-9D83-5125C98D0ED2}">
  <ds:schemaRefs/>
</ds:datastoreItem>
</file>

<file path=customXml/itemProps8.xml><?xml version="1.0" encoding="utf-8"?>
<ds:datastoreItem xmlns:ds="http://schemas.openxmlformats.org/officeDocument/2006/customXml" ds:itemID="{1BF8A500-0B12-4289-911F-21992F10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5</Pages>
  <Words>1240</Words>
  <Characters>6826</Characters>
  <Application>Microsoft Office Word</Application>
  <DocSecurity>0</DocSecurity>
  <PresentationFormat>Microsoft Word 14.0</PresentationFormat>
  <Lines>56</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HEILEMANN Stefanie (SG)</cp:lastModifiedBy>
  <cp:revision>16</cp:revision>
  <cp:lastPrinted>2019-04-08T15:56:00Z</cp:lastPrinted>
  <dcterms:created xsi:type="dcterms:W3CDTF">2019-04-08T15:56:00Z</dcterms:created>
  <dcterms:modified xsi:type="dcterms:W3CDTF">2019-04-10T10:50:00Z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6</vt:lpwstr>
  </property>
  <property fmtid="{D5CDD505-2E9C-101B-9397-08002B2CF9AE}" pid="6" name="Last annex">
    <vt:lpwstr>6</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ies>
</file>