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1746B22-D15C-4625-B56D-0CD55038D04C" style="width:450.75pt;height:392.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spacing w:after="240" w:line="240" w:lineRule="auto"/>
        <w:ind w:left="482"/>
        <w:jc w:val="center"/>
        <w:rPr>
          <w:rFonts w:ascii="Times New Roman" w:eastAsia="Times New Roman" w:hAnsi="Times New Roman" w:cs="Times New Roman"/>
          <w:b/>
          <w:noProof/>
          <w:sz w:val="28"/>
          <w:szCs w:val="24"/>
        </w:rPr>
      </w:pPr>
      <w:bookmarkStart w:id="1" w:name="_GoBack"/>
      <w:bookmarkEnd w:id="1"/>
      <w:r>
        <w:rPr>
          <w:rFonts w:ascii="Times New Roman" w:eastAsia="Times New Roman" w:hAnsi="Times New Roman" w:cs="Times New Roman"/>
          <w:b/>
          <w:noProof/>
          <w:sz w:val="28"/>
          <w:szCs w:val="20"/>
        </w:rPr>
        <w:lastRenderedPageBreak/>
        <w:t xml:space="preserve">Priedas. Atnaujintas energetikos sąjungos veiksmų planas </w:t>
      </w:r>
      <w:r>
        <w:rPr>
          <w:rFonts w:ascii="Times New Roman" w:eastAsia="Times New Roman" w:hAnsi="Times New Roman" w:cs="Times New Roman"/>
          <w:b/>
          <w:noProof/>
          <w:sz w:val="28"/>
          <w:szCs w:val="24"/>
        </w:rPr>
        <w:br/>
      </w:r>
      <w:r>
        <w:rPr>
          <w:rFonts w:ascii="Times New Roman" w:eastAsia="Times New Roman" w:hAnsi="Times New Roman" w:cs="Times New Roman"/>
          <w:b/>
          <w:noProof/>
          <w:sz w:val="28"/>
          <w:szCs w:val="20"/>
        </w:rPr>
        <w:t>Padėtis 2019 m. balandžio 9 d.</w:t>
      </w:r>
    </w:p>
    <w:p>
      <w:pPr>
        <w:spacing w:after="24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Paaiškinimai: TS – tiekimo saugumas, EVR – energijos vidaus rinka, EVE – energijos vartojimo efektyvumas, ŠESD – šiltnamio efektą sukeliančios dujos, MTI – moksliniai tyrimai ir inovacijos</w:t>
      </w:r>
    </w:p>
    <w:p>
      <w:pPr>
        <w:spacing w:after="24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4"/>
          <w:szCs w:val="20"/>
        </w:rPr>
        <w:t>Šis veiksmų planas yra veiksmų planas, kuris buvo pateiktas 2015 m. vasario 25 d. priimto Komisijos komunikato „Atsparios energetikos sąjungos ir perspektyvios klimato kaitos politikos pagrindų strategija“ (COM(2015) 80) priede ir atnaujintas 2015 m. lapkričio mėn., rengiant pirmąją energetikos sąjungos būklės ataskaitą (COM(2015) 572), 2017 m. vasario mėn., rengiant antrąją energetikos sąjungos būklės ataskaitą (COM(2017) 53), ir 2017 m. lapkričio mėn., rengiant trečiąją energetikos sąjungos būklės ataskaitą (COM(2017) 688). Nauja informacija pateikiama šios lentelės paskutiniame stulpelyje. Tai atnaujinta informacija apie jau priimtas iniciatyvas arba tvarkaraščio pakeitimai.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66"/>
        <w:gridCol w:w="2037"/>
        <w:gridCol w:w="2005"/>
        <w:gridCol w:w="510"/>
        <w:gridCol w:w="844"/>
        <w:gridCol w:w="710"/>
        <w:gridCol w:w="817"/>
        <w:gridCol w:w="696"/>
        <w:gridCol w:w="3627"/>
      </w:tblGrid>
      <w:tr>
        <w:trPr>
          <w:tblHeader/>
        </w:trPr>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ind w:left="55"/>
              <w:rPr>
                <w:rFonts w:ascii="Times New Roman" w:eastAsia="Times New Roman" w:hAnsi="Times New Roman" w:cs="Times New Roman"/>
                <w:b/>
                <w:noProof/>
                <w:sz w:val="24"/>
                <w:szCs w:val="24"/>
                <w:lang w:val="lt-LT" w:eastAsia="lt-LT" w:bidi="lt-LT"/>
              </w:rPr>
            </w:pPr>
            <w:r>
              <w:rPr>
                <w:rFonts w:ascii="Times New Roman" w:eastAsia="Times New Roman" w:hAnsi="Times New Roman" w:cs="Times New Roman"/>
                <w:b/>
                <w:noProof/>
                <w:sz w:val="24"/>
                <w:szCs w:val="20"/>
              </w:rPr>
              <w:t>Veiksmai</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Atsakinga šalis</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ind w:left="13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Tvarkaraštis</w:t>
            </w:r>
            <w:r>
              <w:rPr>
                <w:rFonts w:ascii="Times New Roman" w:eastAsia="Times New Roman" w:hAnsi="Times New Roman" w:cs="Times New Roman"/>
                <w:noProof/>
                <w:sz w:val="24"/>
                <w:szCs w:val="20"/>
              </w:rPr>
              <w:t xml:space="preserve"> (pateiktas COM(2015) 80 priede)</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TS</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ind w:left="121"/>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EVR</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EVE</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jc w:val="center"/>
              <w:rPr>
                <w:rFonts w:ascii="Times New Roman" w:eastAsia="Times New Roman" w:hAnsi="Times New Roman" w:cs="Times New Roman"/>
                <w:b/>
                <w:noProof/>
                <w:sz w:val="24"/>
                <w:szCs w:val="24"/>
                <w:lang w:val="lt-LT" w:eastAsia="lt-LT" w:bidi="lt-LT"/>
              </w:rPr>
            </w:pPr>
            <w:r>
              <w:rPr>
                <w:rFonts w:ascii="Times New Roman" w:eastAsia="Times New Roman" w:hAnsi="Times New Roman" w:cs="Times New Roman"/>
                <w:b/>
                <w:noProof/>
                <w:sz w:val="24"/>
                <w:szCs w:val="20"/>
              </w:rPr>
              <w:t>ŠESD</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MTI</w:t>
            </w:r>
          </w:p>
        </w:tc>
        <w:tc>
          <w:tcPr>
            <w:tcW w:w="0" w:type="auto"/>
            <w:tcBorders>
              <w:top w:val="single" w:sz="12" w:space="0" w:color="auto"/>
              <w:left w:val="single" w:sz="12" w:space="0" w:color="auto"/>
              <w:bottom w:val="single" w:sz="12" w:space="0" w:color="auto"/>
              <w:right w:val="single" w:sz="12" w:space="0" w:color="auto"/>
            </w:tcBorders>
            <w:shd w:val="pct10" w:color="auto" w:fill="auto"/>
            <w:hideMark/>
          </w:tcPr>
          <w:p>
            <w:pPr>
              <w:spacing w:after="0"/>
              <w:ind w:left="33"/>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i/>
                <w:noProof/>
                <w:sz w:val="24"/>
                <w:szCs w:val="20"/>
              </w:rPr>
              <w:t>Pastabos</w:t>
            </w:r>
            <w:r>
              <w:rPr>
                <w:rFonts w:ascii="Times New Roman" w:eastAsia="Times New Roman" w:hAnsi="Times New Roman" w:cs="Times New Roman"/>
                <w:b/>
                <w:noProof/>
                <w:sz w:val="24"/>
                <w:szCs w:val="20"/>
              </w:rPr>
              <w:t> / Atnaujinta informacija</w:t>
            </w:r>
          </w:p>
        </w:tc>
      </w:tr>
      <w:tr>
        <w:tc>
          <w:tcPr>
            <w:tcW w:w="0" w:type="auto"/>
            <w:tcBorders>
              <w:top w:val="single" w:sz="4" w:space="0" w:color="auto"/>
              <w:left w:val="single" w:sz="4" w:space="0" w:color="auto"/>
              <w:bottom w:val="single" w:sz="4" w:space="0" w:color="auto"/>
              <w:right w:val="single" w:sz="4" w:space="0" w:color="auto"/>
            </w:tcBorders>
            <w:vAlign w:val="bottom"/>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Infrastruktūra</w:t>
            </w:r>
          </w:p>
        </w:tc>
        <w:tc>
          <w:tcPr>
            <w:tcW w:w="0" w:type="auto"/>
            <w:tcBorders>
              <w:top w:val="single" w:sz="4" w:space="0" w:color="auto"/>
              <w:left w:val="single" w:sz="4" w:space="0" w:color="auto"/>
              <w:bottom w:val="single" w:sz="4" w:space="0" w:color="auto"/>
              <w:right w:val="single" w:sz="4" w:space="0" w:color="auto"/>
            </w:tcBorders>
          </w:tcPr>
          <w:p>
            <w:pPr>
              <w:spacing w:after="240"/>
              <w:ind w:left="176"/>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32"/>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21"/>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225"/>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Veiksmingas elektros energijos tinklų jungčių 10 % planinio rodiklio įgyvendinimas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17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Komisija</w:t>
            </w:r>
          </w:p>
          <w:p>
            <w:pPr>
              <w:spacing w:after="120"/>
              <w:ind w:left="17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Valstybės narės</w:t>
            </w:r>
          </w:p>
          <w:p>
            <w:pPr>
              <w:spacing w:after="120"/>
              <w:ind w:left="17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Nacionalinės reguliavimo institucijos</w:t>
            </w:r>
          </w:p>
          <w:p>
            <w:pPr>
              <w:spacing w:after="12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Perdavimo sistemos operatoriai</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3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2015–2020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2015 m. vasario 25 d. priimtas komunikatas [COM(2015) 82].</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xml:space="preserve">Antrasis bendro intereso projektų (BIP) sąrašas, pagal kurį rengiamas Komisijos deleguotasis aktas </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17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Komisija</w:t>
            </w:r>
          </w:p>
          <w:p>
            <w:pPr>
              <w:spacing w:after="12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Valstybės narės</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3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color w:val="000000" w:themeColor="text1"/>
                <w:sz w:val="20"/>
                <w:szCs w:val="20"/>
                <w:lang w:val="lt-LT"/>
              </w:rPr>
            </w:pPr>
            <w:r>
              <w:rPr>
                <w:rFonts w:ascii="Times New Roman" w:eastAsia="Times New Roman" w:hAnsi="Times New Roman" w:cs="Times New Roman"/>
                <w:i/>
                <w:noProof/>
                <w:color w:val="000000" w:themeColor="text1"/>
                <w:sz w:val="20"/>
                <w:szCs w:val="20"/>
                <w:lang w:val="lt-LT"/>
              </w:rPr>
              <w:t>2015 m. lapkričio 18 d. priimtas deleguotasis aktas [C(2015) 8052].</w:t>
            </w:r>
          </w:p>
          <w:p>
            <w:pPr>
              <w:spacing w:after="60"/>
              <w:ind w:left="34"/>
              <w:rPr>
                <w:rFonts w:ascii="Times New Roman" w:eastAsia="Times New Roman" w:hAnsi="Times New Roman" w:cs="Times New Roman"/>
                <w:i/>
                <w:noProof/>
                <w:color w:val="000000" w:themeColor="text1"/>
                <w:sz w:val="20"/>
                <w:szCs w:val="20"/>
                <w:lang w:val="lt-LT"/>
              </w:rPr>
            </w:pPr>
            <w:r>
              <w:rPr>
                <w:rFonts w:ascii="Times New Roman" w:eastAsia="Times New Roman" w:hAnsi="Times New Roman" w:cs="Times New Roman"/>
                <w:i/>
                <w:noProof/>
                <w:color w:val="000000" w:themeColor="text1"/>
                <w:sz w:val="20"/>
                <w:szCs w:val="20"/>
                <w:lang w:val="lt-LT"/>
              </w:rPr>
              <w:t>2015 m. lapkričio 18 d. Komisijos deleguotasis reglamentas (ES) 2016/89, kuriuo, sudarant Sąjungos bendro intereso projektų sąrašą, iš dalies keičiamas Europos Parlamento ir Tarybos reglamentas (ES) Nr. 347/2013, buvo paskelbtas Oficialiajame leidinyje (OL L 19, 2016 1 27, p. 1).</w:t>
            </w:r>
          </w:p>
          <w:p>
            <w:pPr>
              <w:spacing w:after="60"/>
              <w:ind w:left="34"/>
              <w:rPr>
                <w:rFonts w:ascii="Times New Roman" w:eastAsia="Times New Roman" w:hAnsi="Times New Roman" w:cs="Times New Roman"/>
                <w:i/>
                <w:noProof/>
                <w:color w:val="000000" w:themeColor="text1"/>
                <w:sz w:val="20"/>
                <w:szCs w:val="20"/>
                <w:lang w:val="lt-LT"/>
              </w:rPr>
            </w:pPr>
            <w:r>
              <w:rPr>
                <w:rFonts w:ascii="Times New Roman" w:eastAsia="Times New Roman" w:hAnsi="Times New Roman" w:cs="Times New Roman"/>
                <w:i/>
                <w:noProof/>
                <w:color w:val="000000" w:themeColor="text1"/>
                <w:sz w:val="20"/>
                <w:szCs w:val="20"/>
                <w:lang w:val="lt-LT"/>
              </w:rPr>
              <w:t>2017 m. atliktas bendro intereso projektų ir Reglamento dėl transeuropinės energetikos infrastruktūros gairių įgyvendinimo vertinimas.</w:t>
            </w:r>
          </w:p>
          <w:p>
            <w:pPr>
              <w:spacing w:after="60"/>
              <w:ind w:left="34"/>
              <w:rPr>
                <w:rFonts w:ascii="Times New Roman" w:eastAsia="Times New Roman" w:hAnsi="Times New Roman" w:cs="Times New Roman"/>
                <w:i/>
                <w:noProof/>
                <w:color w:val="000000" w:themeColor="text1"/>
                <w:sz w:val="20"/>
                <w:szCs w:val="20"/>
                <w:lang w:val="lt-LT"/>
              </w:rPr>
            </w:pPr>
            <w:r>
              <w:rPr>
                <w:rFonts w:ascii="Times New Roman" w:eastAsia="Times New Roman" w:hAnsi="Times New Roman" w:cs="Times New Roman"/>
                <w:i/>
                <w:noProof/>
                <w:color w:val="000000" w:themeColor="text1"/>
                <w:sz w:val="20"/>
                <w:szCs w:val="20"/>
                <w:lang w:val="lt-LT"/>
              </w:rPr>
              <w:t>Trečiasis BIP sąrašas patvirtintas 2017 m. lapkričio 23 d. [C(2017) 7834] ir paskelbtas kartu su trečiąja energetikos sąjungos būklės ataskaita.</w:t>
            </w:r>
          </w:p>
          <w:p>
            <w:pPr>
              <w:spacing w:after="60"/>
              <w:ind w:left="34"/>
              <w:rPr>
                <w:rFonts w:ascii="Times New Roman" w:eastAsia="Times New Roman" w:hAnsi="Times New Roman" w:cs="Times New Roman"/>
                <w:i/>
                <w:noProof/>
                <w:color w:val="000000" w:themeColor="text1"/>
                <w:sz w:val="20"/>
                <w:szCs w:val="20"/>
                <w:lang w:val="lt-LT" w:eastAsia="lt-LT" w:bidi="lt-LT"/>
              </w:rPr>
            </w:pPr>
            <w:r>
              <w:rPr>
                <w:rFonts w:ascii="Times New Roman" w:eastAsia="Times New Roman" w:hAnsi="Times New Roman" w:cs="Times New Roman"/>
                <w:i/>
                <w:noProof/>
                <w:color w:val="000000" w:themeColor="text1"/>
                <w:sz w:val="20"/>
                <w:szCs w:val="20"/>
                <w:lang w:val="lt-LT"/>
              </w:rPr>
              <w:t xml:space="preserve">2017 m. lapkričio 23 d. Komisijos deleguotasis reglamentas (ES) 2018/540, kuriuo, sudarant Sąjungos bendro intereso projektų sąrašą, iš dalies keičiamas Europos Parlamento ir Tarybos reglamentas (ES) Nr. 347/2013 (OL L 90, 2018 4 6, p. 38–58). </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Komunikatas dėl pažangos sudarant svarbiausių energetikos infrastruktūros objektų sąrašą ir dėl būtinų priemonių siekiant įgyvendinti 2030 m. elektros energijos tinklų jungčių 15 % planinį rodiklį</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3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color w:val="000000" w:themeColor="text1"/>
                <w:sz w:val="20"/>
                <w:szCs w:val="20"/>
                <w:lang w:val="lt-LT"/>
              </w:rPr>
            </w:pPr>
            <w:r>
              <w:rPr>
                <w:rFonts w:ascii="Times New Roman" w:eastAsia="Times New Roman" w:hAnsi="Times New Roman" w:cs="Times New Roman"/>
                <w:i/>
                <w:noProof/>
                <w:color w:val="000000" w:themeColor="text1"/>
                <w:sz w:val="20"/>
                <w:szCs w:val="20"/>
                <w:lang w:val="lt-LT"/>
              </w:rPr>
              <w:t xml:space="preserve">2017 m. lapkričio mėn. Komisijos elektros energijos tinklų jungiamųjų linijų pralaidumo tikslinių rodiklių ekspertų grupė paskelbė ataskaitą dėl pažangos siekiant 10 % ir 15 % tikslinių rodiklių. </w:t>
            </w:r>
          </w:p>
          <w:p>
            <w:pPr>
              <w:spacing w:after="60"/>
              <w:ind w:left="34"/>
              <w:rPr>
                <w:rFonts w:ascii="Times New Roman" w:eastAsia="Times New Roman" w:hAnsi="Times New Roman" w:cs="Times New Roman"/>
                <w:i/>
                <w:noProof/>
                <w:color w:val="000000" w:themeColor="text1"/>
                <w:sz w:val="20"/>
                <w:szCs w:val="20"/>
                <w:lang w:val="lt-LT" w:eastAsia="lt-LT" w:bidi="lt-LT"/>
              </w:rPr>
            </w:pPr>
            <w:r>
              <w:rPr>
                <w:rFonts w:ascii="Times New Roman" w:eastAsia="Times New Roman" w:hAnsi="Times New Roman" w:cs="Times New Roman"/>
                <w:i/>
                <w:noProof/>
                <w:color w:val="000000" w:themeColor="text1"/>
                <w:sz w:val="20"/>
                <w:szCs w:val="20"/>
                <w:lang w:val="lt-LT"/>
              </w:rPr>
              <w:t>2017 m. lapkričio 23 d. Komisija paskelbė Komunikatą dėl Europos energetikos tinklų stiprinimo [COM(2017) 718] kartu su trečiąja energetikos sąjungos būklės ataskaita ir peržiūrėtu energetikos infrastruktūros BIP, galinčių padėti pasiekti šiuos tikslus, sąrašu.</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Energetikos infrastruktūros forumo steigimas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176"/>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Komisija</w:t>
            </w:r>
          </w:p>
          <w:p>
            <w:pPr>
              <w:spacing w:after="12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Valstybės narės</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3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Europos Komisija kasmet organizuoja 2015 m. įsteigto Energetikos infrastruktūros forumo susitikimus. 2018 m. gegužės 24–25 d. Kopenhagoje įvyko ketvirtasis forumo susitikimas (</w:t>
            </w:r>
            <w:hyperlink r:id="rId19" w:history="1">
              <w:r>
                <w:rPr>
                  <w:rFonts w:ascii="Times New Roman" w:eastAsia="Times New Roman" w:hAnsi="Times New Roman" w:cs="Times New Roman"/>
                  <w:i/>
                  <w:noProof/>
                  <w:color w:val="0000FF" w:themeColor="hyperlink"/>
                  <w:sz w:val="20"/>
                  <w:szCs w:val="20"/>
                  <w:u w:val="single"/>
                  <w:lang w:val="lt-LT"/>
                </w:rPr>
                <w:t>Išvados</w:t>
              </w:r>
            </w:hyperlink>
            <w:r>
              <w:rPr>
                <w:rFonts w:ascii="Times New Roman" w:eastAsia="Times New Roman" w:hAnsi="Times New Roman" w:cs="Times New Roman"/>
                <w:i/>
                <w:noProof/>
                <w:sz w:val="20"/>
                <w:szCs w:val="20"/>
                <w:lang w:val="lt-LT"/>
              </w:rPr>
              <w:t xml:space="preserve">). </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u w:val="single"/>
                <w:lang w:val="lt-LT"/>
              </w:rPr>
              <w:t>Ankstesni susitikimai</w:t>
            </w:r>
            <w:r>
              <w:rPr>
                <w:rFonts w:ascii="Times New Roman" w:eastAsia="Times New Roman" w:hAnsi="Times New Roman" w:cs="Times New Roman"/>
                <w:i/>
                <w:noProof/>
                <w:sz w:val="20"/>
                <w:szCs w:val="20"/>
                <w:lang w:val="lt-LT"/>
              </w:rPr>
              <w:t xml:space="preserve">: 2015 m. lapkričio 9–10 d.; 2016 m. birželio 23–24 d.; 2017 m. birželio 1–2 d. </w:t>
            </w:r>
          </w:p>
        </w:tc>
      </w:tr>
      <w:t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Elektros energija</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176"/>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132"/>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120"/>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Iniciatyva dėl rinkos modelio ir regioninių elektros energijos rinkų, dėl pajėgumų koordinavimo siekiant užtikrinti tiekimo saugumą, dėl tarpvalstybinės prekybos skatinimo ir geresnių sąlygų integruoti į tinklą atsinaujinančiąją energiją sudarymo</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21"/>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2015 m. liepos 15 d. priimtas konsultacinis komunikatas [COM(2015) 340].</w:t>
            </w:r>
          </w:p>
          <w:p>
            <w:pPr>
              <w:spacing w:after="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2016 m. lapkričio 30 d. priimti pasiūlymai dėl teisėkūros procedūra priimamų aktų:</w:t>
            </w:r>
          </w:p>
          <w:p>
            <w:pPr>
              <w:spacing w:after="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 xml:space="preserve">– Reglamento dėl elektros energijos vidaus rinkos [COM(2016) 861] ir </w:t>
            </w:r>
          </w:p>
          <w:p>
            <w:pPr>
              <w:spacing w:after="6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 Elektros energijos rinkos direktyvos [COM(2016) 864].</w:t>
            </w:r>
          </w:p>
          <w:p>
            <w:pPr>
              <w:spacing w:after="6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Tarpinstitucinė procedūra: Europos Parlamentas turėtų balsuoti iki 2019 m. kovo mėn. pabaigos, paskui – oficialus priėmimas Taryboje ir paskelbimas Oficialiajame leidinyje.</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2016 m. lapkričio 30 d. priimta Sektoriaus tyrimo dėl pajėgumų mechanizmų galutinė ataskaita [COM(2016) 752].</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120"/>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pt-PT"/>
              </w:rPr>
              <w:t>Direktyvos dėl priemonių elektros energijos tiekimo saugumui užtikrinti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176"/>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21"/>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priimtas pasiūlymas dėl teisėkūros procedūra priimamo akto – Reglamento dėl pasirengimo valdyti riziką elektros energijos sektoriuje, kuriuo panaikinama Direktyva 2005/89/EB [COM(2016) 862].</w:t>
            </w:r>
          </w:p>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lang w:val="lt-LT"/>
              </w:rPr>
              <w:t>Tarpinstitucinė procedūra: Europos Parlamentas turėtų balsuoti iki 2019 m. kovo mėn. pabaigos, paskui – oficialus priėmimas Taryboje ir paskelbimas Oficialiajame leidinyje.</w:t>
            </w:r>
          </w:p>
        </w:tc>
      </w:tr>
      <w:t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Mažmeninė rinka</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Naujos galimybės energijos vartotojams: didesnių galių vartotojams suteikimas; paklausos valdymo priemonių taikymas; išmaniųjų technologijų naudojimas; didmeninės ir mažmeninės rinkų susiejimas; laipsniškas reguliuojamų kainų atsisakymas; papildomos priemonės pažeidžiamiems vartotojams apsaugoti</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Komisija</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Valstybės narės</w:t>
            </w:r>
          </w:p>
        </w:tc>
        <w:tc>
          <w:tcPr>
            <w:tcW w:w="0" w:type="auto"/>
            <w:tcBorders>
              <w:top w:val="single" w:sz="4" w:space="0" w:color="auto"/>
              <w:left w:val="single" w:sz="4" w:space="0" w:color="auto"/>
              <w:bottom w:val="single" w:sz="4" w:space="0" w:color="auto"/>
              <w:right w:val="single" w:sz="4" w:space="0" w:color="auto"/>
            </w:tcBorders>
          </w:tcPr>
          <w:p>
            <w:pPr>
              <w:spacing w:after="240"/>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2015–2016 m.</w:t>
            </w:r>
          </w:p>
          <w:p>
            <w:pPr>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liepos 15 d. priimtas komunikatas „Naujų galimybių energijos vartotojams teikiančių priemonių rinkinio įgyvendinimas“ [COM(2015) 339].</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Į pasiūlymus dėl naujo elektros energijos rinkos modelio (žr. pirmiau) įtraukti pasiūlymai dėl teisėkūros procedūra priimamų aktų vartotojų klausimais.</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Dujos</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Reglamento dėl dujų tiekimo saugumo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vasario 16 d. priimtas pasiūlymas dėl teisėkūros procedūra priimamo akto [COM(2016) 52].</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2017 m. spalio 25 d. priimtas Reglamentas (ES) 2017/1938 dėl dujų tiekimo saugumo užtikrinimo priemonių, kuriuo panaikinamas Reglamentas (ES) Nr. 994/2010, buvo paskelbtas Oficialiajame leidinyje (OL L 198, 2017 10 28, p. 1–56).</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Suskystintų gamtinių dujų ir saugyklų strategija</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lang w:val="lt-LT"/>
              </w:rPr>
              <w:t>2016 m. vasario 16 d. priimtas Komunikatas dėl ES suskystintų gamtinių dujų naudojimo ir dujų laikymo strategijos [COM(2016) 49].</w:t>
            </w:r>
          </w:p>
        </w:tc>
      </w:tr>
      <w:t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b/>
                <w:noProof/>
                <w:sz w:val="24"/>
                <w:szCs w:val="24"/>
                <w:lang w:val="lt-LT" w:eastAsia="lt-LT" w:bidi="lt-LT"/>
              </w:rPr>
            </w:pPr>
            <w:r>
              <w:rPr>
                <w:rFonts w:ascii="Times New Roman" w:eastAsia="Times New Roman" w:hAnsi="Times New Roman" w:cs="Times New Roman"/>
                <w:b/>
                <w:noProof/>
                <w:sz w:val="24"/>
                <w:szCs w:val="20"/>
              </w:rPr>
              <w:t>Reguliavimo sistema</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482"/>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Energetikos reguliavimo institucijų bendradarbiavimo agentūros (ACER) įgaliojimų ir energetikos reguliavimo sistemos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b/>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Aptarta 2015 m. liepos 15 d. priimtame konsultaciniame komunikate [COM(2015) 340](žr. pirmiau).</w:t>
            </w:r>
          </w:p>
          <w:p>
            <w:pPr>
              <w:spacing w:after="60"/>
              <w:ind w:left="34"/>
              <w:jc w:val="both"/>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priimtas pasiūlymas dėl Reglamento, įsteigiančio Europos Sąjungos Energetikos reguliavimo institucijų bendradarbiavimo agentūrą [COM(2016) 863].</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Tarpinstitucinė procedūra: Europos Parlamentas turėtų balsuoti iki 2019 m. kovo mėn. pabaigos, paskui – oficialus priėmimas Taryboje ir paskelbimas Oficialiajame leidinyje.</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Pasiūlymas dėl teisėkūros procedūra priimamo akto – Reglamento dėl energetikos sąjungos ir klimato politikos veiksmų, įtrauktas į iniciatyvą „Švari energija visiems europiečiams“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tcPr>
          <w:p>
            <w:pPr>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pasiūlymas dėl Reglamento dėl energetikos sąjungos valdymo, kuriuo iš dalies keičiami reglamentai (EB) Nr. 663/2009 ir (EB) Nr. 715/2009, direktyvos 94/22/EB, 98/70/EB, 2009/31/EB, 2009/73/EB, 2010/31/ES, 2012/27/ES, 2013/30/ES, 2009/119/EB ir (ES) 2015/652 ir panaikinamas Reglamentas (ES) Nr. 525/2013 [COM(2016) 759] – Parlamente 2018 m. lapkričio 13 d. ir Taryboje 2018 m. gruodžio 4 d. oficialiai priimtas kaip Reglamentas (ES) 2018/1999 dėl energetikos sąjungos ir klimato politikos veiksmų. Galutinis aktas pasirašytas 2018 m. gruodžio 11 d. ir reglamentas paskelbtas Oficialiajame leidinyje (OL L 328, 2018 12 21, p. 1–77) (įsigaliojo 2018 m. gruodžio 24 d.).</w:t>
            </w:r>
          </w:p>
          <w:p>
            <w:pPr>
              <w:spacing w:after="60"/>
              <w:ind w:left="34"/>
              <w:rPr>
                <w:rFonts w:ascii="Times New Roman" w:eastAsia="Times New Roman" w:hAnsi="Times New Roman" w:cs="Times New Roman"/>
                <w:i/>
                <w:noProof/>
                <w:sz w:val="20"/>
                <w:szCs w:val="20"/>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Atsinaujinantieji energijos ištekliai</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Atsinaujinančiųjų išteklių energijos dokumentų rinkinys: nauja Atsinaujinančiųjų išteklių energijos direktyva, kurioje nustatomi 2030 m. tikslai; geriausia patirtis, susijusi su savo pasigamintos atsinaujinančiosios energijos vartojimu ir paramos sistemomis; bioenergijos tvarumo politika</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2015–2017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liepos 15 d. priimtos Savo pasigamintos atsinaujinančiosios energijos vartojimo gerosios patirties gairės [SWD(2015) 141], pridėtos prie komunikato „Naujų galimybių energijos vartotojams teikiančių priemonių rinkinio įgyvendinimas“ (žr. pirmiau).</w:t>
            </w:r>
          </w:p>
          <w:p>
            <w:pPr>
              <w:spacing w:after="60"/>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priimtas pasiūlymas dėl Direktyvos dėl skatinimo naudoti atsinaujinančių išteklių energiją [COM(2016) 767].</w:t>
            </w:r>
          </w:p>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lang w:val="lt-LT"/>
              </w:rPr>
              <w:t>Tarpinstitucinė procedūra: procedūra užbaigta; priimta direktyva paskelbta Oficialiajame leidinyje (OL L 328, 2018 12 21, p. 82–209): 2018 m. gruodžio 11 d. Direktyva (ES) 2018/2001 dėl skatinimo naudoti atsinaujinančiųjų išteklių energiją.</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Komunikatas dėl energijos gavybos iš atliekų</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121"/>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lang w:val="lt-LT"/>
              </w:rPr>
              <w:t xml:space="preserve">2017 m. sausio 26 d. priimtas komunikatas „Energijos iš atliekų vaidmuo žiedinėje ekonomikoje“ [COM(2017) 34]. </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Klimato politika</w:t>
            </w:r>
          </w:p>
        </w:tc>
        <w:tc>
          <w:tcPr>
            <w:tcW w:w="0" w:type="auto"/>
            <w:tcBorders>
              <w:top w:val="single" w:sz="4" w:space="0" w:color="auto"/>
              <w:left w:val="single" w:sz="4" w:space="0" w:color="auto"/>
              <w:bottom w:val="single" w:sz="4" w:space="0" w:color="auto"/>
              <w:right w:val="single" w:sz="4" w:space="0" w:color="auto"/>
            </w:tcBorders>
          </w:tcPr>
          <w:p>
            <w:pPr>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Pasiūlymas dėl teisėkūros procedūra priimamo akto, kuriuo persvarstoma ES šiltnamio efektą sukeliančių dujų apyvartinių taršos leidimų prekybos sistema (2021–2030 m.)</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Pasiūlymas priimtas 2015 m. liepos 15 d. (COM(2015) 337).</w:t>
            </w:r>
          </w:p>
          <w:p>
            <w:pPr>
              <w:spacing w:after="240"/>
              <w:ind w:left="33"/>
              <w:jc w:val="both"/>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Tarpinstitucinė procedūra: procedūra užbaigta; Direktyva 2018/410 priimta 2018 m. kovo 14 d. ir paskelbta Oficialiajame leidinyje (OL L 76, 2018 3 19, p. 3). Įsigaliojo 2018 m. balandžio 8 d.</w:t>
            </w:r>
          </w:p>
          <w:p>
            <w:pPr>
              <w:spacing w:after="240"/>
              <w:ind w:left="33"/>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Vasario 3 d. priimtas pasiūlymas dėl teisėkūros procedūra priimamo akto dėl ES šiltnamio efektą sukeliančių dujų apyvartinių taršos leidimų prekybos sistemos taikymo aviacijai srities (COM(2017) 54).</w:t>
            </w:r>
          </w:p>
          <w:p>
            <w:pPr>
              <w:spacing w:after="240" w:line="240" w:lineRule="auto"/>
              <w:ind w:left="33"/>
              <w:jc w:val="both"/>
              <w:rPr>
                <w:rFonts w:ascii="Times New Roman" w:eastAsia="Times New Roman" w:hAnsi="Times New Roman" w:cs="Times New Roman"/>
                <w:i/>
                <w:noProof/>
                <w:sz w:val="20"/>
                <w:szCs w:val="20"/>
                <w:lang w:val="lt-LT" w:eastAsia="lt-LT" w:bidi="lt-LT"/>
              </w:rPr>
            </w:pPr>
            <w:r>
              <w:rPr>
                <w:rFonts w:ascii="Times New Roman" w:eastAsia="Calibri" w:hAnsi="Times New Roman" w:cs="DokChampa"/>
                <w:i/>
                <w:noProof/>
                <w:sz w:val="20"/>
                <w:lang w:val="lt-LT" w:eastAsia="lt-LT" w:bidi="lt-LT"/>
              </w:rPr>
              <w:t>Tarpinstitucinė procedūra: procedūra užbaigta; Reglamentas 2017/2392 priimtas 2017 m. gruodžio 13 d. ir paskelbtas Oficialiajame leidinyje (OL L 350, 2017 12 29, p. 7). Įsigaliojo 2017 m. gruodžio 29 d.</w:t>
            </w:r>
          </w:p>
          <w:p>
            <w:pPr>
              <w:spacing w:after="240"/>
              <w:ind w:left="33"/>
              <w:rPr>
                <w:rFonts w:ascii="Times New Roman" w:eastAsia="Times New Roman" w:hAnsi="Times New Roman" w:cs="Times New Roman"/>
                <w:i/>
                <w:noProof/>
                <w:sz w:val="20"/>
                <w:szCs w:val="20"/>
              </w:rPr>
            </w:pPr>
          </w:p>
          <w:p>
            <w:pPr>
              <w:spacing w:after="240"/>
              <w:ind w:left="33"/>
              <w:rPr>
                <w:rFonts w:ascii="Times New Roman" w:eastAsia="Times New Roman" w:hAnsi="Times New Roman" w:cs="Times New Roman"/>
                <w:i/>
                <w:noProof/>
                <w:sz w:val="20"/>
                <w:szCs w:val="20"/>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xml:space="preserve">Pasiūlymai dėl teisėkūros procedūra priimamų aktų – Reglamento dėl pastangų pasidalijimo ir Reglamento dėl žemės naudojimo, žemės naudojimo keitimo ir miškininkystės (LULUCF) įtraukimo į 2030 m. klimato ir energetikos politikos strategiją </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liepos 20 d. priimti du pasiūlymai dėl teisėkūros procedūra priimamų aktų:</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b/>
                <w:i/>
                <w:noProof/>
                <w:sz w:val="20"/>
                <w:szCs w:val="20"/>
                <w:lang w:val="lt-LT"/>
              </w:rPr>
              <w:t>1</w:t>
            </w:r>
            <w:r>
              <w:rPr>
                <w:rFonts w:ascii="Times New Roman" w:eastAsia="Times New Roman" w:hAnsi="Times New Roman" w:cs="Times New Roman"/>
                <w:i/>
                <w:noProof/>
                <w:sz w:val="20"/>
                <w:szCs w:val="20"/>
                <w:lang w:val="lt-LT"/>
              </w:rPr>
              <w:t>) Pasiūlymas dėl Reglamento, kuriuo, kuriant atsparią energetikos sąjungą ir siekiant vykdyti įsipareigojimus pagal Paryžiaus susitarimą, valstybėms narėms nustatomi įpareigojimai 2021–2030 m. laikotarpiu sumažinti išmetamų šiltnamio efektą sukeliančių dujų metinį kiekį (sektoriai, kuriems netaikoma ATLPS) [COM(2016) 482] – Parlamente oficialiai priimtas 2018 m. balandžio 17 d., Taryboje – 2018 m. gegužės 14 d. Galutinis aktas pasirašytas 2018 m. gegužės 30 d. ir Reglamentas (ES) 2018/842 paskelbtas Oficialiajame leidinyje (OL L 156, 2018 6 19, p. 26–42) (įsigaliojo 2018 m. liepos 9 d.).</w:t>
            </w:r>
          </w:p>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b/>
                <w:i/>
                <w:noProof/>
                <w:sz w:val="20"/>
                <w:szCs w:val="20"/>
                <w:lang w:val="lt-LT"/>
              </w:rPr>
              <w:t>2</w:t>
            </w:r>
            <w:r>
              <w:rPr>
                <w:rFonts w:ascii="Times New Roman" w:eastAsia="Times New Roman" w:hAnsi="Times New Roman" w:cs="Times New Roman"/>
                <w:i/>
                <w:noProof/>
                <w:sz w:val="20"/>
                <w:szCs w:val="20"/>
                <w:lang w:val="lt-LT"/>
              </w:rPr>
              <w:t>) Pasiūlymas dėl Reglamento dėl šiltnamio efektą sukeliančių dujų, išmetamų ir šalinamų dėl žemės naudojimo, žemės naudojimo keitimo ir miškininkystės, kiekio įtraukimo į 2030 m. klimato ir energetikos politikos strategiją (LULUCF) [COM(2016) 479] – Parlamente oficialiai priimtas 2018 m. balandžio 17 d., Taryboje – 2018 m. gegužės 14 d. Galutinis aktas pasirašytas 2018 m. gegužės 30 d. ir Reglamentas (ES) 2018/841 paskelbtas Oficialiajame leidinyje (OL L 156, 2018 6 19, p. 1–25) (įsigaliojo 2018 m. liepos 9 d.).</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Transporto politika</w:t>
            </w:r>
          </w:p>
        </w:tc>
        <w:tc>
          <w:tcPr>
            <w:tcW w:w="0" w:type="auto"/>
            <w:tcBorders>
              <w:top w:val="single" w:sz="4" w:space="0" w:color="auto"/>
              <w:left w:val="single" w:sz="4" w:space="0" w:color="auto"/>
              <w:bottom w:val="single" w:sz="4" w:space="0" w:color="auto"/>
              <w:right w:val="single" w:sz="4" w:space="0" w:color="auto"/>
            </w:tcBorders>
          </w:tcPr>
          <w:p>
            <w:pPr>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Sąžininga ir veiksminga darniojo transporto kainodara: Eurovinjetės direktyvos ir strategijos, kuria siekiama populiarinti Europos elektronines kelių rinkliavos sistemas,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 xml:space="preserve">Priimta 2017 m. gegužės 31 d. (COM(2017) 275 ir COM(2017) 280) </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pt-PT"/>
              </w:rPr>
              <w:t>Kelių transportui skirtų patekimo į rinką taisyklių persvarstymas, siekiant didinti kelių transporto energijos vartojimo efektyvumą</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 xml:space="preserve">Priimta 2017 m. gegužės 31 d. (COM(2017) 281). </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pt-PT"/>
              </w:rPr>
              <w:t>Sąveikiųjų intelektinių transporto sistemų diegimo pagrindinis planas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Komisija</w:t>
            </w:r>
          </w:p>
          <w:p>
            <w:pPr>
              <w:spacing w:after="120"/>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Valstybės narės</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Pramonė</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2016 m. lapkričio 30 d. priimtas komunikatas (COM(2016) 766).</w:t>
            </w:r>
          </w:p>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Vadovaujantis pagrindiniu planu, 2019 m. priimtos sąveikiųjų intelektinių transporto sistemų diegimo ir naudojimo taisyklės – Komisijos deleguotasis aktas C(2019) 1789 final, kuriuo Europos Parlamento ir Tarybos direktyva 2010/40/ES papildoma nuostatomis dėl sąveikiųjų intelektinių transporto sistemų diegimo ir naudojimo (priimtas 2019 m. kovo 13 d.).</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pt-PT"/>
              </w:rPr>
              <w:t xml:space="preserve">Reglamentų, kuriais nustatomos išmetamųjų teršalų normos, persvarstymas, siekiant nustatyti rodiklius, kurie bus taikomi lengvosioms transporto priemonėms po 2020 m. </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2016–2017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2017 m. lapkričio 8 d. pasiūlymas dėl Reglamento, kuriuo nustatomos naujų lengvųjų automobilių ir naujų lengvųjų komercinių transporto priemonių išmetamų teršalų normos pagal Sąjungos integruotą principą mažinti lengvųjų transporto priemonių išmetamo CO2 kiekį [COM(2017) 676 final].</w:t>
            </w:r>
          </w:p>
          <w:p>
            <w:pPr>
              <w:spacing w:after="240" w:line="240" w:lineRule="auto"/>
              <w:ind w:left="33"/>
              <w:jc w:val="both"/>
              <w:rPr>
                <w:rFonts w:ascii="Calibri" w:eastAsia="Calibri" w:hAnsi="Calibri" w:cs="DokChampa"/>
                <w:noProof/>
                <w:lang w:val="lt-LT" w:eastAsia="lt-LT" w:bidi="lt-LT"/>
              </w:rPr>
            </w:pPr>
            <w:r>
              <w:rPr>
                <w:rFonts w:ascii="Times New Roman" w:eastAsia="Calibri" w:hAnsi="Times New Roman" w:cs="DokChampa"/>
                <w:i/>
                <w:noProof/>
                <w:sz w:val="20"/>
                <w:lang w:val="lt-LT" w:eastAsia="lt-LT" w:bidi="lt-LT"/>
              </w:rPr>
              <w:t>Tarpinstitucinė procedūra: 2018 m. gruodžio mėn. pasiektas politinis susitarimas. Bus paskelbtas 2019 m. pirmąjį pusmetį.</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xml:space="preserve">Pasiūlymas dėl teisėkūros procedūra priimamo akto – Reglamento, kuriuo nustatomos išmetamųjų teršalų normos, siekiant nustatyti rodiklius, kurie bus taikomi sunkiosioms transporto priemonėms po 2020 m. </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xml:space="preserve">Nenurodyta </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2018 m. gegužės 17 d. pasiūlymas dėl Reglamento, kuriuo nustatomi naujų sunkiųjų transporto priemonių išmetamo CO</w:t>
            </w:r>
            <w:r>
              <w:rPr>
                <w:rFonts w:ascii="Times New Roman" w:eastAsia="Times New Roman" w:hAnsi="Times New Roman" w:cs="Times New Roman"/>
                <w:i/>
                <w:noProof/>
                <w:sz w:val="20"/>
                <w:szCs w:val="20"/>
                <w:vertAlign w:val="subscript"/>
                <w:lang w:val="lt-LT"/>
              </w:rPr>
              <w:t>2</w:t>
            </w:r>
            <w:r>
              <w:rPr>
                <w:rFonts w:ascii="Times New Roman" w:eastAsia="Times New Roman" w:hAnsi="Times New Roman" w:cs="Times New Roman"/>
                <w:i/>
                <w:noProof/>
                <w:sz w:val="20"/>
                <w:szCs w:val="20"/>
                <w:lang w:val="lt-LT"/>
              </w:rPr>
              <w:t xml:space="preserve"> kiekio standartai [COM(2018) 284 final], su pataisymais, padarytais 2018 m. liepos 3 d. [COM(2018) 284 final/2].</w:t>
            </w:r>
          </w:p>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rPr>
              <w:t xml:space="preserve">Tarpinstitucinė procedūra: 2019 m. vasario mėn. pasiektas politinis susitarimas. Bus paskelbtas 2019 m. pirmąjį pusmetį. </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Sunkiasvorių transporto priemonių (sunkvežimių ir autobusų) stebėjimo ir duomenų teikimo sistemos diegimas, siekiant geriau informuoti pirkėją</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2016–2017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Priimta 2017 m. gegužės 31 d. (COM(2017) 279). Parlamente oficialiai priimta 2018 m. birželio 12 d., Taryboje – 2018 m. birželio 21 d. Galutinis aktas pasirašytas 2018 m. birželio 28 d. ir Reglamentas (ES) 2018/956 paskelbtas Oficialiajame leidinyje (OL L 173, 2018 7 9, p. 1–15) (įsigaliojo 2018 m. liepos 29 d.).</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tabs>
                <w:tab w:val="left" w:pos="960"/>
              </w:tabs>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pt-PT"/>
              </w:rPr>
              <w:t>Direktyvos dėl skatinimo naudoti netaršias ir efektyviai energiją vartojančias kelių transporto priemones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2017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Pasiūlymas dėl Europos Parlamento ir Tarybos direktyvos, kuria iš dalies keičiama Direktyva 2009/33/EB dėl skatinimo naudoti netaršias ir efektyviai energiją vartojančias kelių transporto priemones (2017 m. lapkričio 8 d. COM(2017) 653).</w:t>
            </w:r>
          </w:p>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rPr>
              <w:t>Tarpinstitucinė procedūra: 2019 m. vasario mėn. pasiektas politinis susitarimas. Bus paskelbta 2019 m. pirmąjį pusmetį.</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Komunikatas dėl transporto sektoriaus priklausomybės nuo iškastinio kuro mažinimo, įskaitant veiksmų planą dėl antrosios ir trečiosios kartos biodegalų ir kitų alternatyvių tvarių degalų</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2017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33"/>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2016 m. liepos 20 d. priimtas komunikatas „Europos mažataršio judumo strategija“ (COM(2016) 501).</w:t>
            </w:r>
          </w:p>
          <w:p>
            <w:pPr>
              <w:spacing w:after="240"/>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Degalų klausimas iš dalies aptartas 2016 m. lapkričio 30 d. priimtame pasiūlyme dėl teisėkūros procedūra priimamo akto (COM(2016) 767 (Atsinaujinančiųjų išteklių energijos direktyva)).</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Energijos vartojimo efektyvumas</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Energijos vartojimo efektyvumo direktyvos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priimtas pasiūlymas dėl Direktyvos, kuria iš dalies keičiama Direktyva 2012/27/ES dėl energijos vartojimo efektyvumo [COM(2016) 761], prie jo pridėtas Komisijos tarnybų darbinis dokumentas dėl energijos vartojimo efektyvumo gerosios patirties [SWD(2016) 404].</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 xml:space="preserve">Tarpinstitucinė procedūra: Parlamente oficialiai priimta 2018 m. lapkričio 13 d., Taryboje – 2018 m. gruodžio 4 d. Priimta 2018 m. gruodžio 10 d. Paskelbta Oficialiajame leidinyje (OL L 328, 2018 12 21, p. 210–230) (įsigaliojo po trijų dienų). </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2018 m. lapkričio 13 d. Komisija priėmė keičiantįjį Sprendimą COM(2018) 744, kuriuo, siekiant atsižvelgti į 2019 m. numatomą Jungtinės Karalystės išstojimą iš ES, didžiausi pagal Energijos vartojimo efektyvumo direktyvą iki 2030 m. ES leidžiami suvartoti energijos kiekiai mažinami nuo 1273 iki 1128 mln. tne (pirminės energijos suvartojimas) ir nuo 956 iki 846 mln. tne (galutinės energijos suvartojimas).</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Pastatų energinio naudingumo direktyvos persvarstymas, įskaitant pažangiojo išmaniųjų pastatų finansavimo iniciatyvą</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 xml:space="preserve">2016 m. lapkričio 30 d., kaip švarios energijos dokumentų rinkinio dalis, priimtas pasiūlymas dėl Direktyvos 2010/31/ES dėl pastatų energinio naudingumo persvarstymo [COM(2016) 765]. </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Kartu su persvarstyta Pastatų energinio naudingumo direktyva pateikta pažangiojo išmaniųjų pastatų finansavimo iniciatyva, kuria analizuojama, kaip paskatinti viešojo ir privačiojo sektorių investicijas į pastatų energinį naudingumą (dokumentų rinkinio apibendrinamojo komunikato COM(2016) 860 1 priedas).</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 xml:space="preserve">Tarpinstitucinė procedūra: procedūra užbaigta – persvarstyta Direktyva (ES) 2018/844 dėl pastatų energinio naudingumo paskelbta Oficialiajame leidinyje (OL L 156, 2018 6 19, p. 75–91) (įsigaliojo 2018 m. liepos 9 d.). </w:t>
            </w:r>
          </w:p>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lang w:val="lt-LT"/>
              </w:rPr>
              <w:t>Iki 2026 m. Komisija turėtų nuodugniai peržiūrėti visos direktyvos veikimą.</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Gaminiams taikomų energijos vartojimo efektyvumo nuostatų (Energijos vartojimo efektyvumo ženklinimo direktyvos ir Ekologinio projektavimo direktyvų)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liepos 15 d. priimtas pasiūlymas dėl Reglamento, kuriuo nustatoma energijos vartojimo efektyvumo ženklinimo sistema ir panaikinama Direktyva 2010/30/ES [COM(2015) 341].</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Tarpinstitucinė procedūra: procedūra užbaigta – 2017 m. liepos 4 d. Reglamentas (ES) 2017/1369 paskelbtas Oficialiajame leidinyje (OL L 198, 2017 7 28, p. 1–23) (įsigaliojo 2017 m. rugpjūčio 1 d.).</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2016 m. lapkričio 30 d. priimtas Ekologinio projektavimo darbo planas [COM(2016) 773]; tuo pačiu metu patvirtintos 8 priemonės.</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Tikslingo finansinių priemonių taikymo stiprinimas, siekiant remti investicijas į energijos vartojimo efektyvumą</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 –</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birželio 1 d. priimtas komunikatas „Europa vėl investuoja. Investicijų plano Europai rezultatų apžvalga ir tolesni veiksmai“ (COM(2016) 359).</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rugsėjo 14 d. priimtas komunikatas „Europos investicijų, skirtų darbo vietoms kurti ir ekonomikos augimui užtikrinti, didinimas. Antrasis Europos strateginių investicijų fondo etapas ir naujasis Europos išorės investicijų planas“ (COM(2016) 581).</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Pasiūlymas dėl teisėkūros procedūra priimamo akto dėl Europos strateginių investicijų fondo (ESIF) reglamento taikymo pratęsimo (COM(2016) 597).</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Pasiūlymas dėl teisėkūros procedūra priimamo akto dėl Finansinio reglamento ir įvairių konkretiems sektoriams taikomų reglamentų persvarstymo siekiant nustatyti dar paprastesnę ir lankstesnę tvarką, be kita ko, užtikrinti, kad būtų veiksmingiau taikomos finansinės priemonės (COM(2016) 605).</w:t>
            </w:r>
          </w:p>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lang w:val="lt-LT"/>
              </w:rPr>
              <w:t>Taip pat žr. veiksmus, kuriais sudaromos tinkamos sąlygos, be kita ko, Pastatų iniciatyvą, įtrauktą į 2016 m. lapkričio 30 d. dokumentų rinkinį „Švari energija visiems europiečiams“ (COM(2016) 860, 1 priedas).</w:t>
            </w:r>
          </w:p>
        </w:tc>
      </w:tr>
      <w:t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Šildymas ir vėsinimas</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ES šildymo ir vėsinimo strategija – šildymo ir vėsinimo sričių indėlis įgyvendinant ES energetikos ir klimato politikos tikslus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xml:space="preserve">2015 m. </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2016 m. vasario 16 d. priimtas komunikatas (COM(2016) 51).</w:t>
            </w:r>
          </w:p>
          <w:p>
            <w:pPr>
              <w:spacing w:after="6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Švarios energijos dokumentų rinkinį sudarančiuose dokumentuose – persvarstytoje Atsinaujinančiųjų išteklių energijos direktyvoje, Energijos vartojimo efektyvumo direktyvoje ir Reglamente dėl energetikos sąjungos ir klimato politikos veiksmų valdymo – nustatyti nauji tikslai ir aprašyta informacijos apie pagrindinius 2030 m. energetikos sąjungos rodiklius teikimo sistema.</w:t>
            </w:r>
          </w:p>
          <w:p>
            <w:pPr>
              <w:spacing w:after="60"/>
              <w:ind w:left="34"/>
              <w:rPr>
                <w:rFonts w:ascii="Times New Roman" w:eastAsia="Times New Roman" w:hAnsi="Times New Roman" w:cs="Times New Roman"/>
                <w:i/>
                <w:noProof/>
                <w:sz w:val="20"/>
                <w:szCs w:val="20"/>
                <w:lang w:val="pt-PT"/>
              </w:rPr>
            </w:pPr>
            <w:r>
              <w:rPr>
                <w:rFonts w:ascii="Times New Roman" w:eastAsia="Times New Roman" w:hAnsi="Times New Roman" w:cs="Times New Roman"/>
                <w:i/>
                <w:noProof/>
                <w:sz w:val="20"/>
                <w:szCs w:val="20"/>
                <w:lang w:val="pt-PT"/>
              </w:rPr>
              <w:t xml:space="preserve">Juose taip pat išvardyti elementai, kurie prieš antrąjį ciklą turi būti įtraukti į išsamius šildymo ir vėsinimo efektyvumo potencialo vertinimus. </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pt-PT"/>
              </w:rPr>
              <w:t>Todėl reikėjo atnaujinti Energijos vartojimo efektyvumo direktyvos [Direktyvos 2012/27/ES] VIII ir IX prieduose nustatytas metodikas; tai padaryta 2019 m. kovo 4 d. priimtu Komisijos deleguotuoju reglamentu C(2019) 1616.</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lang w:val="pt-PT"/>
              </w:rPr>
              <w:t>Išorės energetikos ir klimato politika</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fi-FI"/>
              </w:rPr>
              <w:t>ES diplomatija energetikos ir klimato politikos srityse</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 xml:space="preserve">Komisija </w:t>
            </w:r>
          </w:p>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Vyriausiasis įgaliotinis ir pirmininko pavaduotojas</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Valstybės narės</w:t>
            </w:r>
          </w:p>
        </w:tc>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liepos 20 d. Užsienio reikalų taryba priėmė Tarybos išvadas dėl diplomatijos klimato srityje (11029/15).</w:t>
            </w:r>
          </w:p>
          <w:p>
            <w:pPr>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liepos 20 d. Užsienio reikalų taryba priėmė Tarybos išvadas dėl diplomatijos energetikos srityje (10995/15).</w:t>
            </w:r>
          </w:p>
          <w:p>
            <w:pPr>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vasario 15 d. Užsienio reikalų taryba priėmė Tarybos išvadas dėl Europos diplomatijos klimato srityje po COP 21 (6061/16).</w:t>
            </w:r>
          </w:p>
          <w:p>
            <w:pPr>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28 d. Užsienio reikalų taryba (vystymosi klausimai) priėmė Tarybos išvadas dėl energetikos ir vystymosi (14839/16).</w:t>
            </w:r>
          </w:p>
          <w:p>
            <w:pPr>
              <w:ind w:left="33"/>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2017 m. kovo 6 d. Užsienio reikalų taryba priėmė Tarybos išvadas dėl ES diplomatijos energetikos ir klimato srityse sinergijos stiprinimo (6981/17).</w:t>
            </w:r>
          </w:p>
          <w:p>
            <w:pPr>
              <w:ind w:left="33"/>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2019 m. vasario 18 d. Užsienio reikalų taryba priėmė Tarybos išvadas dėl diplomatijos klimato srityje (6153/19).</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Sprendimo, kuriuo nustatomas keitimosi informacija apie tarpvyriausybinius valstybių narių ir trečiųjų šalių energetikos susitarimus mechanizmas, persvarstymas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Vyriausiasis įgaliotinis ir pirmininko pavaduotojas</w:t>
            </w:r>
          </w:p>
        </w:tc>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99"/>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75"/>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vasario 16 d. priimtas pasiūlymas dėl Europos Parlamento ir Tarybos sprendimo [COM(2016) 53].</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Sprendimas (ES) 2017/684 priimtas ir paskelbtas Oficialiajame leidinyje (OL L 99, 2017 4 12, p. 1–9).</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2019 m. sausio 9 d. Komisijos sprendimu C(2019) 125 patvirtintos neprivalomos standartinės nuostatos ir gairės, parengtos pagal Sprendimo (ES) 2017/684 9 straipsnio 2 dalį.</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Nauji ir intensyvesni dialogai energetikos klausimais su šalimis, svarbiomis ES energetikos politikai</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Vyriausiasis įgaliotinis ir pirmininko pavaduotojas</w:t>
            </w:r>
          </w:p>
        </w:tc>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noProof/>
                <w:sz w:val="20"/>
                <w:szCs w:val="20"/>
              </w:rPr>
              <w:t>Vykdoma</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Susitarimo memorandumas dėl glaudesnės strateginės partnerystės su Ukraina</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Vyriausiasis įgaliotinis ir pirmininko pavaduotojas</w:t>
            </w:r>
          </w:p>
          <w:p>
            <w:pPr>
              <w:spacing w:after="120"/>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Europos Parlamentas</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Taryba</w:t>
            </w:r>
          </w:p>
        </w:tc>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Pasirašytas 2016 m. lapkričio 24 d. ES ir Ukrainos aukščiausiojo lygio susitikime.</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Trišalio susitarimo memorandumas su Azerbaidžanu ir Turkmėnistanu dėl Kaspijos jūros regiono dujotiekio</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Vyriausiasis įgaliotinis ir pirmininko pavaduotojas</w:t>
            </w:r>
          </w:p>
          <w:p>
            <w:pPr>
              <w:spacing w:after="120"/>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Europos Parlamentas</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Taryba</w:t>
            </w:r>
          </w:p>
        </w:tc>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2015 m. gegužės 1 d. pasirašyta Turkmėnistano, Turkijos, Azerbaidžano ir Gruzijos Ašchabado deklaracija; tolesnės derybos dėl trišalio susitarimo memorandumo nebevyksta.</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Energijos bendrijos stiprinimo iniciatyva</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Energijos bendrijos susitariančiosios šalys</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Vyriausiasis įgaliotinis ir pirmininko pavaduotojas</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spalio mėn. ir 2016 m. rugsėjo mėn. Energijos bendrijos ministrų taryba priėmė pagrindinius sprendimus.</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Neeilinis Ministrų tarybos posėdis dėl Sutarties pakeitimų (2018 m. pirmąjį pusmetį), įskaitant abipusiškumo klausimą.</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Europos ir Viduržemio jūros regiono bendradarbiavimo dujų, elektros energijos sektoriuose, energijos vartojimo efektyvumo ir atsinaujinančiųjų energijos išteklių srityse stiprinimas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Vyriausiasis įgaliotinis ir pirmininko pavaduotojas</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birželio mėn. pradėjo veikti dujų platforma.</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spalio mėn. pradėjo veikti regioninė elektros energijos rinkos platforma.</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2016 m. pradėjo veikti atsinaujinančiųjų energijos išteklių ir energijos vartojimo efektyvumo platforma.</w:t>
            </w:r>
          </w:p>
        </w:tc>
      </w:tr>
      <w:tr>
        <w:tc>
          <w:tcPr>
            <w:tcW w:w="0" w:type="auto"/>
            <w:tcBorders>
              <w:top w:val="single" w:sz="4" w:space="0" w:color="auto"/>
              <w:left w:val="single" w:sz="4" w:space="0" w:color="auto"/>
              <w:bottom w:val="single" w:sz="4" w:space="0" w:color="auto"/>
              <w:right w:val="single" w:sz="4" w:space="0" w:color="auto"/>
            </w:tcBorders>
            <w:hideMark/>
          </w:tcPr>
          <w:p>
            <w:pPr>
              <w:ind w:left="120"/>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Naujos Tarptautinės energetikos chartijos priėmimas ir pasirašymas ES ir EURATOMO vardu</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0"/>
                <w:lang w:val="lt-LT"/>
              </w:rPr>
              <w:t>Komisija</w:t>
            </w:r>
          </w:p>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Vyriausiasis įgaliotinis ir pirmininko pavaduotojas</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Tarptautinę energetikos chartiją Europos Komisija su kitomis šalimis pasirašė 2015 m. gegužės 20–21 d. Hagoje vykusioje konferencijoje.</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keepNext/>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Pramonės konkurencingumas</w:t>
            </w:r>
          </w:p>
        </w:tc>
        <w:tc>
          <w:tcPr>
            <w:tcW w:w="0" w:type="auto"/>
            <w:tcBorders>
              <w:top w:val="single" w:sz="4" w:space="0" w:color="auto"/>
              <w:left w:val="single" w:sz="4" w:space="0" w:color="auto"/>
              <w:bottom w:val="single" w:sz="4" w:space="0" w:color="auto"/>
              <w:right w:val="single" w:sz="4" w:space="0" w:color="auto"/>
            </w:tcBorders>
          </w:tcPr>
          <w:p>
            <w:pPr>
              <w:keepNext/>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keepNext/>
              <w:spacing w:after="240"/>
              <w:ind w:left="33"/>
              <w:rPr>
                <w:rFonts w:ascii="Times New Roman" w:eastAsia="Times New Roman" w:hAnsi="Times New Roman" w:cs="Times New Roman"/>
                <w:noProof/>
                <w:sz w:val="24"/>
                <w:szCs w:val="24"/>
                <w:lang w:val="lt-LT" w:eastAsia="lt-LT" w:bidi="lt-LT"/>
              </w:rPr>
            </w:pP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xml:space="preserve">Nauja Europos energetikos mokslinių tyrimų ir inovacijų koncepcija, kuria siekiama spartinti energetikos sistemos pertvarką ir kurią sudaro: </w:t>
            </w:r>
          </w:p>
          <w:p>
            <w:pPr>
              <w:ind w:left="55"/>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integruotas Europos strateginis energetikos technologijų (SET) planas</w:t>
            </w:r>
          </w:p>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strateginė transporto mokslinių tyrimų ir inovacijų darbotvarkė</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2015–2017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rugsėjo 15 d. priimtas komunikatas dėl Strateginio energetikos technologijų (SET) plano (C(2015) 6317).</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pradėjo veikti Energetikos pažangiosios specializacijos platforma.</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priimtas komunikatas „Spartesnis švarios energetikos inovacijų kūrimas ir diegimas“ (COM(2016) 763).</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2017 m. gegužės 31 d., kaip ES judumo dokumentų rinkinio „Europa kelyje“ (COM(2017) 283) dalis, priimtas Komisijos tarnybų darbinis dokumentas (SWD(2017) 223) „Perėjimas prie netaršaus, konkurencingo ir susietojo judumo. Transporto mokslinių tyrimų ir inovacijų įnašas į judumo dokumentų rinkinį“.</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Energijos kainų ir išlaidų (įskaitant mokesčius ir subsidijas) analizė</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 o vėliau kas dvejus metus</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lapkričio 30 d. priimta pirmoji ataskaita [COM(2016) 769].</w:t>
            </w:r>
          </w:p>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i/>
                <w:noProof/>
                <w:sz w:val="20"/>
                <w:szCs w:val="20"/>
              </w:rPr>
              <w:t>2019 m. sausio 9 d. priimta antroji ataskaita [COM(2019) 1].</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Iniciatyva dėl ES pasaulinės technologijų ir inovacijų lyderystės energetikos ir klimato srityse siekiant skatinti ekonomikos augimą ir darbo vietų kūrimą</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noProof/>
                <w:sz w:val="20"/>
                <w:szCs w:val="20"/>
                <w:lang w:val="lt-LT"/>
              </w:rPr>
              <w:t>Siejama su spartesniu švarios energetikos inovacijų kūrimu ir diegimu: žr. pirmiau nurodytą komunikatą COM(2016) 763; taip pat žr. 2016 m. lapkričio 30 d. priimto dokumentų rinkinio „Švari energija visiems europiečiams“ apibendrinamojo komunikato COM(2016) 860 2 priedą „Perėjimo prie švarios energijos skatinimo veiksmai“; šių veiksmų įgyvendinimas apžvelgiamas 2017 m. lapkričio 23 d. trečiojoje energetikos sąjungos būklės ataskaitoje COM(2017) 688.</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lang w:val="lt-LT"/>
              </w:rPr>
              <w:t>Tvirtesnė prekybos politika, kuria siekiama lengvinti ES technologijų eksportą</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2015–2019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noProof/>
                <w:sz w:val="20"/>
                <w:szCs w:val="20"/>
                <w:lang w:val="lt-LT" w:eastAsia="lt-LT" w:bidi="lt-LT"/>
              </w:rPr>
            </w:pPr>
            <w:r>
              <w:rPr>
                <w:rFonts w:ascii="Times New Roman" w:eastAsia="Times New Roman" w:hAnsi="Times New Roman" w:cs="Times New Roman"/>
                <w:noProof/>
                <w:sz w:val="20"/>
                <w:szCs w:val="20"/>
              </w:rPr>
              <w:t>Vykdoma</w:t>
            </w: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Horizontaliosios priemonės</w:t>
            </w:r>
          </w:p>
        </w:tc>
        <w:tc>
          <w:tcPr>
            <w:tcW w:w="0" w:type="auto"/>
            <w:tcBorders>
              <w:top w:val="single" w:sz="4" w:space="0" w:color="auto"/>
              <w:left w:val="single" w:sz="4" w:space="0" w:color="auto"/>
              <w:bottom w:val="single" w:sz="4" w:space="0" w:color="auto"/>
              <w:right w:val="single" w:sz="4" w:space="0" w:color="auto"/>
            </w:tcBorders>
          </w:tcPr>
          <w:p>
            <w:pPr>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252"/>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 xml:space="preserve">Valstybės pagalbos aplinkos apsaugai ir energetikai gairių persvarstymas </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25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2017–2019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Ataskaita dėl Europos energetinio saugumo strategijos, įskaitant Europos ir Viduržemio jūros regiono valstybių partnerystės platformą ir veiksmų planą, SGD, energijos kaupimo ir pietinio dujų koridoriaus strategijas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25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2015 m. lapkričio 18 d. priimta ataskaita (Komisijos tarnybų darbinis dokumentas SWD(2015) 404).</w:t>
            </w:r>
          </w:p>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vasario 16 d. priimtas komunikatas dėl SGD ir saugyklų [COM(2016) 49].</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rPr>
              <w:t>2017 m. vasario 1 d. priimtas Komisijos tarnybų darbinis dokumentas dėl elektros energijos kaupimo elektros energijos sistemoje [SWD(2017) 61].</w:t>
            </w:r>
          </w:p>
        </w:tc>
      </w:tr>
      <w:tr>
        <w:trPr>
          <w:cantSplit/>
        </w:trPr>
        <w:tc>
          <w:tcPr>
            <w:tcW w:w="0" w:type="auto"/>
            <w:tcBorders>
              <w:top w:val="single" w:sz="4" w:space="0" w:color="auto"/>
              <w:left w:val="single" w:sz="4" w:space="0" w:color="auto"/>
              <w:bottom w:val="single" w:sz="4" w:space="0" w:color="auto"/>
              <w:right w:val="single" w:sz="4" w:space="0" w:color="auto"/>
            </w:tcBorders>
            <w:hideMark/>
          </w:tcPr>
          <w:p>
            <w:pPr>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Energetikos sąjungos duomenys, analizė ir tyrimai: iniciatyvų telkimas ir lengvos prieigos prie visų aktualių žinių, kurias yra sukaupusi Komisija ir valstybės narės, užtikrinimas.</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252"/>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2016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60"/>
              <w:ind w:left="34"/>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Vykdoma</w:t>
            </w:r>
          </w:p>
          <w:p>
            <w:pPr>
              <w:spacing w:after="60"/>
              <w:ind w:left="34"/>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Priimtas Reglamentas (ES) 2016/1952 dėl Europos gamtinių dujų ir elektros energijos kainų statistikos.</w:t>
            </w:r>
          </w:p>
          <w:p>
            <w:pPr>
              <w:spacing w:after="60"/>
              <w:ind w:left="34"/>
              <w:rPr>
                <w:rFonts w:ascii="Times New Roman" w:eastAsia="Times New Roman" w:hAnsi="Times New Roman" w:cs="Times New Roman"/>
                <w:i/>
                <w:noProof/>
                <w:sz w:val="20"/>
                <w:szCs w:val="20"/>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120"/>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b/>
                <w:noProof/>
                <w:sz w:val="24"/>
                <w:szCs w:val="20"/>
              </w:rPr>
              <w:t>Branduolinė energija</w:t>
            </w:r>
          </w:p>
        </w:tc>
        <w:tc>
          <w:tcPr>
            <w:tcW w:w="0" w:type="auto"/>
            <w:tcBorders>
              <w:top w:val="single" w:sz="4" w:space="0" w:color="auto"/>
              <w:left w:val="single" w:sz="4" w:space="0" w:color="auto"/>
              <w:bottom w:val="single" w:sz="4" w:space="0" w:color="auto"/>
              <w:right w:val="single" w:sz="4" w:space="0" w:color="auto"/>
            </w:tcBorders>
          </w:tcPr>
          <w:p>
            <w:pPr>
              <w:spacing w:after="12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55"/>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21"/>
              <w:jc w:val="center"/>
              <w:rPr>
                <w:rFonts w:ascii="Times New Roman" w:eastAsia="Times New Roman" w:hAnsi="Times New Roman" w:cs="Times New Roman"/>
                <w:b/>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21"/>
              <w:jc w:val="center"/>
              <w:rPr>
                <w:rFonts w:ascii="Times New Roman" w:eastAsia="Times New Roman" w:hAnsi="Times New Roman" w:cs="Times New Roman"/>
                <w:b/>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99"/>
              <w:jc w:val="center"/>
              <w:rPr>
                <w:rFonts w:ascii="Times New Roman" w:eastAsia="Times New Roman" w:hAnsi="Times New Roman" w:cs="Times New Roman"/>
                <w:b/>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225"/>
              <w:jc w:val="center"/>
              <w:rPr>
                <w:rFonts w:ascii="Times New Roman" w:eastAsia="Times New Roman" w:hAnsi="Times New Roman" w:cs="Times New Roman"/>
                <w:b/>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175"/>
              <w:jc w:val="center"/>
              <w:rPr>
                <w:rFonts w:ascii="Times New Roman" w:eastAsia="Times New Roman" w:hAnsi="Times New Roman" w:cs="Times New Roman"/>
                <w:b/>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33"/>
              <w:rPr>
                <w:rFonts w:ascii="Times New Roman" w:eastAsia="Times New Roman" w:hAnsi="Times New Roman" w:cs="Times New Roman"/>
                <w:noProof/>
                <w:sz w:val="24"/>
                <w:szCs w:val="24"/>
                <w:lang w:val="lt-LT" w:eastAsia="lt-LT" w:bidi="lt-LT"/>
              </w:rPr>
            </w:pPr>
          </w:p>
        </w:tc>
      </w:tr>
      <w:tr>
        <w:tc>
          <w:tcPr>
            <w:tcW w:w="0" w:type="auto"/>
            <w:tcBorders>
              <w:top w:val="single" w:sz="4" w:space="0" w:color="auto"/>
              <w:left w:val="single" w:sz="4" w:space="0" w:color="auto"/>
              <w:bottom w:val="single" w:sz="4" w:space="0" w:color="auto"/>
              <w:right w:val="single" w:sz="4" w:space="0" w:color="auto"/>
            </w:tcBorders>
            <w:hideMark/>
          </w:tcPr>
          <w:p>
            <w:pPr>
              <w:ind w:left="120"/>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Tarybos reglamentas, kuriuo, atsižvelgiant į Europos energetinio saugumo strategiją, atnaujinami Euratomo sutarties 41 straipsnyje nustatyti informacijos teikimo reikalavimai</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121"/>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rPr>
              <w:t>Iniciatyva atidėta.</w:t>
            </w:r>
          </w:p>
        </w:tc>
      </w:tr>
      <w:tr>
        <w:tc>
          <w:tcPr>
            <w:tcW w:w="0" w:type="auto"/>
            <w:tcBorders>
              <w:top w:val="single" w:sz="4" w:space="0" w:color="auto"/>
              <w:left w:val="single" w:sz="4" w:space="0" w:color="auto"/>
              <w:bottom w:val="single" w:sz="4" w:space="0" w:color="auto"/>
              <w:right w:val="single" w:sz="4" w:space="0" w:color="auto"/>
            </w:tcBorders>
            <w:hideMark/>
          </w:tcPr>
          <w:p>
            <w:pPr>
              <w:ind w:left="120"/>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Komunikatas dėl branduolinės informacinės programos (PINC) pagal Euratomo sutarties 40 straipsnį</w:t>
            </w:r>
          </w:p>
        </w:tc>
        <w:tc>
          <w:tcPr>
            <w:tcW w:w="0" w:type="auto"/>
            <w:tcBorders>
              <w:top w:val="single" w:sz="4" w:space="0" w:color="auto"/>
              <w:left w:val="single" w:sz="4" w:space="0" w:color="auto"/>
              <w:bottom w:val="single" w:sz="4" w:space="0" w:color="auto"/>
              <w:right w:val="single" w:sz="4" w:space="0" w:color="auto"/>
            </w:tcBorders>
            <w:hideMark/>
          </w:tcPr>
          <w:p>
            <w:pPr>
              <w:spacing w:after="12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Komisija</w:t>
            </w:r>
          </w:p>
        </w:tc>
        <w:tc>
          <w:tcPr>
            <w:tcW w:w="0" w:type="auto"/>
            <w:tcBorders>
              <w:top w:val="single" w:sz="4" w:space="0" w:color="auto"/>
              <w:left w:val="single" w:sz="4" w:space="0" w:color="auto"/>
              <w:bottom w:val="single" w:sz="4" w:space="0" w:color="auto"/>
              <w:right w:val="single" w:sz="4" w:space="0" w:color="auto"/>
            </w:tcBorders>
            <w:hideMark/>
          </w:tcPr>
          <w:p>
            <w:pPr>
              <w:spacing w:after="240"/>
              <w:ind w:left="55"/>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2015 m.</w:t>
            </w: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121"/>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240"/>
              <w:jc w:val="center"/>
              <w:rPr>
                <w:rFonts w:ascii="Times New Roman" w:eastAsia="Times New Roman" w:hAnsi="Times New Roman" w:cs="Times New Roman"/>
                <w:noProof/>
                <w:sz w:val="24"/>
                <w:szCs w:val="24"/>
                <w:lang w:val="lt-LT" w:eastAsia="lt-LT" w:bidi="lt-LT"/>
              </w:rPr>
            </w:pPr>
            <w:r>
              <w:rPr>
                <w:rFonts w:ascii="Times New Roman" w:eastAsia="Times New Roman" w:hAnsi="Times New Roman" w:cs="Times New Roman"/>
                <w:noProof/>
                <w:sz w:val="24"/>
                <w:szCs w:val="20"/>
              </w:rPr>
              <w:t>X</w:t>
            </w:r>
          </w:p>
        </w:tc>
        <w:tc>
          <w:tcPr>
            <w:tcW w:w="0" w:type="auto"/>
            <w:tcBorders>
              <w:top w:val="single" w:sz="4" w:space="0" w:color="auto"/>
              <w:left w:val="single" w:sz="4" w:space="0" w:color="auto"/>
              <w:bottom w:val="single" w:sz="4" w:space="0" w:color="auto"/>
              <w:right w:val="single" w:sz="4" w:space="0" w:color="auto"/>
            </w:tcBorders>
          </w:tcPr>
          <w:p>
            <w:pPr>
              <w:spacing w:after="240"/>
              <w:ind w:left="482"/>
              <w:jc w:val="center"/>
              <w:rPr>
                <w:rFonts w:ascii="Times New Roman" w:eastAsia="Times New Roman" w:hAnsi="Times New Roman" w:cs="Times New Roman"/>
                <w:noProof/>
                <w:sz w:val="24"/>
                <w:szCs w:val="24"/>
                <w:lang w:val="lt-LT" w:eastAsia="lt-LT" w:bidi="lt-LT"/>
              </w:rPr>
            </w:pPr>
          </w:p>
        </w:tc>
        <w:tc>
          <w:tcPr>
            <w:tcW w:w="0" w:type="auto"/>
            <w:tcBorders>
              <w:top w:val="single" w:sz="4" w:space="0" w:color="auto"/>
              <w:left w:val="single" w:sz="4" w:space="0" w:color="auto"/>
              <w:bottom w:val="single" w:sz="4" w:space="0" w:color="auto"/>
              <w:right w:val="single" w:sz="4" w:space="0" w:color="auto"/>
            </w:tcBorders>
            <w:hideMark/>
          </w:tcPr>
          <w:p>
            <w:pPr>
              <w:spacing w:after="60"/>
              <w:ind w:left="34"/>
              <w:rPr>
                <w:rFonts w:ascii="Times New Roman" w:eastAsia="Times New Roman" w:hAnsi="Times New Roman" w:cs="Times New Roman"/>
                <w:i/>
                <w:noProof/>
                <w:sz w:val="20"/>
                <w:szCs w:val="20"/>
                <w:lang w:val="lt-LT"/>
              </w:rPr>
            </w:pPr>
            <w:r>
              <w:rPr>
                <w:rFonts w:ascii="Times New Roman" w:eastAsia="Times New Roman" w:hAnsi="Times New Roman" w:cs="Times New Roman"/>
                <w:i/>
                <w:noProof/>
                <w:sz w:val="20"/>
                <w:szCs w:val="20"/>
                <w:lang w:val="lt-LT"/>
              </w:rPr>
              <w:t>2016 m. balandžio 4 d. priimtas komunikatas (COM(2016) 177) pateiktas svarstyti Europos ekonomikos ir socialinių reikalų komitetui (EESRK).</w:t>
            </w:r>
          </w:p>
          <w:p>
            <w:pPr>
              <w:spacing w:after="60"/>
              <w:ind w:left="34"/>
              <w:rPr>
                <w:rFonts w:ascii="Times New Roman" w:eastAsia="Times New Roman" w:hAnsi="Times New Roman" w:cs="Times New Roman"/>
                <w:i/>
                <w:noProof/>
                <w:sz w:val="20"/>
                <w:szCs w:val="20"/>
                <w:lang w:val="lt-LT" w:eastAsia="lt-LT" w:bidi="lt-LT"/>
              </w:rPr>
            </w:pPr>
            <w:r>
              <w:rPr>
                <w:rFonts w:ascii="Times New Roman" w:eastAsia="Times New Roman" w:hAnsi="Times New Roman" w:cs="Times New Roman"/>
                <w:i/>
                <w:noProof/>
                <w:sz w:val="20"/>
                <w:szCs w:val="20"/>
                <w:lang w:val="lt-LT"/>
              </w:rPr>
              <w:t>2017 m. gegužės 12 d. priimta galutinė komunikato versija (COM(2017) 237), atsižvelgiant į Europos ekonomikos ir socialinių reikalų komiteto (EESRK) nuomonę.</w:t>
            </w:r>
          </w:p>
        </w:tc>
      </w:tr>
    </w:tbl>
    <w:p>
      <w:pPr>
        <w:rPr>
          <w:rFonts w:ascii="Calibri" w:eastAsia="Calibri" w:hAnsi="Calibri" w:cs="DokChampa"/>
          <w:noProof/>
          <w:lang w:val="lt-LT" w:eastAsia="lt-LT" w:bidi="lt-LT"/>
        </w:rPr>
      </w:pPr>
    </w:p>
    <w:p>
      <w:pPr>
        <w:pStyle w:val="Text1"/>
        <w:jc w:val="center"/>
        <w:rPr>
          <w:noProof/>
          <w:lang w:val="lt-LT"/>
        </w:rPr>
      </w:pPr>
    </w:p>
    <w:sectPr>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021" w:bottom="1134" w:left="1021"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31</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AF5"/>
    <w:multiLevelType w:val="hybridMultilevel"/>
    <w:tmpl w:val="EF5C285C"/>
    <w:lvl w:ilvl="0" w:tplc="D43A4720">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hideSpellingErrors/>
  <w:hideGrammaticalErrors/>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1"/>
    <w:docVar w:name="LW_ANNEX_UNIQUE" w:val="1"/>
    <w:docVar w:name="LW_CORRIGENDUM" w:val="&lt;UNUSED&gt;"/>
    <w:docVar w:name="LW_COVERPAGE_EXISTS" w:val="True"/>
    <w:docVar w:name="LW_COVERPAGE_GUID" w:val="01746B22-D15C-4625-B56D-0CD55038D04C"/>
    <w:docVar w:name="LW_COVERPAGE_TYPE" w:val="1"/>
    <w:docVar w:name="LW_CROSSREFERENCE" w:val="&lt;UNUSED&gt;"/>
    <w:docVar w:name="LW_DocType" w:val="NORMAL"/>
    <w:docVar w:name="LW_EMISSION" w:val="2019 04 09"/>
    <w:docVar w:name="LW_EMISSION_ISODATE" w:val="2019-04-09"/>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Ketvirtoji energetikos s\u261?jungos b\u363?kl\u279?s ataskaita"/>
    <w:docVar w:name="LW_PART_NBR" w:val="1"/>
    <w:docVar w:name="LW_PART_NBR_TOTAL" w:val="1"/>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S_x000b_"/>
    <w:docVar w:name="LW_TYPEACTEPRINCIPAL.CP" w:val="KOMISIJOS KOMUNIKATO EUROPOS PARLAMENTUI, TARYBAI, EUROPOS EKONOMIKOS IR SOCIALINI\u370? REIKAL\u370? KOMITETUI IR EUROPOS INVESTICIJ\u370? BANK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9979">
      <w:bodyDiv w:val="1"/>
      <w:marLeft w:val="0"/>
      <w:marRight w:val="0"/>
      <w:marTop w:val="0"/>
      <w:marBottom w:val="0"/>
      <w:divBdr>
        <w:top w:val="none" w:sz="0" w:space="0" w:color="auto"/>
        <w:left w:val="none" w:sz="0" w:space="0" w:color="auto"/>
        <w:bottom w:val="none" w:sz="0" w:space="0" w:color="auto"/>
        <w:right w:val="none" w:sz="0" w:space="0" w:color="auto"/>
      </w:divBdr>
    </w:div>
    <w:div w:id="256326094">
      <w:bodyDiv w:val="1"/>
      <w:marLeft w:val="0"/>
      <w:marRight w:val="0"/>
      <w:marTop w:val="0"/>
      <w:marBottom w:val="0"/>
      <w:divBdr>
        <w:top w:val="none" w:sz="0" w:space="0" w:color="auto"/>
        <w:left w:val="none" w:sz="0" w:space="0" w:color="auto"/>
        <w:bottom w:val="none" w:sz="0" w:space="0" w:color="auto"/>
        <w:right w:val="none" w:sz="0" w:space="0" w:color="auto"/>
      </w:divBdr>
    </w:div>
    <w:div w:id="367612219">
      <w:bodyDiv w:val="1"/>
      <w:marLeft w:val="0"/>
      <w:marRight w:val="0"/>
      <w:marTop w:val="0"/>
      <w:marBottom w:val="0"/>
      <w:divBdr>
        <w:top w:val="none" w:sz="0" w:space="0" w:color="auto"/>
        <w:left w:val="none" w:sz="0" w:space="0" w:color="auto"/>
        <w:bottom w:val="none" w:sz="0" w:space="0" w:color="auto"/>
        <w:right w:val="none" w:sz="0" w:space="0" w:color="auto"/>
      </w:divBdr>
    </w:div>
    <w:div w:id="392656267">
      <w:bodyDiv w:val="1"/>
      <w:marLeft w:val="0"/>
      <w:marRight w:val="0"/>
      <w:marTop w:val="0"/>
      <w:marBottom w:val="0"/>
      <w:divBdr>
        <w:top w:val="none" w:sz="0" w:space="0" w:color="auto"/>
        <w:left w:val="none" w:sz="0" w:space="0" w:color="auto"/>
        <w:bottom w:val="none" w:sz="0" w:space="0" w:color="auto"/>
        <w:right w:val="none" w:sz="0" w:space="0" w:color="auto"/>
      </w:divBdr>
    </w:div>
    <w:div w:id="1016271014">
      <w:bodyDiv w:val="1"/>
      <w:marLeft w:val="0"/>
      <w:marRight w:val="0"/>
      <w:marTop w:val="0"/>
      <w:marBottom w:val="0"/>
      <w:divBdr>
        <w:top w:val="none" w:sz="0" w:space="0" w:color="auto"/>
        <w:left w:val="none" w:sz="0" w:space="0" w:color="auto"/>
        <w:bottom w:val="none" w:sz="0" w:space="0" w:color="auto"/>
        <w:right w:val="none" w:sz="0" w:space="0" w:color="auto"/>
      </w:divBdr>
    </w:div>
    <w:div w:id="2064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c.europa.eu/energy/sites/ener/files/energy_infrastructure_forum_2018_con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8391-4EC1-4A78-AF4C-E4A76731B586}">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8DA093-1190-4E86-873C-0BD5F8E9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9F1F74-606D-4500-B976-A712D6753FD9}">
  <ds:schemaRefs>
    <ds:schemaRef ds:uri="http://schemas.microsoft.com/sharepoint/v3/contenttype/forms"/>
  </ds:schemaRefs>
</ds:datastoreItem>
</file>

<file path=customXml/itemProps4.xml><?xml version="1.0" encoding="utf-8"?>
<ds:datastoreItem xmlns:ds="http://schemas.openxmlformats.org/officeDocument/2006/customXml" ds:itemID="{4B50596A-8F0F-4D9C-B7E1-F7B1BAC1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3595</Words>
  <Characters>23514</Characters>
  <Application>Microsoft Office Word</Application>
  <DocSecurity>0</DocSecurity>
  <Lines>1306</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2019-04-08T15:59:00Z</dcterms:created>
  <dcterms:modified xsi:type="dcterms:W3CDTF">2019-04-10T06:37:00Z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Last edited using">
    <vt:lpwstr>LW 6.0.1, Build 20180503</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y fmtid="{D5CDD505-2E9C-101B-9397-08002B2CF9AE}" pid="11" name="ContentTypeId">
    <vt:lpwstr>0x010100C336B5F2374A61429F33911337CF2393</vt:lpwstr>
  </property>
  <property fmtid="{D5CDD505-2E9C-101B-9397-08002B2CF9AE}" pid="12" name="IsMyDocuments">
    <vt:bool>true</vt:bool>
  </property>
</Properties>
</file>